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21" w:name="prepared-in-anticipation-of-litigation"/>
    <w:p>
      <w:pPr>
        <w:pStyle w:val="Heading1"/>
      </w:pPr>
      <w:r>
        <w:t xml:space="preserve">PREPARED IN ANTICIPATION OF LITIGATION</w:t>
      </w:r>
    </w:p>
    <w:p>
      <w:r>
        <w:pict>
          <v:rect style="width:0;height:1.5pt" o:hralign="center" o:hrstd="t" o:hr="t"/>
        </w:pict>
      </w:r>
    </w:p>
    <w:bookmarkEnd w:id="21"/>
    <w:bookmarkStart w:id="46" w:name="diligence-red-flag-memorandum"/>
    <w:p>
      <w:pPr>
        <w:pStyle w:val="Heading1"/>
      </w:pPr>
      <w:r>
        <w:t xml:space="preserve">DILIGENCE RED FLAG MEMORANDUM</w:t>
      </w:r>
    </w:p>
    <w:p>
      <w:pPr>
        <w:pStyle w:val="FirstParagraph"/>
      </w:pPr>
      <w:r>
        <w:rPr>
          <w:b/>
          <w:bCs/>
        </w:rPr>
        <w:t xml:space="preserve">Project Ridgeline — Acquisition of Ridgeline Environmental Services, Inc.</w:t>
      </w:r>
    </w:p>
    <w:p>
      <w:pPr>
        <w:pStyle w:val="BodyText"/>
      </w:pPr>
      <w:r>
        <w:rPr>
          <w:b/>
          <w:bCs/>
        </w:rPr>
        <w:t xml:space="preserve">Prepared for:</w:t>
      </w:r>
      <w:r>
        <w:t xml:space="preserve"> </w:t>
      </w:r>
      <w:r>
        <w:t xml:space="preserve">Sycamore Capital Partners, LP / Thornfield &amp; Associates LLP</w:t>
      </w:r>
    </w:p>
    <w:p>
      <w:pPr>
        <w:pStyle w:val="BodyText"/>
      </w:pPr>
      <w:r>
        <w:rPr>
          <w:b/>
          <w:bCs/>
        </w:rPr>
        <w:t xml:space="preserve">Prepared by:</w:t>
      </w:r>
      <w:r>
        <w:t xml:space="preserve"> </w:t>
      </w:r>
      <w:r>
        <w:t xml:space="preserve">Diligence Review Team</w:t>
      </w:r>
    </w:p>
    <w:p>
      <w:pPr>
        <w:pStyle w:val="BodyText"/>
      </w:pPr>
      <w:r>
        <w:rPr>
          <w:b/>
          <w:bCs/>
        </w:rPr>
        <w:t xml:space="preserve">Date:</w:t>
      </w:r>
      <w:r>
        <w:t xml:space="preserve"> </w:t>
      </w:r>
      <w:r>
        <w:t xml:space="preserve">December 2024</w:t>
      </w:r>
    </w:p>
    <w:p>
      <w:pPr>
        <w:pStyle w:val="BodyText"/>
      </w:pPr>
      <w:r>
        <w:rPr>
          <w:b/>
          <w:bCs/>
        </w:rPr>
        <w:t xml:space="preserve">Subject:</w:t>
      </w:r>
      <w:r>
        <w:t xml:space="preserve"> </w:t>
      </w:r>
      <w:r>
        <w:t xml:space="preserve">Summary of Material Red Flags Identified in Data Room Review</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summarizes material red flags and diligence concerns identified through review of the Project Ridgeline data room, including the Confidential Information Memorandum, Quality of Earnings data package, Litigation and Regulatory Summary, Phase II Environmental Site Assessment, Credit Agreement Summary, Real Property and Lease Schedule, Customer Contract Summary, Employment Agreements Summary, Environmental Permit Schedule, Insurance Program Summary, and Employee Benefits Summary.</w:t>
      </w:r>
    </w:p>
    <w:p>
      <w:pPr>
        <w:pStyle w:val="BodyText"/>
      </w:pPr>
      <w:r>
        <w:t xml:space="preserve">The proposed transaction is structured as a 100% stock acquisition of Ridgeline Environmental Services, Inc. (</w:t>
      </w:r>
      <w:r>
        <w:t xml:space="preserve">“</w:t>
      </w:r>
      <w:r>
        <w:t xml:space="preserve">RES</w:t>
      </w:r>
      <w:r>
        <w:t xml:space="preserve">”</w:t>
      </w:r>
      <w:r>
        <w:t xml:space="preserve">) at an indicative enterprise value of $182–$205 million (8.0x–9.0x Adjusted EBITDA of $22.8M). Our review has identified</w:t>
      </w:r>
      <w:r>
        <w:t xml:space="preserve"> </w:t>
      </w:r>
      <w:r>
        <w:rPr>
          <w:b/>
          <w:bCs/>
        </w:rPr>
        <w:t xml:space="preserve">fifteen (15) material red flags</w:t>
      </w:r>
      <w:r>
        <w:t xml:space="preserve"> </w:t>
      </w:r>
      <w:r>
        <w:t xml:space="preserve">across six categories: (1) Financial / Quality of Earnings, (2) Environmental &amp; Regulatory, (3) Commercial / Customer Concentration, (4) Real Property &amp; Permitting, (5) Legal &amp; Litigation, and (6) Structural / Transactional. Each is described below with a severity rating, estimated financial exposure where quantifiable, and recommended diligence actions.</w:t>
      </w:r>
    </w:p>
    <w:p>
      <w:pPr>
        <w:pStyle w:val="BodyText"/>
      </w:pPr>
      <w:r>
        <w:rPr>
          <w:b/>
          <w:bCs/>
        </w:rPr>
        <w:t xml:space="preserve">Overall Assessment:</w:t>
      </w:r>
      <w:r>
        <w:t xml:space="preserve"> </w:t>
      </w:r>
      <w:r>
        <w:t xml:space="preserve">The transaction presents a meaningful risk profile that warrants significant price adjustment, enhanced indemnification protections, and resolution of several pre-closing conditions before Buyer should proceed to signing.</w:t>
      </w:r>
    </w:p>
    <w:p>
      <w:r>
        <w:pict>
          <v:rect style="width:0;height:1.5pt" o:hralign="center" o:hrstd="t" o:hr="t"/>
        </w:pict>
      </w:r>
    </w:p>
    <w:bookmarkEnd w:id="22"/>
    <w:bookmarkStart w:id="28" w:name="X59cfcd553f6657b8a6b60b470b5bf36b9e4aecd"/>
    <w:p>
      <w:pPr>
        <w:pStyle w:val="Heading2"/>
      </w:pPr>
      <w:r>
        <w:t xml:space="preserve">II. FINANCIAL / QUALITY OF EARNINGS RED FLAGS</w:t>
      </w:r>
    </w:p>
    <w:bookmarkStart w:id="23" w:name="X52ec897e3cffb6aef30627ef8118ef591beee0e"/>
    <w:p>
      <w:pPr>
        <w:pStyle w:val="Heading3"/>
      </w:pPr>
      <w:r>
        <w:t xml:space="preserve">RF-01 | EBITDA Bridge Discrepancy — $1.0M Unexplained Gap</w:t>
      </w:r>
    </w:p>
    <w:p>
      <w:pPr>
        <w:pStyle w:val="FirstParagraph"/>
      </w:pPr>
      <w:r>
        <w:rPr>
          <w:b/>
          <w:bCs/>
        </w:rPr>
        <w:t xml:space="preserve">Severity: HIGH</w:t>
      </w:r>
    </w:p>
    <w:p>
      <w:pPr>
        <w:pStyle w:val="BodyText"/>
      </w:pPr>
      <w:r>
        <w:t xml:space="preserve">The CIM presents Adjusted EBITDA of</w:t>
      </w:r>
      <w:r>
        <w:t xml:space="preserve"> </w:t>
      </w:r>
      <w:r>
        <w:rPr>
          <w:b/>
          <w:bCs/>
        </w:rPr>
        <w:t xml:space="preserve">$22.8M</w:t>
      </w:r>
      <w:r>
        <w:t xml:space="preserve">, while the detailed QoE data package (EBITDA Bridge tab) calculates Adjusted EBITDA of</w:t>
      </w:r>
      <w:r>
        <w:t xml:space="preserve"> </w:t>
      </w:r>
      <w:r>
        <w:rPr>
          <w:b/>
          <w:bCs/>
        </w:rPr>
        <w:t xml:space="preserve">$23.8M</w:t>
      </w:r>
      <w:r>
        <w:t xml:space="preserve"> </w:t>
      </w:r>
      <w:r>
        <w:t xml:space="preserve">— a $1.0M discrepancy that management acknowledges but has not reconciled. The specific adjustment category causing the gap has not been identified. This is a fundamental data integrity issue: the metric on which the entire $182–$205M valuation is anchored cannot be confirmed from the data room materials. The LOI references $22.8M as the agreed EBITDA basis; if the correct figure is $23.8M, the valuation range would increase by $8–$9M at the stated multiples.</w:t>
      </w:r>
    </w:p>
    <w:p>
      <w:pPr>
        <w:pStyle w:val="BodyText"/>
      </w:pPr>
      <w:r>
        <w:rPr>
          <w:b/>
          <w:bCs/>
        </w:rPr>
        <w:t xml:space="preserve">Estimated Exposure:</w:t>
      </w:r>
      <w:r>
        <w:t xml:space="preserve"> </w:t>
      </w:r>
      <w:r>
        <w:t xml:space="preserve">$8–$9M valuation impact (upward or downward depending on resolution).</w:t>
      </w:r>
    </w:p>
    <w:p>
      <w:pPr>
        <w:pStyle w:val="BodyText"/>
      </w:pPr>
      <w:r>
        <w:rPr>
          <w:b/>
          <w:bCs/>
        </w:rPr>
        <w:t xml:space="preserve">Required Action:</w:t>
      </w:r>
      <w:r>
        <w:t xml:space="preserve"> </w:t>
      </w:r>
      <w:r>
        <w:t xml:space="preserve">Demand a fully reconciled EBITDA bridge with line-item support before signing. Confirm which figure governs the LOI purchase price mechanism.</w:t>
      </w:r>
    </w:p>
    <w:p>
      <w:r>
        <w:pict>
          <v:rect style="width:0;height:1.5pt" o:hralign="center" o:hrstd="t" o:hr="t"/>
        </w:pict>
      </w:r>
    </w:p>
    <w:bookmarkEnd w:id="23"/>
    <w:bookmarkStart w:id="24" w:name="Xde3d6695fa0017202713aa804d6b330f4ef5c26"/>
    <w:p>
      <w:pPr>
        <w:pStyle w:val="Heading3"/>
      </w:pPr>
      <w:r>
        <w:t xml:space="preserve">RF-02 | Aggressive EBITDA Adjustments — $5.4M Add-Back Package Largely Disallowed by Bank</w:t>
      </w:r>
    </w:p>
    <w:p>
      <w:pPr>
        <w:pStyle w:val="FirstParagraph"/>
      </w:pPr>
      <w:r>
        <w:rPr>
          <w:b/>
          <w:bCs/>
        </w:rPr>
        <w:t xml:space="preserve">Severity: HIGH</w:t>
      </w:r>
    </w:p>
    <w:p>
      <w:pPr>
        <w:pStyle w:val="BodyText"/>
      </w:pPr>
      <w:r>
        <w:t xml:space="preserve">Management adds back $5.4M to arrive at Adjusted EBITDA, but the Credit Agreement’s Consolidated EBITDA definition disallows substantially all of these adjustments (cap of $500K for non-recurring items). The bank’s EBITDA is ~$18.4M, implying leverage of 2.10x — not the 1.70x management presents. Specific concerns:</w:t>
      </w:r>
    </w:p>
    <w:p>
      <w:pPr>
        <w:pStyle w:val="Compact"/>
        <w:numPr>
          <w:ilvl w:val="0"/>
          <w:numId w:val="1001"/>
        </w:numPr>
      </w:pPr>
      <w:r>
        <w:rPr>
          <w:b/>
          <w:bCs/>
        </w:rPr>
        <w:t xml:space="preserve">Owner Compensation Normalization ($950K):</w:t>
      </w:r>
      <w:r>
        <w:t xml:space="preserve"> </w:t>
      </w:r>
      <w:r>
        <w:t xml:space="preserve">CEO and COO each earn $875K ($1.75M combined). Market rate is benchmarked at $400K each ($800K combined). The $950K add-back is reasonable in concept, but the underlying compensation level is exceptionally high for a $127M revenue company and signals potential ongoing cash extraction. Post-closing, replacement executives at market rates would cost $800K combined — a $950K annual benefit, but only if both founders depart.</w:t>
      </w:r>
    </w:p>
    <w:p>
      <w:pPr>
        <w:pStyle w:val="Compact"/>
        <w:numPr>
          <w:ilvl w:val="0"/>
          <w:numId w:val="1001"/>
        </w:numPr>
      </w:pPr>
      <w:r>
        <w:rPr>
          <w:b/>
          <w:bCs/>
        </w:rPr>
        <w:t xml:space="preserve">Pinnacle Integration Costs ($800K in FY2024):</w:t>
      </w:r>
      <w:r>
        <w:t xml:space="preserve"> </w:t>
      </w:r>
      <w:r>
        <w:t xml:space="preserve">The Pinnacle acquisition closed in March 2022 — over two years before the TTM period. Integration costs continuing into FY2024 at $800K suggest either the integration is not</w:t>
      </w:r>
      <w:r>
        <w:t xml:space="preserve"> </w:t>
      </w:r>
      <w:r>
        <w:t xml:space="preserve">“</w:t>
      </w:r>
      <w:r>
        <w:t xml:space="preserve">substantially complete</w:t>
      </w:r>
      <w:r>
        <w:t xml:space="preserve">”</w:t>
      </w:r>
      <w:r>
        <w:t xml:space="preserve"> </w:t>
      </w:r>
      <w:r>
        <w:t xml:space="preserve">as represented, or these costs are recurring in nature and should not be added back.</w:t>
      </w:r>
    </w:p>
    <w:p>
      <w:pPr>
        <w:pStyle w:val="Compact"/>
        <w:numPr>
          <w:ilvl w:val="0"/>
          <w:numId w:val="1001"/>
        </w:numPr>
      </w:pPr>
      <w:r>
        <w:rPr>
          <w:b/>
          <w:bCs/>
        </w:rPr>
        <w:t xml:space="preserve">Asbestos Wind-Down Costs ($1.8M):</w:t>
      </w:r>
      <w:r>
        <w:t xml:space="preserve"> </w:t>
      </w:r>
      <w:r>
        <w:t xml:space="preserve">The service line was discontinued September 30, 2023. Wind-down costs of $1.8M in FY2024 are presented as non-recurring, but two open workers’ compensation claims from former asbestos employees remain pending, and long-tail asbestos exposure claims are unquantified and uninsured for pre-2015 work.</w:t>
      </w:r>
    </w:p>
    <w:p>
      <w:pPr>
        <w:pStyle w:val="Compact"/>
        <w:numPr>
          <w:ilvl w:val="0"/>
          <w:numId w:val="1001"/>
        </w:numPr>
      </w:pPr>
      <w:r>
        <w:rPr>
          <w:b/>
          <w:bCs/>
        </w:rPr>
        <w:t xml:space="preserve">ERP Implementation ($650K):</w:t>
      </w:r>
      <w:r>
        <w:t xml:space="preserve"> </w:t>
      </w:r>
      <w:r>
        <w:t xml:space="preserve">Described as Phase 2 of the RidgeTrack upgrade, expected to complete Q2 FY2025 — meaning additional costs will be incurred post-closing.</w:t>
      </w:r>
    </w:p>
    <w:p>
      <w:pPr>
        <w:pStyle w:val="FirstParagraph"/>
      </w:pPr>
      <w:r>
        <w:rPr>
          <w:b/>
          <w:bCs/>
        </w:rPr>
        <w:t xml:space="preserve">Estimated Exposure:</w:t>
      </w:r>
      <w:r>
        <w:t xml:space="preserve"> </w:t>
      </w:r>
      <w:r>
        <w:t xml:space="preserve">$2–4M potential reduction to normalized EBITDA; $16–18M valuation impact at stated multiples.</w:t>
      </w:r>
    </w:p>
    <w:p>
      <w:pPr>
        <w:pStyle w:val="BodyText"/>
      </w:pPr>
      <w:r>
        <w:rPr>
          <w:b/>
          <w:bCs/>
        </w:rPr>
        <w:t xml:space="preserve">Required Action:</w:t>
      </w:r>
      <w:r>
        <w:t xml:space="preserve"> </w:t>
      </w:r>
      <w:r>
        <w:t xml:space="preserve">Conduct independent QoE analysis. Stress-test each add-back for recurrence. Obtain multi-year history of</w:t>
      </w:r>
      <w:r>
        <w:t xml:space="preserve"> </w:t>
      </w:r>
      <w:r>
        <w:t xml:space="preserve">“</w:t>
      </w:r>
      <w:r>
        <w:t xml:space="preserve">non-recurring</w:t>
      </w:r>
      <w:r>
        <w:t xml:space="preserve">”</w:t>
      </w:r>
      <w:r>
        <w:t xml:space="preserve"> </w:t>
      </w:r>
      <w:r>
        <w:t xml:space="preserve">items to assess pattern.</w:t>
      </w:r>
    </w:p>
    <w:p>
      <w:r>
        <w:pict>
          <v:rect style="width:0;height:1.5pt" o:hralign="center" o:hrstd="t" o:hr="t"/>
        </w:pict>
      </w:r>
    </w:p>
    <w:bookmarkEnd w:id="24"/>
    <w:bookmarkStart w:id="25" w:name="Xba212f0d8327166440d04d2dc76d4b8b843350e"/>
    <w:p>
      <w:pPr>
        <w:pStyle w:val="Heading3"/>
      </w:pPr>
      <w:r>
        <w:t xml:space="preserve">RF-03 | DOE IDIQ Ceiling Near Exhaustion — $12.1M Revenue Headwind in FY2025</w:t>
      </w:r>
    </w:p>
    <w:p>
      <w:pPr>
        <w:pStyle w:val="FirstParagraph"/>
      </w:pPr>
      <w:r>
        <w:rPr>
          <w:b/>
          <w:bCs/>
        </w:rPr>
        <w:t xml:space="preserve">Severity: CRITICAL</w:t>
      </w:r>
    </w:p>
    <w:p>
      <w:pPr>
        <w:pStyle w:val="BodyText"/>
      </w:pPr>
      <w:r>
        <w:t xml:space="preserve">The U.S. Department of Energy IDIQ contract (DE-EM-0005523) is the Company’s largest customer at $24.4M (19.2% of TTM revenue). However,</w:t>
      </w:r>
      <w:r>
        <w:t xml:space="preserve"> </w:t>
      </w:r>
      <w:r>
        <w:rPr>
          <w:b/>
          <w:bCs/>
        </w:rPr>
        <w:t xml:space="preserve">72.7% of the $45M ceiling has been consumed in 61.7% of the contract period.</w:t>
      </w:r>
      <w:r>
        <w:t xml:space="preserve"> </w:t>
      </w:r>
      <w:r>
        <w:t xml:space="preserve">At the current run rate of ~$2.03M/month, the remaining $12.3M ceiling will be exhausted by approximately</w:t>
      </w:r>
      <w:r>
        <w:t xml:space="preserve"> </w:t>
      </w:r>
      <w:r>
        <w:rPr>
          <w:b/>
          <w:bCs/>
        </w:rPr>
        <w:t xml:space="preserve">April–May 2025</w:t>
      </w:r>
      <w:r>
        <w:t xml:space="preserve"> </w:t>
      </w:r>
      <w:r>
        <w:t xml:space="preserve">— coinciding with the target closing date. The contract does not expire until August 31, 2026, leaving ~16 months of unfunded contract period.</w:t>
      </w:r>
    </w:p>
    <w:p>
      <w:pPr>
        <w:pStyle w:val="BodyText"/>
      </w:pPr>
      <w:r>
        <w:t xml:space="preserve">If the ceiling is not increased via contract modification, DOE revenue could fall from $24.4M to ≤$12.3M in FY2025, representing a</w:t>
      </w:r>
      <w:r>
        <w:t xml:space="preserve"> </w:t>
      </w:r>
      <w:r>
        <w:rPr>
          <w:b/>
          <w:bCs/>
        </w:rPr>
        <w:t xml:space="preserve">$12.1M revenue headwind (9.5% of total revenue)</w:t>
      </w:r>
      <w:r>
        <w:t xml:space="preserve">. This is not disclosed in the CIM, which presents the DOE relationship as providing</w:t>
      </w:r>
      <w:r>
        <w:t xml:space="preserve"> </w:t>
      </w:r>
      <w:r>
        <w:t xml:space="preserve">“</w:t>
      </w:r>
      <w:r>
        <w:t xml:space="preserve">substantial near-term revenue visibility.</w:t>
      </w:r>
      <w:r>
        <w:t xml:space="preserve">”</w:t>
      </w:r>
      <w:r>
        <w:t xml:space="preserve"> </w:t>
      </w:r>
      <w:r>
        <w:t xml:space="preserve">The contract is also non-assignable without Contracting Officer consent under the Anti-Assignment Act (41 U.S.C. § 6305), and a novation agreement may be required upon closing.</w:t>
      </w:r>
    </w:p>
    <w:p>
      <w:pPr>
        <w:pStyle w:val="BodyText"/>
      </w:pPr>
      <w:r>
        <w:rPr>
          <w:b/>
          <w:bCs/>
        </w:rPr>
        <w:t xml:space="preserve">Estimated Exposure:</w:t>
      </w:r>
      <w:r>
        <w:t xml:space="preserve"> </w:t>
      </w:r>
      <w:r>
        <w:t xml:space="preserve">$12.1M+ revenue decline; $97–$109M valuation impact at stated multiples if EBITDA declines proportionally.</w:t>
      </w:r>
    </w:p>
    <w:p>
      <w:pPr>
        <w:pStyle w:val="BodyText"/>
      </w:pPr>
      <w:r>
        <w:rPr>
          <w:b/>
          <w:bCs/>
        </w:rPr>
        <w:t xml:space="preserve">Required Action:</w:t>
      </w:r>
      <w:r>
        <w:t xml:space="preserve"> </w:t>
      </w:r>
      <w:r>
        <w:t xml:space="preserve">Obtain written confirmation from DOE Contracting Officer regarding ceiling modification prospects and novation requirements. Treat DOE revenue above $12.3M as non-recurring for valuation purposes absent a ceiling increase commitment.</w:t>
      </w:r>
    </w:p>
    <w:p>
      <w:r>
        <w:pict>
          <v:rect style="width:0;height:1.5pt" o:hralign="center" o:hrstd="t" o:hr="t"/>
        </w:pict>
      </w:r>
    </w:p>
    <w:bookmarkEnd w:id="25"/>
    <w:bookmarkStart w:id="26" w:name="X829ed07481aa43e9f1f538ae353fb89a1701e91"/>
    <w:p>
      <w:pPr>
        <w:pStyle w:val="Heading3"/>
      </w:pPr>
      <w:r>
        <w:t xml:space="preserve">RF-04 | Fleet Aging — 44.7% of Assets Past Useful Life; $9.8M Replacement Backlog</w:t>
      </w:r>
    </w:p>
    <w:p>
      <w:pPr>
        <w:pStyle w:val="FirstParagraph"/>
      </w:pPr>
      <w:r>
        <w:rPr>
          <w:b/>
          <w:bCs/>
        </w:rPr>
        <w:t xml:space="preserve">Severity: MEDIUM-HIGH</w:t>
      </w:r>
    </w:p>
    <w:p>
      <w:pPr>
        <w:pStyle w:val="BodyText"/>
      </w:pPr>
      <w:r>
        <w:t xml:space="preserve">The Fleet &amp; Equipment Schedule reveals that</w:t>
      </w:r>
      <w:r>
        <w:t xml:space="preserve"> </w:t>
      </w:r>
      <w:r>
        <w:rPr>
          <w:b/>
          <w:bCs/>
        </w:rPr>
        <w:t xml:space="preserve">38 of 85 assets (44.7%) are at or past their stated useful life</w:t>
      </w:r>
      <w:r>
        <w:t xml:space="preserve">, with an average fleet age of 8.2 years against a weighted average useful life of 7.0 years. Total estimated replacement cost for past-useful-life units is</w:t>
      </w:r>
      <w:r>
        <w:t xml:space="preserve"> </w:t>
      </w:r>
      <w:r>
        <w:rPr>
          <w:b/>
          <w:bCs/>
        </w:rPr>
        <w:t xml:space="preserve">$9.8M</w:t>
      </w:r>
      <w:r>
        <w:t xml:space="preserve">. Many units are marked</w:t>
      </w:r>
      <w:r>
        <w:t xml:space="preserve"> </w:t>
      </w:r>
      <w:r>
        <w:t xml:space="preserve">“</w:t>
      </w:r>
      <w:r>
        <w:t xml:space="preserve">Replacement Deferred</w:t>
      </w:r>
      <w:r>
        <w:t xml:space="preserve">”</w:t>
      </w:r>
      <w:r>
        <w:t xml:space="preserve"> </w:t>
      </w:r>
      <w:r>
        <w:t xml:space="preserve">— a conscious management decision during the Pinnacle integration period. Management’s normalized maintenance capex estimate of $4.0–$4.5M/year appears understated; actual FY2024 maintenance capex was $5.3M, and spreading the $9.8M backlog over three years implies ~$3.3M/year in catch-up capex above the current run rate.</w:t>
      </w:r>
    </w:p>
    <w:p>
      <w:pPr>
        <w:pStyle w:val="BodyText"/>
      </w:pPr>
      <w:r>
        <w:rPr>
          <w:b/>
          <w:bCs/>
        </w:rPr>
        <w:t xml:space="preserve">Estimated Exposure:</w:t>
      </w:r>
      <w:r>
        <w:t xml:space="preserve"> </w:t>
      </w:r>
      <w:r>
        <w:t xml:space="preserve">$3–5M in additional annual capex above management’s normalized estimate; $9.8M near-term replacement obligation.</w:t>
      </w:r>
    </w:p>
    <w:p>
      <w:pPr>
        <w:pStyle w:val="BodyText"/>
      </w:pPr>
      <w:r>
        <w:rPr>
          <w:b/>
          <w:bCs/>
        </w:rPr>
        <w:t xml:space="preserve">Required Action:</w:t>
      </w:r>
      <w:r>
        <w:t xml:space="preserve"> </w:t>
      </w:r>
      <w:r>
        <w:t xml:space="preserve">Commission independent fleet appraisal. Adjust normalized capex upward in valuation model. Negotiate purchase price reduction or capex escrow.</w:t>
      </w:r>
    </w:p>
    <w:p>
      <w:r>
        <w:pict>
          <v:rect style="width:0;height:1.5pt" o:hralign="center" o:hrstd="t" o:hr="t"/>
        </w:pict>
      </w:r>
    </w:p>
    <w:bookmarkEnd w:id="26"/>
    <w:bookmarkStart w:id="27" w:name="X40776a846be8fc88e0c0a37f8688bc3699ae2ad"/>
    <w:p>
      <w:pPr>
        <w:pStyle w:val="Heading3"/>
      </w:pPr>
      <w:r>
        <w:t xml:space="preserve">RF-05 | Revenue Growth Deceleration and Reported EBITDA Decline</w:t>
      </w:r>
    </w:p>
    <w:p>
      <w:pPr>
        <w:pStyle w:val="FirstParagraph"/>
      </w:pPr>
      <w:r>
        <w:rPr>
          <w:b/>
          <w:bCs/>
        </w:rPr>
        <w:t xml:space="preserve">Severity: MEDIUM</w:t>
      </w:r>
    </w:p>
    <w:p>
      <w:pPr>
        <w:pStyle w:val="BodyText"/>
      </w:pPr>
      <w:r>
        <w:t xml:space="preserve">Revenue growth decelerated from 17.2% (FY2023) to 11.1% (FY2024 TTM). More significantly,</w:t>
      </w:r>
      <w:r>
        <w:t xml:space="preserve"> </w:t>
      </w:r>
      <w:r>
        <w:rPr>
          <w:b/>
          <w:bCs/>
        </w:rPr>
        <w:t xml:space="preserve">reported EBITDA declined 27.0% year-over-year</w:t>
      </w:r>
      <w:r>
        <w:t xml:space="preserve"> </w:t>
      </w:r>
      <w:r>
        <w:t xml:space="preserve">(from $25.2M in FY2023 to $18.4M in FY2024 per the QoE P&amp;L), even as revenue grew. This compression is masked by the $5.4M adjustment package. The EBIT margin also declined from 16.0% to 14.5%. The hazardous waste transportation segment experienced margin compression due to diesel cost increases and disposal fee escalation. Industrial cleaning revenue grew sharply (+48% YoY) partly due to absorption of former asbestos clients — a one-time benefit that will not recur.</w:t>
      </w:r>
    </w:p>
    <w:p>
      <w:pPr>
        <w:pStyle w:val="BodyText"/>
      </w:pPr>
      <w:r>
        <w:rPr>
          <w:b/>
          <w:bCs/>
        </w:rPr>
        <w:t xml:space="preserve">Required Action:</w:t>
      </w:r>
      <w:r>
        <w:t xml:space="preserve"> </w:t>
      </w:r>
      <w:r>
        <w:t xml:space="preserve">Obtain management explanation for EBITDA decline. Assess sustainability of industrial cleaning growth. Model downside scenario with reported EBITDA as the base.</w:t>
      </w:r>
    </w:p>
    <w:p>
      <w:r>
        <w:pict>
          <v:rect style="width:0;height:1.5pt" o:hralign="center" o:hrstd="t" o:hr="t"/>
        </w:pict>
      </w:r>
    </w:p>
    <w:bookmarkEnd w:id="27"/>
    <w:bookmarkEnd w:id="28"/>
    <w:bookmarkStart w:id="33" w:name="iii.-environmental-regulatory-red-flags"/>
    <w:p>
      <w:pPr>
        <w:pStyle w:val="Heading2"/>
      </w:pPr>
      <w:r>
        <w:t xml:space="preserve">III. ENVIRONMENTAL &amp; REGULATORY RED FLAGS</w:t>
      </w:r>
    </w:p>
    <w:bookmarkStart w:id="29" w:name="X3c943451b27076cc8a4a04466e80295b31abf9c"/>
    <w:p>
      <w:pPr>
        <w:pStyle w:val="Heading3"/>
      </w:pPr>
      <w:r>
        <w:t xml:space="preserve">RF-06 | Grand Junction Phase II ESA — Stale 2019 Assessment; Unquantified Upside Risk</w:t>
      </w:r>
    </w:p>
    <w:p>
      <w:pPr>
        <w:pStyle w:val="FirstParagraph"/>
      </w:pPr>
      <w:r>
        <w:rPr>
          <w:b/>
          <w:bCs/>
        </w:rPr>
        <w:t xml:space="preserve">Severity: HIGH</w:t>
      </w:r>
    </w:p>
    <w:p>
      <w:pPr>
        <w:pStyle w:val="BodyText"/>
      </w:pPr>
      <w:r>
        <w:t xml:space="preserve">The Phase II ESA for the owned Grand Junction headquarters (8750 Industrial Parkway) was completed in</w:t>
      </w:r>
      <w:r>
        <w:t xml:space="preserve"> </w:t>
      </w:r>
      <w:r>
        <w:rPr>
          <w:b/>
          <w:bCs/>
        </w:rPr>
        <w:t xml:space="preserve">June 2019 — over five years ago</w:t>
      </w:r>
      <w:r>
        <w:t xml:space="preserve">. The assessment identified:</w:t>
      </w:r>
    </w:p>
    <w:p>
      <w:pPr>
        <w:pStyle w:val="Compact"/>
        <w:numPr>
          <w:ilvl w:val="0"/>
          <w:numId w:val="1002"/>
        </w:numPr>
      </w:pPr>
      <w:r>
        <w:rPr>
          <w:b/>
          <w:bCs/>
        </w:rPr>
        <w:t xml:space="preserve">Petroleum hydrocarbon contamination</w:t>
      </w:r>
      <w:r>
        <w:t xml:space="preserve"> </w:t>
      </w:r>
      <w:r>
        <w:t xml:space="preserve">(TPH-diesel up to 4,200 mg/kg; benzene in groundwater at 12 µg/L, exceeding Colorado standards) in the former UST area.</w:t>
      </w:r>
    </w:p>
    <w:p>
      <w:pPr>
        <w:pStyle w:val="Compact"/>
        <w:numPr>
          <w:ilvl w:val="0"/>
          <w:numId w:val="1002"/>
        </w:numPr>
      </w:pPr>
      <w:r>
        <w:rPr>
          <w:b/>
          <w:bCs/>
        </w:rPr>
        <w:t xml:space="preserve">Chlorinated solvent contamination</w:t>
      </w:r>
      <w:r>
        <w:t xml:space="preserve"> </w:t>
      </w:r>
      <w:r>
        <w:t xml:space="preserve">(PCE up to 18 mg/kg in soil; PCE at 22 µg/L and TCE at 8.7 µg/L in groundwater, both exceeding Colorado standards) in the former degreasing area.</w:t>
      </w:r>
    </w:p>
    <w:p>
      <w:pPr>
        <w:pStyle w:val="Compact"/>
        <w:numPr>
          <w:ilvl w:val="0"/>
          <w:numId w:val="1002"/>
        </w:numPr>
      </w:pPr>
      <w:r>
        <w:rPr>
          <w:b/>
          <w:bCs/>
        </w:rPr>
        <w:t xml:space="preserve">Vapor intrusion risk</w:t>
      </w:r>
      <w:r>
        <w:t xml:space="preserve"> </w:t>
      </w:r>
      <w:r>
        <w:t xml:space="preserve">at the eastern vehicle maintenance building (PCE at 450 µg/m³, exceeding EPA RSL of 240 µg/m³) —</w:t>
      </w:r>
      <w:r>
        <w:t xml:space="preserve"> </w:t>
      </w:r>
      <w:r>
        <w:rPr>
          <w:b/>
          <w:bCs/>
        </w:rPr>
        <w:t xml:space="preserve">no vapor intrusion assessment has been conducted</w:t>
      </w:r>
      <w:r>
        <w:t xml:space="preserve">.</w:t>
      </w:r>
    </w:p>
    <w:p>
      <w:pPr>
        <w:pStyle w:val="Compact"/>
        <w:numPr>
          <w:ilvl w:val="0"/>
          <w:numId w:val="1002"/>
        </w:numPr>
      </w:pPr>
      <w:r>
        <w:rPr>
          <w:b/>
          <w:bCs/>
        </w:rPr>
        <w:t xml:space="preserve">Off-site plume migration unconfirmed</w:t>
      </w:r>
      <w:r>
        <w:t xml:space="preserve"> </w:t>
      </w:r>
      <w:r>
        <w:t xml:space="preserve">— no sentinel wells installed downgradient; plume may have reached the Colorado River drainage system.</w:t>
      </w:r>
    </w:p>
    <w:p>
      <w:pPr>
        <w:pStyle w:val="FirstParagraph"/>
      </w:pPr>
      <w:r>
        <w:t xml:space="preserve">The 2019 cost estimate of $1.8–$2.6M is in 2019 dollars and explicitly excludes: vapor intrusion mitigation, off-site remediation, and DNAPL migration costs. The ESA report itself recommends updating the assessment before any property transaction.</w:t>
      </w:r>
      <w:r>
        <w:t xml:space="preserve"> </w:t>
      </w:r>
      <w:r>
        <w:rPr>
          <w:b/>
          <w:bCs/>
        </w:rPr>
        <w:t xml:space="preserve">No update has been commissioned.</w:t>
      </w:r>
      <w:r>
        <w:t xml:space="preserve"> </w:t>
      </w:r>
      <w:r>
        <w:t xml:space="preserve">The Company’s $3.2M total remediation accrual (of which ~$2.2M is attributable to Grand Junction) may be materially understated.</w:t>
      </w:r>
    </w:p>
    <w:p>
      <w:pPr>
        <w:pStyle w:val="BodyText"/>
      </w:pPr>
      <w:r>
        <w:rPr>
          <w:b/>
          <w:bCs/>
        </w:rPr>
        <w:t xml:space="preserve">Estimated Exposure:</w:t>
      </w:r>
      <w:r>
        <w:t xml:space="preserve"> </w:t>
      </w:r>
      <w:r>
        <w:t xml:space="preserve">$2.6M–$10M+ depending on off-site migration, vapor intrusion findings, and cost inflation since 2019.</w:t>
      </w:r>
    </w:p>
    <w:p>
      <w:pPr>
        <w:pStyle w:val="BodyText"/>
      </w:pPr>
      <w:r>
        <w:rPr>
          <w:b/>
          <w:bCs/>
        </w:rPr>
        <w:t xml:space="preserve">Required Action:</w:t>
      </w:r>
      <w:r>
        <w:t xml:space="preserve"> </w:t>
      </w:r>
      <w:r>
        <w:t xml:space="preserve">Commission updated Phase II ESA and vapor intrusion assessment as a pre-closing condition. Obtain independent remediation cost estimate. Negotiate environmental indemnification with extended survival (6 years per LOI) and separate escrow.</w:t>
      </w:r>
    </w:p>
    <w:p>
      <w:r>
        <w:pict>
          <v:rect style="width:0;height:1.5pt" o:hralign="center" o:hrstd="t" o:hr="t"/>
        </w:pict>
      </w:r>
    </w:p>
    <w:bookmarkEnd w:id="29"/>
    <w:bookmarkStart w:id="30" w:name="Xe3da0096458c8348979c9bc9eadbd6863ef7418"/>
    <w:p>
      <w:pPr>
        <w:pStyle w:val="Heading3"/>
      </w:pPr>
      <w:r>
        <w:t xml:space="preserve">RF-07 | CDPHE Enforcement Action — Active NOV; No Accrual; Penalty Up to $1.16M</w:t>
      </w:r>
    </w:p>
    <w:p>
      <w:pPr>
        <w:pStyle w:val="FirstParagraph"/>
      </w:pPr>
      <w:r>
        <w:rPr>
          <w:b/>
          <w:bCs/>
        </w:rPr>
        <w:t xml:space="preserve">Severity: MEDIUM-HIGH</w:t>
      </w:r>
    </w:p>
    <w:p>
      <w:pPr>
        <w:pStyle w:val="BodyText"/>
      </w:pPr>
      <w:r>
        <w:t xml:space="preserve">CDPHE issued a Notice of Violation (Docket No. CDPHE-HW-2024-0093) on July 18, 2024, alleging improper storage of ~14,000 gallons of F001/F002 listed hazardous waste at the Grand Junction facility. The parties dispute the violation period: RES claims 12 days (maximum penalty $450K); CDPHE claims 31 days (maximum penalty $1.16M).</w:t>
      </w:r>
      <w:r>
        <w:t xml:space="preserve"> </w:t>
      </w:r>
      <w:r>
        <w:rPr>
          <w:b/>
          <w:bCs/>
        </w:rPr>
        <w:t xml:space="preserve">No accrual has been recorded</w:t>
      </w:r>
      <w:r>
        <w:t xml:space="preserve"> </w:t>
      </w:r>
      <w:r>
        <w:t xml:space="preserve">on the balance sheet as of September 30, 2024. The matter is in administrative negotiation with a settlement conference expected Q1 2025. Management’s estimated settlement range is $200K–$450K, but this is based on the Company’s own violation period position, which CDPHE disputes.</w:t>
      </w:r>
    </w:p>
    <w:p>
      <w:pPr>
        <w:pStyle w:val="BodyText"/>
      </w:pPr>
      <w:r>
        <w:t xml:space="preserve">Additionally, the CDPHE enforcement action may constitute an Event of Default under the Credit Agreement if a governmental order requiring remediation in excess of $1.0M is issued — a threshold that CDPHE’s 31-day penalty position would exceed.</w:t>
      </w:r>
    </w:p>
    <w:p>
      <w:pPr>
        <w:pStyle w:val="BodyText"/>
      </w:pPr>
      <w:r>
        <w:rPr>
          <w:b/>
          <w:bCs/>
        </w:rPr>
        <w:t xml:space="preserve">Estimated Exposure:</w:t>
      </w:r>
      <w:r>
        <w:t xml:space="preserve"> </w:t>
      </w:r>
      <w:r>
        <w:t xml:space="preserve">$200K–$1.16M penalty; potential credit agreement default trigger.</w:t>
      </w:r>
    </w:p>
    <w:p>
      <w:pPr>
        <w:pStyle w:val="BodyText"/>
      </w:pPr>
      <w:r>
        <w:rPr>
          <w:b/>
          <w:bCs/>
        </w:rPr>
        <w:t xml:space="preserve">Required Action:</w:t>
      </w:r>
      <w:r>
        <w:t xml:space="preserve"> </w:t>
      </w:r>
      <w:r>
        <w:t xml:space="preserve">Require resolution or escrow of CDPHE matter before closing. Obtain independent legal assessment of CDPHE’s 31-day position. Confirm no credit agreement default has been triggered.</w:t>
      </w:r>
    </w:p>
    <w:p>
      <w:r>
        <w:pict>
          <v:rect style="width:0;height:1.5pt" o:hralign="center" o:hrstd="t" o:hr="t"/>
        </w:pict>
      </w:r>
    </w:p>
    <w:bookmarkEnd w:id="30"/>
    <w:bookmarkStart w:id="31" w:name="Xf83388cc847aaebdda4d7e6187f2ceffc2a5f5a"/>
    <w:p>
      <w:pPr>
        <w:pStyle w:val="Heading3"/>
      </w:pPr>
      <w:r>
        <w:t xml:space="preserve">RF-08 | Asbestos Long-Tail Liability — Pre-2015 Work Uninsured; 145 Sites</w:t>
      </w:r>
    </w:p>
    <w:p>
      <w:pPr>
        <w:pStyle w:val="FirstParagraph"/>
      </w:pPr>
      <w:r>
        <w:rPr>
          <w:b/>
          <w:bCs/>
        </w:rPr>
        <w:t xml:space="preserve">Severity: MEDIUM-HIGH</w:t>
      </w:r>
    </w:p>
    <w:p>
      <w:pPr>
        <w:pStyle w:val="BodyText"/>
      </w:pPr>
      <w:r>
        <w:t xml:space="preserve">RES operated an asbestos abatement service line from 2012 through September 30, 2023, performing work at approximately</w:t>
      </w:r>
      <w:r>
        <w:t xml:space="preserve"> </w:t>
      </w:r>
      <w:r>
        <w:rPr>
          <w:b/>
          <w:bCs/>
        </w:rPr>
        <w:t xml:space="preserve">145 commercial and industrial sites</w:t>
      </w:r>
      <w:r>
        <w:t xml:space="preserve"> </w:t>
      </w:r>
      <w:r>
        <w:t xml:space="preserve">across CO, UT, and WY. The current Pollution Legal Liability policy has a</w:t>
      </w:r>
      <w:r>
        <w:t xml:space="preserve"> </w:t>
      </w:r>
      <w:r>
        <w:rPr>
          <w:b/>
          <w:bCs/>
        </w:rPr>
        <w:t xml:space="preserve">retroactive date of January 1, 2015</w:t>
      </w:r>
      <w:r>
        <w:t xml:space="preserve">, meaning work performed from 2012–2014 is</w:t>
      </w:r>
      <w:r>
        <w:t xml:space="preserve"> </w:t>
      </w:r>
      <w:r>
        <w:rPr>
          <w:b/>
          <w:bCs/>
        </w:rPr>
        <w:t xml:space="preserve">not covered</w:t>
      </w:r>
      <w:r>
        <w:t xml:space="preserve"> </w:t>
      </w:r>
      <w:r>
        <w:t xml:space="preserve">by any current policy. The CGL policy contains a</w:t>
      </w:r>
      <w:r>
        <w:t xml:space="preserve"> </w:t>
      </w:r>
      <w:r>
        <w:rPr>
          <w:b/>
          <w:bCs/>
        </w:rPr>
        <w:t xml:space="preserve">blanket asbestos exclusion</w:t>
      </w:r>
      <w:r>
        <w:t xml:space="preserve">. No tail coverage has been procured for completed asbestos operations. Two workers’ compensation claims from former asbestos employees remain open (filed 2021 and 2022), alleging occupational respiratory exposure. Management rates future asbestos personal injury claims as</w:t>
      </w:r>
      <w:r>
        <w:t xml:space="preserve"> </w:t>
      </w:r>
      <w:r>
        <w:t xml:space="preserve">“</w:t>
      </w:r>
      <w:r>
        <w:t xml:space="preserve">Remote,</w:t>
      </w:r>
      <w:r>
        <w:t xml:space="preserve">”</w:t>
      </w:r>
      <w:r>
        <w:t xml:space="preserve"> </w:t>
      </w:r>
      <w:r>
        <w:t xml:space="preserve">but this assessment is self-serving and unverified.</w:t>
      </w:r>
    </w:p>
    <w:p>
      <w:pPr>
        <w:pStyle w:val="BodyText"/>
      </w:pPr>
      <w:r>
        <w:rPr>
          <w:b/>
          <w:bCs/>
        </w:rPr>
        <w:t xml:space="preserve">Estimated Exposure:</w:t>
      </w:r>
      <w:r>
        <w:t xml:space="preserve"> </w:t>
      </w:r>
      <w:r>
        <w:t xml:space="preserve">Unquantifiable; potentially $1M–$10M+ for latent disease claims given the 10–40 year latency period for asbestos-related diseases.</w:t>
      </w:r>
    </w:p>
    <w:p>
      <w:pPr>
        <w:pStyle w:val="BodyText"/>
      </w:pPr>
      <w:r>
        <w:rPr>
          <w:b/>
          <w:bCs/>
        </w:rPr>
        <w:t xml:space="preserve">Required Action:</w:t>
      </w:r>
      <w:r>
        <w:t xml:space="preserve"> </w:t>
      </w:r>
      <w:r>
        <w:t xml:space="preserve">Obtain independent actuarial assessment of asbestos tail liability. Require procurement of asbestos completed operations tail coverage as a closing condition, or negotiate specific indemnification with extended survival and separate escrow. Review all 145 project sites for exposure profile.</w:t>
      </w:r>
    </w:p>
    <w:p>
      <w:r>
        <w:pict>
          <v:rect style="width:0;height:1.5pt" o:hralign="center" o:hrstd="t" o:hr="t"/>
        </w:pict>
      </w:r>
    </w:p>
    <w:bookmarkEnd w:id="31"/>
    <w:bookmarkStart w:id="32" w:name="X8a503dc45a0038e810110da547421f4d3e45614"/>
    <w:p>
      <w:pPr>
        <w:pStyle w:val="Heading3"/>
      </w:pPr>
      <w:r>
        <w:t xml:space="preserve">RF-09 | Wyoming Casper Permit Expired — Operating on Timely Renewal Provisions</w:t>
      </w:r>
    </w:p>
    <w:p>
      <w:pPr>
        <w:pStyle w:val="FirstParagraph"/>
      </w:pPr>
      <w:r>
        <w:rPr>
          <w:b/>
          <w:bCs/>
        </w:rPr>
        <w:t xml:space="preserve">Severity: MEDIUM</w:t>
      </w:r>
    </w:p>
    <w:p>
      <w:pPr>
        <w:pStyle w:val="BodyText"/>
      </w:pPr>
      <w:r>
        <w:t xml:space="preserve">Wyoming Hazardous Waste Permit WY-HW-2019-033 for the Casper facility</w:t>
      </w:r>
      <w:r>
        <w:t xml:space="preserve"> </w:t>
      </w:r>
      <w:r>
        <w:rPr>
          <w:b/>
          <w:bCs/>
        </w:rPr>
        <w:t xml:space="preserve">expired November 30, 2024</w:t>
      </w:r>
      <w:r>
        <w:t xml:space="preserve">. The Company filed a renewal application on October 15, 2024 (46 days prior to expiration) and is currently operating under Wyoming’s timely renewal provisions. While this is legally permissible, it creates risk: (i) the Credit Agreement lists permit revocation or non-renewal as an Event of Default; (ii) the Wyoming DEQ could impose conditions on renewal that affect operations; and (iii) the Casper facility serves ~$30M+ in Wyoming revenue (23.7% of total).</w:t>
      </w:r>
    </w:p>
    <w:p>
      <w:pPr>
        <w:pStyle w:val="BodyText"/>
      </w:pPr>
      <w:r>
        <w:rPr>
          <w:b/>
          <w:bCs/>
        </w:rPr>
        <w:t xml:space="preserve">Required Action:</w:t>
      </w:r>
      <w:r>
        <w:t xml:space="preserve"> </w:t>
      </w:r>
      <w:r>
        <w:t xml:space="preserve">Obtain written confirmation from Wyoming DEQ of renewal timeline and absence of anticipated conditions. Confirm no credit agreement default has been triggered.</w:t>
      </w:r>
    </w:p>
    <w:p>
      <w:r>
        <w:pict>
          <v:rect style="width:0;height:1.5pt" o:hralign="center" o:hrstd="t" o:hr="t"/>
        </w:pict>
      </w:r>
    </w:p>
    <w:bookmarkEnd w:id="32"/>
    <w:bookmarkEnd w:id="33"/>
    <w:bookmarkStart w:id="36" w:name="X4e312bd5e2eb0d113e0bab1284a8e4602946357"/>
    <w:p>
      <w:pPr>
        <w:pStyle w:val="Heading2"/>
      </w:pPr>
      <w:r>
        <w:t xml:space="preserve">IV. COMMERCIAL / CUSTOMER CONCENTRATION RED FLAGS</w:t>
      </w:r>
    </w:p>
    <w:bookmarkStart w:id="34" w:name="Xa0c293d59d9bc41e795df4815faeabf7dbefe6b"/>
    <w:p>
      <w:pPr>
        <w:pStyle w:val="Heading3"/>
      </w:pPr>
      <w:r>
        <w:t xml:space="preserve">RF-10 | Customer Concentration — Top 5 = 50.4% of Revenue; Multiple Termination-for-Convenience Clauses</w:t>
      </w:r>
    </w:p>
    <w:p>
      <w:pPr>
        <w:pStyle w:val="FirstParagraph"/>
      </w:pPr>
      <w:r>
        <w:rPr>
          <w:b/>
          <w:bCs/>
        </w:rPr>
        <w:t xml:space="preserve">Severity: MEDIUM-HIGH</w:t>
      </w:r>
    </w:p>
    <w:p>
      <w:pPr>
        <w:pStyle w:val="BodyText"/>
      </w:pPr>
      <w:r>
        <w:t xml:space="preserve">The top 5 customers represent 50.4% of TTM revenue ($64.1M of $127.3M). The top 10 represent 67.0%. Key risks:</w:t>
      </w:r>
    </w:p>
    <w:p>
      <w:pPr>
        <w:pStyle w:val="Compact"/>
        <w:numPr>
          <w:ilvl w:val="0"/>
          <w:numId w:val="1003"/>
        </w:numPr>
      </w:pPr>
      <w:r>
        <w:rPr>
          <w:b/>
          <w:bCs/>
        </w:rPr>
        <w:t xml:space="preserve">DOE (19.2%):</w:t>
      </w:r>
      <w:r>
        <w:t xml:space="preserve"> </w:t>
      </w:r>
      <w:r>
        <w:t xml:space="preserve">IDIQ ceiling exhaustion risk (see RF-03); non-assignable without CO consent; novation may be required.</w:t>
      </w:r>
    </w:p>
    <w:p>
      <w:pPr>
        <w:pStyle w:val="Compact"/>
        <w:numPr>
          <w:ilvl w:val="0"/>
          <w:numId w:val="1003"/>
        </w:numPr>
      </w:pPr>
      <w:r>
        <w:rPr>
          <w:b/>
          <w:bCs/>
        </w:rPr>
        <w:t xml:space="preserve">Consolidated Mining &amp; Minerals Corp. (11.4%):</w:t>
      </w:r>
      <w:r>
        <w:t xml:space="preserve"> </w:t>
      </w:r>
      <w:r>
        <w:t xml:space="preserve">MSA subject to</w:t>
      </w:r>
      <w:r>
        <w:t xml:space="preserve"> </w:t>
      </w:r>
      <w:r>
        <w:rPr>
          <w:b/>
          <w:bCs/>
        </w:rPr>
        <w:t xml:space="preserve">60-day termination for convenience</w:t>
      </w:r>
      <w:r>
        <w:t xml:space="preserve"> </w:t>
      </w:r>
      <w:r>
        <w:t xml:space="preserve">with no minimum volume commitments. Revenue has grown consistently but is entirely at-will.</w:t>
      </w:r>
    </w:p>
    <w:p>
      <w:pPr>
        <w:pStyle w:val="Compact"/>
        <w:numPr>
          <w:ilvl w:val="0"/>
          <w:numId w:val="1003"/>
        </w:numPr>
      </w:pPr>
      <w:r>
        <w:rPr>
          <w:b/>
          <w:bCs/>
        </w:rPr>
        <w:t xml:space="preserve">Intermountain Health Systems (5.6%):</w:t>
      </w:r>
      <w:r>
        <w:t xml:space="preserve"> </w:t>
      </w:r>
      <w:r>
        <w:t xml:space="preserve">Contract expires June 30, 2025 — within 60 days of target closing. Renewal option not yet exercised; renewal decision expected February 2025. Assignment requires prior written consent.</w:t>
      </w:r>
    </w:p>
    <w:p>
      <w:pPr>
        <w:pStyle w:val="Compact"/>
        <w:numPr>
          <w:ilvl w:val="0"/>
          <w:numId w:val="1003"/>
        </w:numPr>
      </w:pPr>
      <w:r>
        <w:rPr>
          <w:b/>
          <w:bCs/>
        </w:rPr>
        <w:t xml:space="preserve">8 of top 20 contracts</w:t>
      </w:r>
      <w:r>
        <w:t xml:space="preserve"> </w:t>
      </w:r>
      <w:r>
        <w:t xml:space="preserve">contain assignment, change-of-control, or notification provisions requiring action in connection with the proposed transaction.</w:t>
      </w:r>
    </w:p>
    <w:p>
      <w:pPr>
        <w:pStyle w:val="Compact"/>
        <w:numPr>
          <w:ilvl w:val="0"/>
          <w:numId w:val="1003"/>
        </w:numPr>
      </w:pPr>
      <w:r>
        <w:rPr>
          <w:b/>
          <w:bCs/>
        </w:rPr>
        <w:t xml:space="preserve">12 of top 20 contracts</w:t>
      </w:r>
      <w:r>
        <w:t xml:space="preserve"> </w:t>
      </w:r>
      <w:r>
        <w:t xml:space="preserve">include termination for convenience with ≤60 days notice.</w:t>
      </w:r>
    </w:p>
    <w:p>
      <w:pPr>
        <w:pStyle w:val="FirstParagraph"/>
      </w:pPr>
      <w:r>
        <w:rPr>
          <w:b/>
          <w:bCs/>
        </w:rPr>
        <w:t xml:space="preserve">Required Action:</w:t>
      </w:r>
      <w:r>
        <w:t xml:space="preserve"> </w:t>
      </w:r>
      <w:r>
        <w:t xml:space="preserve">Obtain customer consent or waiver letters from all contracts with assignment/change-of-control provisions before closing. Confirm Intermountain Health renewal status. Treat all T4C revenue as at-risk in downside modeling.</w:t>
      </w:r>
    </w:p>
    <w:p>
      <w:r>
        <w:pict>
          <v:rect style="width:0;height:1.5pt" o:hralign="center" o:hrstd="t" o:hr="t"/>
        </w:pict>
      </w:r>
    </w:p>
    <w:bookmarkEnd w:id="34"/>
    <w:bookmarkStart w:id="35" w:name="X29047f7df297a1ec8dc385a271b023456da056d"/>
    <w:p>
      <w:pPr>
        <w:pStyle w:val="Heading3"/>
      </w:pPr>
      <w:r>
        <w:t xml:space="preserve">RF-11 | Salt Lake City Facility — Cascading Consent Failures Affecting ~$16.2M Revenue</w:t>
      </w:r>
    </w:p>
    <w:p>
      <w:pPr>
        <w:pStyle w:val="FirstParagraph"/>
      </w:pPr>
      <w:r>
        <w:rPr>
          <w:b/>
          <w:bCs/>
        </w:rPr>
        <w:t xml:space="preserve">Severity: HIGH</w:t>
      </w:r>
    </w:p>
    <w:p>
      <w:pPr>
        <w:pStyle w:val="BodyText"/>
      </w:pPr>
      <w:r>
        <w:t xml:space="preserve">The Salt Lake City transfer station (2100 West North Temple) is the nexus of multiple unresolved issues:</w:t>
      </w:r>
    </w:p>
    <w:p>
      <w:pPr>
        <w:pStyle w:val="Compact"/>
        <w:numPr>
          <w:ilvl w:val="0"/>
          <w:numId w:val="1004"/>
        </w:numPr>
      </w:pPr>
      <w:r>
        <w:rPr>
          <w:b/>
          <w:bCs/>
        </w:rPr>
        <w:t xml:space="preserve">Lease Assignment Unresolved (2+ Years):</w:t>
      </w:r>
      <w:r>
        <w:t xml:space="preserve"> </w:t>
      </w:r>
      <w:r>
        <w:t xml:space="preserve">The lease was originally executed by Pinnacle Waste Solutions, LLC. RES requested landlord consent to assignment on April 12, 2022. As of December 2024 —</w:t>
      </w:r>
      <w:r>
        <w:t xml:space="preserve"> </w:t>
      </w:r>
      <w:r>
        <w:rPr>
          <w:b/>
          <w:bCs/>
        </w:rPr>
        <w:t xml:space="preserve">32 months later</w:t>
      </w:r>
      <w:r>
        <w:t xml:space="preserve"> </w:t>
      </w:r>
      <w:r>
        <w:t xml:space="preserve">— no written consent has been received from Wasatch Industrial Properties, LLC. The lease explicitly requires consent for any change of control. The proposed Sycamore acquisition would constitute a</w:t>
      </w:r>
      <w:r>
        <w:t xml:space="preserve"> </w:t>
      </w:r>
      <w:r>
        <w:rPr>
          <w:b/>
          <w:bCs/>
        </w:rPr>
        <w:t xml:space="preserve">second, layered change-of-control event</w:t>
      </w:r>
      <w:r>
        <w:t xml:space="preserve"> </w:t>
      </w:r>
      <w:r>
        <w:t xml:space="preserve">on top of the unresolved prior assignment.</w:t>
      </w:r>
    </w:p>
    <w:p>
      <w:pPr>
        <w:pStyle w:val="Compact"/>
        <w:numPr>
          <w:ilvl w:val="0"/>
          <w:numId w:val="1004"/>
        </w:numPr>
      </w:pPr>
      <w:r>
        <w:rPr>
          <w:b/>
          <w:bCs/>
        </w:rPr>
        <w:t xml:space="preserve">Hazardous Waste Permit Not Transferred:</w:t>
      </w:r>
      <w:r>
        <w:t xml:space="preserve"> </w:t>
      </w:r>
      <w:r>
        <w:t xml:space="preserve">Utah Permit UTH-0441 remains in the name of Pinnacle Waste Solutions, LLC — not RES. The facility is being operated under a permit held by a dormant subsidiary.</w:t>
      </w:r>
    </w:p>
    <w:p>
      <w:pPr>
        <w:pStyle w:val="Compact"/>
        <w:numPr>
          <w:ilvl w:val="0"/>
          <w:numId w:val="1004"/>
        </w:numPr>
      </w:pPr>
      <w:r>
        <w:rPr>
          <w:b/>
          <w:bCs/>
        </w:rPr>
        <w:t xml:space="preserve">Revenue at Risk:</w:t>
      </w:r>
      <w:r>
        <w:t xml:space="preserve"> </w:t>
      </w:r>
      <w:r>
        <w:t xml:space="preserve">Approximately</w:t>
      </w:r>
      <w:r>
        <w:t xml:space="preserve"> </w:t>
      </w:r>
      <w:r>
        <w:rPr>
          <w:b/>
          <w:bCs/>
        </w:rPr>
        <w:t xml:space="preserve">$16.2M in annual revenue</w:t>
      </w:r>
      <w:r>
        <w:t xml:space="preserve"> </w:t>
      </w:r>
      <w:r>
        <w:t xml:space="preserve">(12.7% of total) is served from this facility, including Wasatch Front Petroleum ($6.4M), Silver Creek Mining ($5.8M), Utah DEQ ($4.6M), and others.</w:t>
      </w:r>
    </w:p>
    <w:p>
      <w:pPr>
        <w:pStyle w:val="Compact"/>
        <w:numPr>
          <w:ilvl w:val="0"/>
          <w:numId w:val="1004"/>
        </w:numPr>
      </w:pPr>
      <w:r>
        <w:rPr>
          <w:b/>
          <w:bCs/>
        </w:rPr>
        <w:t xml:space="preserve">Landlord Inquiry:</w:t>
      </w:r>
      <w:r>
        <w:t xml:space="preserve"> </w:t>
      </w:r>
      <w:r>
        <w:t xml:space="preserve">In November 2024, the landlord sent correspondence specifically inquiring about the change of control — suggesting awareness and potential intent to enforce consent rights.</w:t>
      </w:r>
    </w:p>
    <w:p>
      <w:pPr>
        <w:pStyle w:val="FirstParagraph"/>
      </w:pPr>
      <w:r>
        <w:rPr>
          <w:b/>
          <w:bCs/>
        </w:rPr>
        <w:t xml:space="preserve">Estimated Exposure:</w:t>
      </w:r>
      <w:r>
        <w:t xml:space="preserve"> </w:t>
      </w:r>
      <w:r>
        <w:t xml:space="preserve">$16.2M revenue at risk; potential lease termination; permit operating violation.</w:t>
      </w:r>
    </w:p>
    <w:p>
      <w:pPr>
        <w:pStyle w:val="BodyText"/>
      </w:pPr>
      <w:r>
        <w:rPr>
          <w:b/>
          <w:bCs/>
        </w:rPr>
        <w:t xml:space="preserve">Required Action:</w:t>
      </w:r>
      <w:r>
        <w:t xml:space="preserve"> </w:t>
      </w:r>
      <w:r>
        <w:t xml:space="preserve">Obtain landlord consent to both the Pinnacle-to-RES assignment and the Sycamore acquisition as a pre-closing condition. Complete Utah permit transfer to RES before closing. Treat SLC facility revenue as contingent pending resolution.</w:t>
      </w:r>
    </w:p>
    <w:p>
      <w:r>
        <w:pict>
          <v:rect style="width:0;height:1.5pt" o:hralign="center" o:hrstd="t" o:hr="t"/>
        </w:pict>
      </w:r>
    </w:p>
    <w:bookmarkEnd w:id="35"/>
    <w:bookmarkEnd w:id="36"/>
    <w:bookmarkStart w:id="40" w:name="v.-legal-litigation-red-flags"/>
    <w:p>
      <w:pPr>
        <w:pStyle w:val="Heading2"/>
      </w:pPr>
      <w:r>
        <w:t xml:space="preserve">V. LEGAL &amp; LITIGATION RED FLAGS</w:t>
      </w:r>
    </w:p>
    <w:bookmarkStart w:id="37" w:name="Xf30916d8d6f35a47d51dbbbb47ae68a781b6fef"/>
    <w:p>
      <w:pPr>
        <w:pStyle w:val="Heading3"/>
      </w:pPr>
      <w:r>
        <w:t xml:space="preserve">RF-12 | Change-of-Control Severance — $2.625M Certain at Closing; Total $3.775M</w:t>
      </w:r>
    </w:p>
    <w:p>
      <w:pPr>
        <w:pStyle w:val="FirstParagraph"/>
      </w:pPr>
      <w:r>
        <w:rPr>
          <w:b/>
          <w:bCs/>
        </w:rPr>
        <w:t xml:space="preserve">Severity: MEDIUM-HIGH</w:t>
      </w:r>
    </w:p>
    <w:p>
      <w:pPr>
        <w:pStyle w:val="BodyText"/>
      </w:pPr>
      <w:r>
        <w:t xml:space="preserve">All five executive employment agreements contain change-of-control severance provisions triggered by the proposed 100% stock acquisition. The aggregate obligation is</w:t>
      </w:r>
      <w:r>
        <w:t xml:space="preserve"> </w:t>
      </w:r>
      <w:r>
        <w:rPr>
          <w:b/>
          <w:bCs/>
        </w:rPr>
        <w:t xml:space="preserve">$3.775M</w:t>
      </w:r>
      <w:r>
        <w:t xml:space="preserve">:</w:t>
      </w:r>
    </w:p>
    <w:p>
      <w:pPr>
        <w:pStyle w:val="Compact"/>
        <w:numPr>
          <w:ilvl w:val="0"/>
          <w:numId w:val="1005"/>
        </w:numPr>
      </w:pPr>
      <w:r>
        <w:rPr>
          <w:b/>
          <w:bCs/>
        </w:rPr>
        <w:t xml:space="preserve">Derek Calloway (CEO) — $1,312,500:</w:t>
      </w:r>
      <w:r>
        <w:t xml:space="preserve"> </w:t>
      </w:r>
      <w:r>
        <w:t xml:space="preserve">Single trigger — payable within 30 days of closing regardless of post-closing employment status.</w:t>
      </w:r>
    </w:p>
    <w:p>
      <w:pPr>
        <w:pStyle w:val="Compact"/>
        <w:numPr>
          <w:ilvl w:val="0"/>
          <w:numId w:val="1005"/>
        </w:numPr>
      </w:pPr>
      <w:r>
        <w:rPr>
          <w:b/>
          <w:bCs/>
        </w:rPr>
        <w:t xml:space="preserve">Jason Calloway (COO) — $1,312,500:</w:t>
      </w:r>
      <w:r>
        <w:t xml:space="preserve"> </w:t>
      </w:r>
      <w:r>
        <w:t xml:space="preserve">Single trigger — same terms.</w:t>
      </w:r>
    </w:p>
    <w:p>
      <w:pPr>
        <w:pStyle w:val="Compact"/>
        <w:numPr>
          <w:ilvl w:val="0"/>
          <w:numId w:val="1005"/>
        </w:numPr>
      </w:pPr>
      <w:r>
        <w:rPr>
          <w:b/>
          <w:bCs/>
        </w:rPr>
        <w:t xml:space="preserve">Patricia Engel (CFO) — $425,000:</w:t>
      </w:r>
      <w:r>
        <w:t xml:space="preserve"> </w:t>
      </w:r>
      <w:r>
        <w:t xml:space="preserve">Double trigger (requires termination or material diminution post-closing).</w:t>
      </w:r>
    </w:p>
    <w:p>
      <w:pPr>
        <w:pStyle w:val="Compact"/>
        <w:numPr>
          <w:ilvl w:val="0"/>
          <w:numId w:val="1005"/>
        </w:numPr>
      </w:pPr>
      <w:r>
        <w:rPr>
          <w:b/>
          <w:bCs/>
        </w:rPr>
        <w:t xml:space="preserve">Kurt Dillon (VP Ops) — $375,000:</w:t>
      </w:r>
      <w:r>
        <w:t xml:space="preserve"> </w:t>
      </w:r>
      <w:r>
        <w:t xml:space="preserve">Double trigger.</w:t>
      </w:r>
    </w:p>
    <w:p>
      <w:pPr>
        <w:pStyle w:val="Compact"/>
        <w:numPr>
          <w:ilvl w:val="0"/>
          <w:numId w:val="1005"/>
        </w:numPr>
      </w:pPr>
      <w:r>
        <w:rPr>
          <w:b/>
          <w:bCs/>
        </w:rPr>
        <w:t xml:space="preserve">Sandra Oakes (VP BD) — $350,000:</w:t>
      </w:r>
      <w:r>
        <w:t xml:space="preserve"> </w:t>
      </w:r>
      <w:r>
        <w:t xml:space="preserve">Double trigger.</w:t>
      </w:r>
    </w:p>
    <w:p>
      <w:pPr>
        <w:pStyle w:val="FirstParagraph"/>
      </w:pPr>
      <w:r>
        <w:t xml:space="preserve">The</w:t>
      </w:r>
      <w:r>
        <w:t xml:space="preserve"> </w:t>
      </w:r>
      <w:r>
        <w:rPr>
          <w:b/>
          <w:bCs/>
        </w:rPr>
        <w:t xml:space="preserve">$2.625M single-trigger obligation</w:t>
      </w:r>
      <w:r>
        <w:t xml:space="preserve"> </w:t>
      </w:r>
      <w:r>
        <w:t xml:space="preserve">(Calloway brothers) is a certain closing cost. The LOI’s definition of</w:t>
      </w:r>
      <w:r>
        <w:t xml:space="preserve"> </w:t>
      </w:r>
      <w:r>
        <w:t xml:space="preserve">“</w:t>
      </w:r>
      <w:r>
        <w:t xml:space="preserve">Transaction Expenses</w:t>
      </w:r>
      <w:r>
        <w:t xml:space="preserve">”</w:t>
      </w:r>
      <w:r>
        <w:t xml:space="preserve"> </w:t>
      </w:r>
      <w:r>
        <w:t xml:space="preserve">does not explicitly address these payments, creating ambiguity about whether they reduce the purchase price or are borne by the buyer. Additionally, the CIM’s owner compensation normalization add-back ($950K) assumes replacement executives at $400K each — but if the Calloways remain post-closing and continue at $875K each, the add-back is illusory.</w:t>
      </w:r>
    </w:p>
    <w:p>
      <w:pPr>
        <w:pStyle w:val="BodyText"/>
      </w:pPr>
      <w:r>
        <w:rPr>
          <w:b/>
          <w:bCs/>
        </w:rPr>
        <w:t xml:space="preserve">Required Action:</w:t>
      </w:r>
      <w:r>
        <w:t xml:space="preserve"> </w:t>
      </w:r>
      <w:r>
        <w:t xml:space="preserve">Confirm treatment of CoC severance in purchase price mechanism. Negotiate post-closing employment arrangements with Calloways before signing. Assess whether single-trigger provisions can be restructured.</w:t>
      </w:r>
    </w:p>
    <w:p>
      <w:r>
        <w:pict>
          <v:rect style="width:0;height:1.5pt" o:hralign="center" o:hrstd="t" o:hr="t"/>
        </w:pict>
      </w:r>
    </w:p>
    <w:bookmarkEnd w:id="37"/>
    <w:bookmarkStart w:id="38" w:name="X8e91187ce8701b4424c9c5d0f01ff22d9bae818"/>
    <w:p>
      <w:pPr>
        <w:pStyle w:val="Heading3"/>
      </w:pPr>
      <w:r>
        <w:t xml:space="preserve">RF-13 | Ramirez Personal Injury Lawsuit — Coverage Uncertain; $4.8M Claimed</w:t>
      </w:r>
    </w:p>
    <w:p>
      <w:pPr>
        <w:pStyle w:val="FirstParagraph"/>
      </w:pPr>
      <w:r>
        <w:rPr>
          <w:b/>
          <w:bCs/>
        </w:rPr>
        <w:t xml:space="preserve">Severity: MEDIUM</w:t>
      </w:r>
    </w:p>
    <w:p>
      <w:pPr>
        <w:pStyle w:val="BodyText"/>
      </w:pPr>
      <w:r>
        <w:t xml:space="preserve">Miguel Ramirez, a former field technician, filed suit on August 12, 2024 (Case No. 2:24-cv-00187, D. Wyo.) alleging VOC and heavy metal exposure at a Sheridan, Wyoming remediation site, seeking</w:t>
      </w:r>
      <w:r>
        <w:t xml:space="preserve"> </w:t>
      </w:r>
      <w:r>
        <w:rPr>
          <w:b/>
          <w:bCs/>
        </w:rPr>
        <w:t xml:space="preserve">$4.8M</w:t>
      </w:r>
      <w:r>
        <w:t xml:space="preserve"> </w:t>
      </w:r>
      <w:r>
        <w:t xml:space="preserve">including punitive damages. The insurer (Frontier Specialty) has issued a</w:t>
      </w:r>
      <w:r>
        <w:t xml:space="preserve"> </w:t>
      </w:r>
      <w:r>
        <w:rPr>
          <w:b/>
          <w:bCs/>
        </w:rPr>
        <w:t xml:space="preserve">reservation of rights letter</w:t>
      </w:r>
      <w:r>
        <w:t xml:space="preserve"> </w:t>
      </w:r>
      <w:r>
        <w:t xml:space="preserve">— coverage is not confirmed. If the claim falls outside the CGL policy (e.g., due to the pollution exclusion) and outside the PLL policy (e.g., due to the claims-made structure or retroactive date issues), the Company could face uninsured exposure. No accrual has been recorded.</w:t>
      </w:r>
    </w:p>
    <w:p>
      <w:pPr>
        <w:pStyle w:val="BodyText"/>
      </w:pPr>
      <w:r>
        <w:rPr>
          <w:b/>
          <w:bCs/>
        </w:rPr>
        <w:t xml:space="preserve">Estimated Exposure:</w:t>
      </w:r>
      <w:r>
        <w:t xml:space="preserve"> </w:t>
      </w:r>
      <w:r>
        <w:t xml:space="preserve">$500K–$1.5M (management estimate); up to $4.8M if punitive damages awarded and coverage denied.</w:t>
      </w:r>
    </w:p>
    <w:p>
      <w:pPr>
        <w:pStyle w:val="BodyText"/>
      </w:pPr>
      <w:r>
        <w:rPr>
          <w:b/>
          <w:bCs/>
        </w:rPr>
        <w:t xml:space="preserve">Required Action:</w:t>
      </w:r>
      <w:r>
        <w:t xml:space="preserve"> </w:t>
      </w:r>
      <w:r>
        <w:t xml:space="preserve">Obtain coverage counsel opinion on reservation of rights. Require specific indemnification for this matter in the SPA. Monitor coverage determination before closing.</w:t>
      </w:r>
    </w:p>
    <w:p>
      <w:r>
        <w:pict>
          <v:rect style="width:0;height:1.5pt" o:hralign="center" o:hrstd="t" o:hr="t"/>
        </w:pict>
      </w:r>
    </w:p>
    <w:bookmarkEnd w:id="38"/>
    <w:bookmarkStart w:id="39" w:name="X590075c6d6085b189d75b57da2c28a5f117d66f"/>
    <w:p>
      <w:pPr>
        <w:pStyle w:val="Heading3"/>
      </w:pPr>
      <w:r>
        <w:t xml:space="preserve">RF-14 | NLRB Unionization Petition — 62 Field Technicians at Core Facilities</w:t>
      </w:r>
    </w:p>
    <w:p>
      <w:pPr>
        <w:pStyle w:val="FirstParagraph"/>
      </w:pPr>
      <w:r>
        <w:rPr>
          <w:b/>
          <w:bCs/>
        </w:rPr>
        <w:t xml:space="preserve">Severity: MEDIUM</w:t>
      </w:r>
    </w:p>
    <w:p>
      <w:pPr>
        <w:pStyle w:val="BodyText"/>
      </w:pPr>
      <w:r>
        <w:t xml:space="preserve">A footnote in the Employee Benefits Summary discloses that on</w:t>
      </w:r>
      <w:r>
        <w:t xml:space="preserve"> </w:t>
      </w:r>
      <w:r>
        <w:rPr>
          <w:b/>
          <w:bCs/>
        </w:rPr>
        <w:t xml:space="preserve">November 4, 2024</w:t>
      </w:r>
      <w:r>
        <w:t xml:space="preserve">, the International Brotherhood of Teamsters Local 455 filed an NLRB election petition covering</w:t>
      </w:r>
      <w:r>
        <w:t xml:space="preserve"> </w:t>
      </w:r>
      <w:r>
        <w:rPr>
          <w:b/>
          <w:bCs/>
        </w:rPr>
        <w:t xml:space="preserve">62 field technicians at the Grand Junction and Casper facilities</w:t>
      </w:r>
      <w:r>
        <w:t xml:space="preserve"> </w:t>
      </w:r>
      <w:r>
        <w:t xml:space="preserve">— the Company’s two largest operational hubs. This is not disclosed in the CIM or any other primary data room document. If the union election succeeds, it could: (i) increase labor costs materially; (ii) constrain operational flexibility; (iii) affect the Company’s non-union competitive positioning; and (iv) potentially trigger WARN Act or other obligations in connection with post-closing restructuring.</w:t>
      </w:r>
    </w:p>
    <w:p>
      <w:pPr>
        <w:pStyle w:val="BodyText"/>
      </w:pPr>
      <w:r>
        <w:rPr>
          <w:b/>
          <w:bCs/>
        </w:rPr>
        <w:t xml:space="preserve">Required Action:</w:t>
      </w:r>
      <w:r>
        <w:t xml:space="preserve"> </w:t>
      </w:r>
      <w:r>
        <w:t xml:space="preserve">Obtain full details of NLRB petition and Company’s response strategy. Assess probability of election success and financial impact of unionization. Include labor relations representation in SPA.</w:t>
      </w:r>
    </w:p>
    <w:p>
      <w:r>
        <w:pict>
          <v:rect style="width:0;height:1.5pt" o:hralign="center" o:hrstd="t" o:hr="t"/>
        </w:pict>
      </w:r>
    </w:p>
    <w:bookmarkEnd w:id="39"/>
    <w:bookmarkEnd w:id="40"/>
    <w:bookmarkStart w:id="42" w:name="vi.-structural-transactional-red-flags"/>
    <w:p>
      <w:pPr>
        <w:pStyle w:val="Heading2"/>
      </w:pPr>
      <w:r>
        <w:t xml:space="preserve">VI. STRUCTURAL / TRANSACTIONAL RED FLAGS</w:t>
      </w:r>
    </w:p>
    <w:bookmarkStart w:id="41" w:name="Xa425f14b1a6a4b3e8df8c112ab4561fc98be306"/>
    <w:p>
      <w:pPr>
        <w:pStyle w:val="Heading3"/>
      </w:pPr>
      <w:r>
        <w:t xml:space="preserve">RF-15 | Credit Agreement Change-of-Control — Mandatory Prepayment ~$39.2M; No Waiver Mechanism</w:t>
      </w:r>
    </w:p>
    <w:p>
      <w:pPr>
        <w:pStyle w:val="FirstParagraph"/>
      </w:pPr>
      <w:r>
        <w:rPr>
          <w:b/>
          <w:bCs/>
        </w:rPr>
        <w:t xml:space="preserve">Severity: HIGH</w:t>
      </w:r>
    </w:p>
    <w:p>
      <w:pPr>
        <w:pStyle w:val="BodyText"/>
      </w:pPr>
      <w:r>
        <w:t xml:space="preserve">The Credit Agreement with High Plains National Bank defines</w:t>
      </w:r>
      <w:r>
        <w:t xml:space="preserve"> </w:t>
      </w:r>
      <w:r>
        <w:t xml:space="preserve">“</w:t>
      </w:r>
      <w:r>
        <w:t xml:space="preserve">Change of Control</w:t>
      </w:r>
      <w:r>
        <w:t xml:space="preserve">”</w:t>
      </w:r>
      <w:r>
        <w:t xml:space="preserve"> </w:t>
      </w:r>
      <w:r>
        <w:t xml:space="preserve">to include any acquisition of 50%+ of RES equity — which the proposed transaction clearly triggers. Upon a Change of Control:</w:t>
      </w:r>
    </w:p>
    <w:p>
      <w:pPr>
        <w:pStyle w:val="Compact"/>
        <w:numPr>
          <w:ilvl w:val="0"/>
          <w:numId w:val="1006"/>
        </w:numPr>
      </w:pPr>
      <w:r>
        <w:rPr>
          <w:b/>
          <w:bCs/>
        </w:rPr>
        <w:t xml:space="preserve">All $38.7M in outstanding debt must be prepaid within 5 business days</w:t>
      </w:r>
      <w:r>
        <w:t xml:space="preserve"> </w:t>
      </w:r>
      <w:r>
        <w:t xml:space="preserve">of closing.</w:t>
      </w:r>
    </w:p>
    <w:p>
      <w:pPr>
        <w:pStyle w:val="Compact"/>
        <w:numPr>
          <w:ilvl w:val="0"/>
          <w:numId w:val="1006"/>
        </w:numPr>
      </w:pPr>
      <w:r>
        <w:t xml:space="preserve">A</w:t>
      </w:r>
      <w:r>
        <w:t xml:space="preserve"> </w:t>
      </w:r>
      <w:r>
        <w:rPr>
          <w:b/>
          <w:bCs/>
        </w:rPr>
        <w:t xml:space="preserve">prepayment premium of 1.0%</w:t>
      </w:r>
      <w:r>
        <w:t xml:space="preserve"> </w:t>
      </w:r>
      <w:r>
        <w:t xml:space="preserve">applies to the term loan ($26.3M × 1.0% =</w:t>
      </w:r>
      <w:r>
        <w:t xml:space="preserve"> </w:t>
      </w:r>
      <w:r>
        <w:rPr>
          <w:b/>
          <w:bCs/>
        </w:rPr>
        <w:t xml:space="preserve">$263K</w:t>
      </w:r>
      <w:r>
        <w:t xml:space="preserve">).</w:t>
      </w:r>
    </w:p>
    <w:p>
      <w:pPr>
        <w:pStyle w:val="Compact"/>
        <w:numPr>
          <w:ilvl w:val="0"/>
          <w:numId w:val="1006"/>
        </w:numPr>
      </w:pPr>
      <w:r>
        <w:t xml:space="preserve">The revolving commitment is permanently terminated.</w:t>
      </w:r>
    </w:p>
    <w:p>
      <w:pPr>
        <w:pStyle w:val="Compact"/>
        <w:numPr>
          <w:ilvl w:val="0"/>
          <w:numId w:val="1006"/>
        </w:numPr>
      </w:pPr>
      <w:r>
        <w:rPr>
          <w:b/>
          <w:bCs/>
        </w:rPr>
        <w:t xml:space="preserve">No consent or waiver mechanism exists</w:t>
      </w:r>
      <w:r>
        <w:t xml:space="preserve"> </w:t>
      </w:r>
      <w:r>
        <w:t xml:space="preserve">— the only path is full payoff or refinancing.</w:t>
      </w:r>
    </w:p>
    <w:p>
      <w:pPr>
        <w:pStyle w:val="Compact"/>
        <w:numPr>
          <w:ilvl w:val="0"/>
          <w:numId w:val="1006"/>
        </w:numPr>
      </w:pPr>
      <w:r>
        <w:t xml:space="preserve">Derek Calloway’s departure as CEO (even if replaced) constitutes a separate Event of Default.</w:t>
      </w:r>
    </w:p>
    <w:p>
      <w:pPr>
        <w:pStyle w:val="FirstParagraph"/>
      </w:pPr>
      <w:r>
        <w:t xml:space="preserve">The LOI’s Net Debt adjustment accounts for the $38.7M principal, but the prepayment premium and accrued interest (~$200–300K) may not be fully captured. Additionally, the Credit Agreement requires that any environmental remediation order exceeding $1.0M constitutes an Event of Default — a threshold potentially implicated by the CDPHE enforcement action (if CDPHE’s 31-day position prevails) and the Grand Junction remediation obligation.</w:t>
      </w:r>
    </w:p>
    <w:p>
      <w:pPr>
        <w:pStyle w:val="BodyText"/>
      </w:pPr>
      <w:r>
        <w:rPr>
          <w:b/>
          <w:bCs/>
        </w:rPr>
        <w:t xml:space="preserve">Estimated Exposure:</w:t>
      </w:r>
      <w:r>
        <w:t xml:space="preserve"> </w:t>
      </w:r>
      <w:r>
        <w:t xml:space="preserve">$39.2M+ mandatory prepayment; $263K prepayment premium; potential default triggers from environmental matters.</w:t>
      </w:r>
    </w:p>
    <w:p>
      <w:pPr>
        <w:pStyle w:val="BodyText"/>
      </w:pPr>
      <w:r>
        <w:rPr>
          <w:b/>
          <w:bCs/>
        </w:rPr>
        <w:t xml:space="preserve">Required Action:</w:t>
      </w:r>
      <w:r>
        <w:t xml:space="preserve"> </w:t>
      </w:r>
      <w:r>
        <w:t xml:space="preserve">Arrange acquisition financing to refinance the credit facility at closing. Confirm payoff letter mechanics with High Plains National Bank. Verify no existing Events of Default prior to closing.</w:t>
      </w:r>
    </w:p>
    <w:p>
      <w:r>
        <w:pict>
          <v:rect style="width:0;height:1.5pt" o:hralign="center" o:hrstd="t" o:hr="t"/>
        </w:pict>
      </w:r>
    </w:p>
    <w:bookmarkEnd w:id="41"/>
    <w:bookmarkEnd w:id="42"/>
    <w:bookmarkStart w:id="43" w:name="vii.-summary-table-of-red-flags"/>
    <w:p>
      <w:pPr>
        <w:pStyle w:val="Heading2"/>
      </w:pPr>
      <w:r>
        <w:t xml:space="preserve">VII. SUMMARY TABLE OF RED FLAGS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Red Flag</w:t>
            </w:r>
          </w:p>
        </w:tc>
        <w:tc>
          <w:tcPr/>
          <w:p>
            <w:pPr>
              <w:pStyle w:val="Compact"/>
              <w:jc w:val="left"/>
            </w:pPr>
            <w:r>
              <w:t xml:space="preserve">Severity</w:t>
            </w:r>
          </w:p>
        </w:tc>
        <w:tc>
          <w:tcPr/>
          <w:p>
            <w:pPr>
              <w:pStyle w:val="Compact"/>
              <w:jc w:val="left"/>
            </w:pPr>
            <w:r>
              <w:t xml:space="preserve">Est. Exposure</w:t>
            </w:r>
          </w:p>
        </w:tc>
      </w:tr>
      <w:tr>
        <w:tc>
          <w:tcPr/>
          <w:p>
            <w:pPr>
              <w:pStyle w:val="Compact"/>
              <w:jc w:val="left"/>
            </w:pPr>
            <w:r>
              <w:t xml:space="preserve">RF-01</w:t>
            </w:r>
          </w:p>
        </w:tc>
        <w:tc>
          <w:tcPr/>
          <w:p>
            <w:pPr>
              <w:pStyle w:val="Compact"/>
              <w:jc w:val="left"/>
            </w:pPr>
            <w:r>
              <w:t xml:space="preserve">Financial/QoE</w:t>
            </w:r>
          </w:p>
        </w:tc>
        <w:tc>
          <w:tcPr/>
          <w:p>
            <w:pPr>
              <w:pStyle w:val="Compact"/>
              <w:jc w:val="left"/>
            </w:pPr>
            <w:r>
              <w:t xml:space="preserve">EBITDA bridge $1.0M discrepancy</w:t>
            </w:r>
          </w:p>
        </w:tc>
        <w:tc>
          <w:tcPr/>
          <w:p>
            <w:pPr>
              <w:pStyle w:val="Compact"/>
              <w:jc w:val="left"/>
            </w:pPr>
            <w:r>
              <w:t xml:space="preserve">HIGH</w:t>
            </w:r>
          </w:p>
        </w:tc>
        <w:tc>
          <w:tcPr/>
          <w:p>
            <w:pPr>
              <w:pStyle w:val="Compact"/>
              <w:jc w:val="left"/>
            </w:pPr>
            <w:r>
              <w:t xml:space="preserve">$8–9M valuation</w:t>
            </w:r>
          </w:p>
        </w:tc>
      </w:tr>
      <w:tr>
        <w:tc>
          <w:tcPr/>
          <w:p>
            <w:pPr>
              <w:pStyle w:val="Compact"/>
              <w:jc w:val="left"/>
            </w:pPr>
            <w:r>
              <w:t xml:space="preserve">RF-02</w:t>
            </w:r>
          </w:p>
        </w:tc>
        <w:tc>
          <w:tcPr/>
          <w:p>
            <w:pPr>
              <w:pStyle w:val="Compact"/>
              <w:jc w:val="left"/>
            </w:pPr>
            <w:r>
              <w:t xml:space="preserve">Financial/QoE</w:t>
            </w:r>
          </w:p>
        </w:tc>
        <w:tc>
          <w:tcPr/>
          <w:p>
            <w:pPr>
              <w:pStyle w:val="Compact"/>
              <w:jc w:val="left"/>
            </w:pPr>
            <w:r>
              <w:t xml:space="preserve">Aggressive $5.4M add-back package</w:t>
            </w:r>
          </w:p>
        </w:tc>
        <w:tc>
          <w:tcPr/>
          <w:p>
            <w:pPr>
              <w:pStyle w:val="Compact"/>
              <w:jc w:val="left"/>
            </w:pPr>
            <w:r>
              <w:t xml:space="preserve">HIGH</w:t>
            </w:r>
          </w:p>
        </w:tc>
        <w:tc>
          <w:tcPr/>
          <w:p>
            <w:pPr>
              <w:pStyle w:val="Compact"/>
              <w:jc w:val="left"/>
            </w:pPr>
            <w:r>
              <w:t xml:space="preserve">$2–4M EBITDA; $16–18M valuation</w:t>
            </w:r>
          </w:p>
        </w:tc>
      </w:tr>
      <w:tr>
        <w:tc>
          <w:tcPr/>
          <w:p>
            <w:pPr>
              <w:pStyle w:val="Compact"/>
              <w:jc w:val="left"/>
            </w:pPr>
            <w:r>
              <w:t xml:space="preserve">RF-03</w:t>
            </w:r>
          </w:p>
        </w:tc>
        <w:tc>
          <w:tcPr/>
          <w:p>
            <w:pPr>
              <w:pStyle w:val="Compact"/>
              <w:jc w:val="left"/>
            </w:pPr>
            <w:r>
              <w:t xml:space="preserve">Commercial</w:t>
            </w:r>
          </w:p>
        </w:tc>
        <w:tc>
          <w:tcPr/>
          <w:p>
            <w:pPr>
              <w:pStyle w:val="Compact"/>
              <w:jc w:val="left"/>
            </w:pPr>
            <w:r>
              <w:t xml:space="preserve">DOE IDIQ ceiling near exhaustion</w:t>
            </w:r>
          </w:p>
        </w:tc>
        <w:tc>
          <w:tcPr/>
          <w:p>
            <w:pPr>
              <w:pStyle w:val="Compact"/>
              <w:jc w:val="left"/>
            </w:pPr>
            <w:r>
              <w:t xml:space="preserve">CRITICAL</w:t>
            </w:r>
          </w:p>
        </w:tc>
        <w:tc>
          <w:tcPr/>
          <w:p>
            <w:pPr>
              <w:pStyle w:val="Compact"/>
              <w:jc w:val="left"/>
            </w:pPr>
            <w:r>
              <w:t xml:space="preserve">$12.1M revenue headwind</w:t>
            </w:r>
          </w:p>
        </w:tc>
      </w:tr>
      <w:tr>
        <w:tc>
          <w:tcPr/>
          <w:p>
            <w:pPr>
              <w:pStyle w:val="Compact"/>
              <w:jc w:val="left"/>
            </w:pPr>
            <w:r>
              <w:t xml:space="preserve">RF-04</w:t>
            </w:r>
          </w:p>
        </w:tc>
        <w:tc>
          <w:tcPr/>
          <w:p>
            <w:pPr>
              <w:pStyle w:val="Compact"/>
              <w:jc w:val="left"/>
            </w:pPr>
            <w:r>
              <w:t xml:space="preserve">Financial/QoE</w:t>
            </w:r>
          </w:p>
        </w:tc>
        <w:tc>
          <w:tcPr/>
          <w:p>
            <w:pPr>
              <w:pStyle w:val="Compact"/>
              <w:jc w:val="left"/>
            </w:pPr>
            <w:r>
              <w:t xml:space="preserve">Fleet aging; $9.8M replacement backlog</w:t>
            </w:r>
          </w:p>
        </w:tc>
        <w:tc>
          <w:tcPr/>
          <w:p>
            <w:pPr>
              <w:pStyle w:val="Compact"/>
              <w:jc w:val="left"/>
            </w:pPr>
            <w:r>
              <w:t xml:space="preserve">MEDIUM-HIGH</w:t>
            </w:r>
          </w:p>
        </w:tc>
        <w:tc>
          <w:tcPr/>
          <w:p>
            <w:pPr>
              <w:pStyle w:val="Compact"/>
              <w:jc w:val="left"/>
            </w:pPr>
            <w:r>
              <w:t xml:space="preserve">$3–5M annual capex understatement</w:t>
            </w:r>
          </w:p>
        </w:tc>
      </w:tr>
      <w:tr>
        <w:tc>
          <w:tcPr/>
          <w:p>
            <w:pPr>
              <w:pStyle w:val="Compact"/>
              <w:jc w:val="left"/>
            </w:pPr>
            <w:r>
              <w:t xml:space="preserve">RF-05</w:t>
            </w:r>
          </w:p>
        </w:tc>
        <w:tc>
          <w:tcPr/>
          <w:p>
            <w:pPr>
              <w:pStyle w:val="Compact"/>
              <w:jc w:val="left"/>
            </w:pPr>
            <w:r>
              <w:t xml:space="preserve">Financial/QoE</w:t>
            </w:r>
          </w:p>
        </w:tc>
        <w:tc>
          <w:tcPr/>
          <w:p>
            <w:pPr>
              <w:pStyle w:val="Compact"/>
              <w:jc w:val="left"/>
            </w:pPr>
            <w:r>
              <w:t xml:space="preserve">Reported EBITDA declined 27% YoY</w:t>
            </w:r>
          </w:p>
        </w:tc>
        <w:tc>
          <w:tcPr/>
          <w:p>
            <w:pPr>
              <w:pStyle w:val="Compact"/>
              <w:jc w:val="left"/>
            </w:pPr>
            <w:r>
              <w:t xml:space="preserve">MEDIUM</w:t>
            </w:r>
          </w:p>
        </w:tc>
        <w:tc>
          <w:tcPr/>
          <w:p>
            <w:pPr>
              <w:pStyle w:val="Compact"/>
              <w:jc w:val="left"/>
            </w:pPr>
            <w:r>
              <w:t xml:space="preserve">Valuation basis risk</w:t>
            </w:r>
          </w:p>
        </w:tc>
      </w:tr>
      <w:tr>
        <w:tc>
          <w:tcPr/>
          <w:p>
            <w:pPr>
              <w:pStyle w:val="Compact"/>
              <w:jc w:val="left"/>
            </w:pPr>
            <w:r>
              <w:t xml:space="preserve">RF-06</w:t>
            </w:r>
          </w:p>
        </w:tc>
        <w:tc>
          <w:tcPr/>
          <w:p>
            <w:pPr>
              <w:pStyle w:val="Compact"/>
              <w:jc w:val="left"/>
            </w:pPr>
            <w:r>
              <w:t xml:space="preserve">Environmental</w:t>
            </w:r>
          </w:p>
        </w:tc>
        <w:tc>
          <w:tcPr/>
          <w:p>
            <w:pPr>
              <w:pStyle w:val="Compact"/>
              <w:jc w:val="left"/>
            </w:pPr>
            <w:r>
              <w:t xml:space="preserve">Stale 2019 Phase II ESA; vapor intrusion unassessed</w:t>
            </w:r>
          </w:p>
        </w:tc>
        <w:tc>
          <w:tcPr/>
          <w:p>
            <w:pPr>
              <w:pStyle w:val="Compact"/>
              <w:jc w:val="left"/>
            </w:pPr>
            <w:r>
              <w:t xml:space="preserve">HIGH</w:t>
            </w:r>
          </w:p>
        </w:tc>
        <w:tc>
          <w:tcPr/>
          <w:p>
            <w:pPr>
              <w:pStyle w:val="Compact"/>
              <w:jc w:val="left"/>
            </w:pPr>
            <w:r>
              <w:t xml:space="preserve">$2.6M–$10M+ remediation</w:t>
            </w:r>
          </w:p>
        </w:tc>
      </w:tr>
      <w:tr>
        <w:tc>
          <w:tcPr/>
          <w:p>
            <w:pPr>
              <w:pStyle w:val="Compact"/>
              <w:jc w:val="left"/>
            </w:pPr>
            <w:r>
              <w:t xml:space="preserve">RF-07</w:t>
            </w:r>
          </w:p>
        </w:tc>
        <w:tc>
          <w:tcPr/>
          <w:p>
            <w:pPr>
              <w:pStyle w:val="Compact"/>
              <w:jc w:val="left"/>
            </w:pPr>
            <w:r>
              <w:t xml:space="preserve">Environmental</w:t>
            </w:r>
          </w:p>
        </w:tc>
        <w:tc>
          <w:tcPr/>
          <w:p>
            <w:pPr>
              <w:pStyle w:val="Compact"/>
              <w:jc w:val="left"/>
            </w:pPr>
            <w:r>
              <w:t xml:space="preserve">Active CDPHE NOV; no accrual</w:t>
            </w:r>
          </w:p>
        </w:tc>
        <w:tc>
          <w:tcPr/>
          <w:p>
            <w:pPr>
              <w:pStyle w:val="Compact"/>
              <w:jc w:val="left"/>
            </w:pPr>
            <w:r>
              <w:t xml:space="preserve">MEDIUM-HIGH</w:t>
            </w:r>
          </w:p>
        </w:tc>
        <w:tc>
          <w:tcPr/>
          <w:p>
            <w:pPr>
              <w:pStyle w:val="Compact"/>
              <w:jc w:val="left"/>
            </w:pPr>
            <w:r>
              <w:t xml:space="preserve">$200K–$1.16M penalty</w:t>
            </w:r>
          </w:p>
        </w:tc>
      </w:tr>
      <w:tr>
        <w:tc>
          <w:tcPr/>
          <w:p>
            <w:pPr>
              <w:pStyle w:val="Compact"/>
              <w:jc w:val="left"/>
            </w:pPr>
            <w:r>
              <w:t xml:space="preserve">RF-08</w:t>
            </w:r>
          </w:p>
        </w:tc>
        <w:tc>
          <w:tcPr/>
          <w:p>
            <w:pPr>
              <w:pStyle w:val="Compact"/>
              <w:jc w:val="left"/>
            </w:pPr>
            <w:r>
              <w:t xml:space="preserve">Environmental</w:t>
            </w:r>
          </w:p>
        </w:tc>
        <w:tc>
          <w:tcPr/>
          <w:p>
            <w:pPr>
              <w:pStyle w:val="Compact"/>
              <w:jc w:val="left"/>
            </w:pPr>
            <w:r>
              <w:t xml:space="preserve">Asbestos tail liability; pre-2015 work uninsured</w:t>
            </w:r>
          </w:p>
        </w:tc>
        <w:tc>
          <w:tcPr/>
          <w:p>
            <w:pPr>
              <w:pStyle w:val="Compact"/>
              <w:jc w:val="left"/>
            </w:pPr>
            <w:r>
              <w:t xml:space="preserve">MEDIUM-HIGH</w:t>
            </w:r>
          </w:p>
        </w:tc>
        <w:tc>
          <w:tcPr/>
          <w:p>
            <w:pPr>
              <w:pStyle w:val="Compact"/>
              <w:jc w:val="left"/>
            </w:pPr>
            <w:r>
              <w:t xml:space="preserve">Unquantifiable; potentially $1M–$10M+</w:t>
            </w:r>
          </w:p>
        </w:tc>
      </w:tr>
      <w:tr>
        <w:tc>
          <w:tcPr/>
          <w:p>
            <w:pPr>
              <w:pStyle w:val="Compact"/>
              <w:jc w:val="left"/>
            </w:pPr>
            <w:r>
              <w:t xml:space="preserve">RF-09</w:t>
            </w:r>
          </w:p>
        </w:tc>
        <w:tc>
          <w:tcPr/>
          <w:p>
            <w:pPr>
              <w:pStyle w:val="Compact"/>
              <w:jc w:val="left"/>
            </w:pPr>
            <w:r>
              <w:t xml:space="preserve">Environmental</w:t>
            </w:r>
          </w:p>
        </w:tc>
        <w:tc>
          <w:tcPr/>
          <w:p>
            <w:pPr>
              <w:pStyle w:val="Compact"/>
              <w:jc w:val="left"/>
            </w:pPr>
            <w:r>
              <w:t xml:space="preserve">Wyoming permit expired; operating on timely renewal</w:t>
            </w:r>
          </w:p>
        </w:tc>
        <w:tc>
          <w:tcPr/>
          <w:p>
            <w:pPr>
              <w:pStyle w:val="Compact"/>
              <w:jc w:val="left"/>
            </w:pPr>
            <w:r>
              <w:t xml:space="preserve">MEDIUM</w:t>
            </w:r>
          </w:p>
        </w:tc>
        <w:tc>
          <w:tcPr/>
          <w:p>
            <w:pPr>
              <w:pStyle w:val="Compact"/>
              <w:jc w:val="left"/>
            </w:pPr>
            <w:r>
              <w:t xml:space="preserve">Operational/default risk</w:t>
            </w:r>
          </w:p>
        </w:tc>
      </w:tr>
      <w:tr>
        <w:tc>
          <w:tcPr/>
          <w:p>
            <w:pPr>
              <w:pStyle w:val="Compact"/>
              <w:jc w:val="left"/>
            </w:pPr>
            <w:r>
              <w:t xml:space="preserve">RF-10</w:t>
            </w:r>
          </w:p>
        </w:tc>
        <w:tc>
          <w:tcPr/>
          <w:p>
            <w:pPr>
              <w:pStyle w:val="Compact"/>
              <w:jc w:val="left"/>
            </w:pPr>
            <w:r>
              <w:t xml:space="preserve">Commercial</w:t>
            </w:r>
          </w:p>
        </w:tc>
        <w:tc>
          <w:tcPr/>
          <w:p>
            <w:pPr>
              <w:pStyle w:val="Compact"/>
              <w:jc w:val="left"/>
            </w:pPr>
            <w:r>
              <w:t xml:space="preserve">Customer concentration; T4C clauses</w:t>
            </w:r>
          </w:p>
        </w:tc>
        <w:tc>
          <w:tcPr/>
          <w:p>
            <w:pPr>
              <w:pStyle w:val="Compact"/>
              <w:jc w:val="left"/>
            </w:pPr>
            <w:r>
              <w:t xml:space="preserve">MEDIUM-HIGH</w:t>
            </w:r>
          </w:p>
        </w:tc>
        <w:tc>
          <w:tcPr/>
          <w:p>
            <w:pPr>
              <w:pStyle w:val="Compact"/>
              <w:jc w:val="left"/>
            </w:pPr>
            <w:r>
              <w:t xml:space="preserve">Revenue at risk</w:t>
            </w:r>
          </w:p>
        </w:tc>
      </w:tr>
      <w:tr>
        <w:tc>
          <w:tcPr/>
          <w:p>
            <w:pPr>
              <w:pStyle w:val="Compact"/>
              <w:jc w:val="left"/>
            </w:pPr>
            <w:r>
              <w:t xml:space="preserve">RF-11</w:t>
            </w:r>
          </w:p>
        </w:tc>
        <w:tc>
          <w:tcPr/>
          <w:p>
            <w:pPr>
              <w:pStyle w:val="Compact"/>
              <w:jc w:val="left"/>
            </w:pPr>
            <w:r>
              <w:t xml:space="preserve">Real Property</w:t>
            </w:r>
          </w:p>
        </w:tc>
        <w:tc>
          <w:tcPr/>
          <w:p>
            <w:pPr>
              <w:pStyle w:val="Compact"/>
              <w:jc w:val="left"/>
            </w:pPr>
            <w:r>
              <w:t xml:space="preserve">SLC facility — cascading consent failures</w:t>
            </w:r>
          </w:p>
        </w:tc>
        <w:tc>
          <w:tcPr/>
          <w:p>
            <w:pPr>
              <w:pStyle w:val="Compact"/>
              <w:jc w:val="left"/>
            </w:pPr>
            <w:r>
              <w:t xml:space="preserve">HIGH</w:t>
            </w:r>
          </w:p>
        </w:tc>
        <w:tc>
          <w:tcPr/>
          <w:p>
            <w:pPr>
              <w:pStyle w:val="Compact"/>
              <w:jc w:val="left"/>
            </w:pPr>
            <w:r>
              <w:t xml:space="preserve">$16.2M revenue at risk</w:t>
            </w:r>
          </w:p>
        </w:tc>
      </w:tr>
      <w:tr>
        <w:tc>
          <w:tcPr/>
          <w:p>
            <w:pPr>
              <w:pStyle w:val="Compact"/>
              <w:jc w:val="left"/>
            </w:pPr>
            <w:r>
              <w:t xml:space="preserve">RF-12</w:t>
            </w:r>
          </w:p>
        </w:tc>
        <w:tc>
          <w:tcPr/>
          <w:p>
            <w:pPr>
              <w:pStyle w:val="Compact"/>
              <w:jc w:val="left"/>
            </w:pPr>
            <w:r>
              <w:t xml:space="preserve">Legal</w:t>
            </w:r>
          </w:p>
        </w:tc>
        <w:tc>
          <w:tcPr/>
          <w:p>
            <w:pPr>
              <w:pStyle w:val="Compact"/>
              <w:jc w:val="left"/>
            </w:pPr>
            <w:r>
              <w:t xml:space="preserve">CoC severance $3.775M; $2.625M certain at closing</w:t>
            </w:r>
          </w:p>
        </w:tc>
        <w:tc>
          <w:tcPr/>
          <w:p>
            <w:pPr>
              <w:pStyle w:val="Compact"/>
              <w:jc w:val="left"/>
            </w:pPr>
            <w:r>
              <w:t xml:space="preserve">MEDIUM-HIGH</w:t>
            </w:r>
          </w:p>
        </w:tc>
        <w:tc>
          <w:tcPr/>
          <w:p>
            <w:pPr>
              <w:pStyle w:val="Compact"/>
              <w:jc w:val="left"/>
            </w:pPr>
            <w:r>
              <w:t xml:space="preserve">$3.775M cash obligation</w:t>
            </w:r>
          </w:p>
        </w:tc>
      </w:tr>
      <w:tr>
        <w:tc>
          <w:tcPr/>
          <w:p>
            <w:pPr>
              <w:pStyle w:val="Compact"/>
              <w:jc w:val="left"/>
            </w:pPr>
            <w:r>
              <w:t xml:space="preserve">RF-13</w:t>
            </w:r>
          </w:p>
        </w:tc>
        <w:tc>
          <w:tcPr/>
          <w:p>
            <w:pPr>
              <w:pStyle w:val="Compact"/>
              <w:jc w:val="left"/>
            </w:pPr>
            <w:r>
              <w:t xml:space="preserve">Legal</w:t>
            </w:r>
          </w:p>
        </w:tc>
        <w:tc>
          <w:tcPr/>
          <w:p>
            <w:pPr>
              <w:pStyle w:val="Compact"/>
              <w:jc w:val="left"/>
            </w:pPr>
            <w:r>
              <w:t xml:space="preserve">Ramirez lawsuit; coverage uncertain</w:t>
            </w:r>
          </w:p>
        </w:tc>
        <w:tc>
          <w:tcPr/>
          <w:p>
            <w:pPr>
              <w:pStyle w:val="Compact"/>
              <w:jc w:val="left"/>
            </w:pPr>
            <w:r>
              <w:t xml:space="preserve">MEDIUM</w:t>
            </w:r>
          </w:p>
        </w:tc>
        <w:tc>
          <w:tcPr/>
          <w:p>
            <w:pPr>
              <w:pStyle w:val="Compact"/>
              <w:jc w:val="left"/>
            </w:pPr>
            <w:r>
              <w:t xml:space="preserve">$500K–$4.8M</w:t>
            </w:r>
          </w:p>
        </w:tc>
      </w:tr>
      <w:tr>
        <w:tc>
          <w:tcPr/>
          <w:p>
            <w:pPr>
              <w:pStyle w:val="Compact"/>
              <w:jc w:val="left"/>
            </w:pPr>
            <w:r>
              <w:t xml:space="preserve">RF-14</w:t>
            </w:r>
          </w:p>
        </w:tc>
        <w:tc>
          <w:tcPr/>
          <w:p>
            <w:pPr>
              <w:pStyle w:val="Compact"/>
              <w:jc w:val="left"/>
            </w:pPr>
            <w:r>
              <w:t xml:space="preserve">Legal</w:t>
            </w:r>
          </w:p>
        </w:tc>
        <w:tc>
          <w:tcPr/>
          <w:p>
            <w:pPr>
              <w:pStyle w:val="Compact"/>
              <w:jc w:val="left"/>
            </w:pPr>
            <w:r>
              <w:t xml:space="preserve">NLRB unionization petition (undisclosed)</w:t>
            </w:r>
          </w:p>
        </w:tc>
        <w:tc>
          <w:tcPr/>
          <w:p>
            <w:pPr>
              <w:pStyle w:val="Compact"/>
              <w:jc w:val="left"/>
            </w:pPr>
            <w:r>
              <w:t xml:space="preserve">MEDIUM</w:t>
            </w:r>
          </w:p>
        </w:tc>
        <w:tc>
          <w:tcPr/>
          <w:p>
            <w:pPr>
              <w:pStyle w:val="Compact"/>
              <w:jc w:val="left"/>
            </w:pPr>
            <w:r>
              <w:t xml:space="preserve">Labor cost increase</w:t>
            </w:r>
          </w:p>
        </w:tc>
      </w:tr>
      <w:tr>
        <w:tc>
          <w:tcPr/>
          <w:p>
            <w:pPr>
              <w:pStyle w:val="Compact"/>
              <w:jc w:val="left"/>
            </w:pPr>
            <w:r>
              <w:t xml:space="preserve">RF-15</w:t>
            </w:r>
          </w:p>
        </w:tc>
        <w:tc>
          <w:tcPr/>
          <w:p>
            <w:pPr>
              <w:pStyle w:val="Compact"/>
              <w:jc w:val="left"/>
            </w:pPr>
            <w:r>
              <w:t xml:space="preserve">Structural</w:t>
            </w:r>
          </w:p>
        </w:tc>
        <w:tc>
          <w:tcPr/>
          <w:p>
            <w:pPr>
              <w:pStyle w:val="Compact"/>
              <w:jc w:val="left"/>
            </w:pPr>
            <w:r>
              <w:t xml:space="preserve">Credit agreement mandatory prepayment; no waiver</w:t>
            </w:r>
          </w:p>
        </w:tc>
        <w:tc>
          <w:tcPr/>
          <w:p>
            <w:pPr>
              <w:pStyle w:val="Compact"/>
              <w:jc w:val="left"/>
            </w:pPr>
            <w:r>
              <w:t xml:space="preserve">HIGH</w:t>
            </w:r>
          </w:p>
        </w:tc>
        <w:tc>
          <w:tcPr/>
          <w:p>
            <w:pPr>
              <w:pStyle w:val="Compact"/>
              <w:jc w:val="left"/>
            </w:pPr>
            <w:r>
              <w:t xml:space="preserve">$39.2M+ prepayment</w:t>
            </w:r>
          </w:p>
        </w:tc>
      </w:tr>
    </w:tbl>
    <w:p>
      <w:r>
        <w:pict>
          <v:rect style="width:0;height:1.5pt" o:hralign="center" o:hrstd="t" o:hr="t"/>
        </w:pict>
      </w:r>
    </w:p>
    <w:bookmarkEnd w:id="43"/>
    <w:bookmarkStart w:id="44" w:name="viii.-recommended-pre-closing-conditions"/>
    <w:p>
      <w:pPr>
        <w:pStyle w:val="Heading2"/>
      </w:pPr>
      <w:r>
        <w:t xml:space="preserve">VIII. RECOMMENDED PRE-CLOSING CONDITIONS</w:t>
      </w:r>
    </w:p>
    <w:p>
      <w:pPr>
        <w:pStyle w:val="FirstParagraph"/>
      </w:pPr>
      <w:r>
        <w:t xml:space="preserve">The following items should be resolved as conditions to signing or closing the definitive SPA:</w:t>
      </w:r>
    </w:p>
    <w:p>
      <w:pPr>
        <w:pStyle w:val="Compact"/>
        <w:numPr>
          <w:ilvl w:val="0"/>
          <w:numId w:val="1007"/>
        </w:numPr>
      </w:pPr>
      <w:r>
        <w:rPr>
          <w:b/>
          <w:bCs/>
        </w:rPr>
        <w:t xml:space="preserve">Reconcile EBITDA bridge</w:t>
      </w:r>
      <w:r>
        <w:t xml:space="preserve"> </w:t>
      </w:r>
      <w:r>
        <w:t xml:space="preserve">and confirm the governing Adjusted EBITDA figure.</w:t>
      </w:r>
    </w:p>
    <w:p>
      <w:pPr>
        <w:pStyle w:val="Compact"/>
        <w:numPr>
          <w:ilvl w:val="0"/>
          <w:numId w:val="1007"/>
        </w:numPr>
      </w:pPr>
      <w:r>
        <w:rPr>
          <w:b/>
          <w:bCs/>
        </w:rPr>
        <w:t xml:space="preserve">Commission updated Phase II ESA</w:t>
      </w:r>
      <w:r>
        <w:t xml:space="preserve"> </w:t>
      </w:r>
      <w:r>
        <w:t xml:space="preserve">and vapor intrusion assessment at Grand Junction.</w:t>
      </w:r>
    </w:p>
    <w:p>
      <w:pPr>
        <w:pStyle w:val="Compact"/>
        <w:numPr>
          <w:ilvl w:val="0"/>
          <w:numId w:val="1007"/>
        </w:numPr>
      </w:pPr>
      <w:r>
        <w:rPr>
          <w:b/>
          <w:bCs/>
        </w:rPr>
        <w:t xml:space="preserve">Obtain DOE Contracting Officer confirmation</w:t>
      </w:r>
      <w:r>
        <w:t xml:space="preserve"> </w:t>
      </w:r>
      <w:r>
        <w:t xml:space="preserve">regarding ceiling modification and novation requirements.</w:t>
      </w:r>
    </w:p>
    <w:p>
      <w:pPr>
        <w:pStyle w:val="Compact"/>
        <w:numPr>
          <w:ilvl w:val="0"/>
          <w:numId w:val="1007"/>
        </w:numPr>
      </w:pPr>
      <w:r>
        <w:rPr>
          <w:b/>
          <w:bCs/>
        </w:rPr>
        <w:t xml:space="preserve">Obtain SLC landlord consent</w:t>
      </w:r>
      <w:r>
        <w:t xml:space="preserve"> </w:t>
      </w:r>
      <w:r>
        <w:t xml:space="preserve">to both the Pinnacle-to-RES assignment and the Sycamore acquisition.</w:t>
      </w:r>
    </w:p>
    <w:p>
      <w:pPr>
        <w:pStyle w:val="Compact"/>
        <w:numPr>
          <w:ilvl w:val="0"/>
          <w:numId w:val="1007"/>
        </w:numPr>
      </w:pPr>
      <w:r>
        <w:rPr>
          <w:b/>
          <w:bCs/>
        </w:rPr>
        <w:t xml:space="preserve">Complete Utah permit transfer</w:t>
      </w:r>
      <w:r>
        <w:t xml:space="preserve"> </w:t>
      </w:r>
      <w:r>
        <w:t xml:space="preserve">(UTH-0441) from Pinnacle to RES.</w:t>
      </w:r>
    </w:p>
    <w:p>
      <w:pPr>
        <w:pStyle w:val="Compact"/>
        <w:numPr>
          <w:ilvl w:val="0"/>
          <w:numId w:val="1007"/>
        </w:numPr>
      </w:pPr>
      <w:r>
        <w:rPr>
          <w:b/>
          <w:bCs/>
        </w:rPr>
        <w:t xml:space="preserve">Resolve or escrow CDPHE enforcement action</w:t>
      </w:r>
      <w:r>
        <w:t xml:space="preserve"> </w:t>
      </w:r>
      <w:r>
        <w:t xml:space="preserve">(Docket No. CDPHE-HW-2024-0093).</w:t>
      </w:r>
    </w:p>
    <w:p>
      <w:pPr>
        <w:pStyle w:val="Compact"/>
        <w:numPr>
          <w:ilvl w:val="0"/>
          <w:numId w:val="1007"/>
        </w:numPr>
      </w:pPr>
      <w:r>
        <w:rPr>
          <w:b/>
          <w:bCs/>
        </w:rPr>
        <w:t xml:space="preserve">Arrange acquisition financing</w:t>
      </w:r>
      <w:r>
        <w:t xml:space="preserve"> </w:t>
      </w:r>
      <w:r>
        <w:t xml:space="preserve">to refinance the High Plains National Bank credit facility.</w:t>
      </w:r>
    </w:p>
    <w:p>
      <w:pPr>
        <w:pStyle w:val="Compact"/>
        <w:numPr>
          <w:ilvl w:val="0"/>
          <w:numId w:val="1007"/>
        </w:numPr>
      </w:pPr>
      <w:r>
        <w:rPr>
          <w:b/>
          <w:bCs/>
        </w:rPr>
        <w:t xml:space="preserve">Negotiate post-closing employment arrangements</w:t>
      </w:r>
      <w:r>
        <w:t xml:space="preserve"> </w:t>
      </w:r>
      <w:r>
        <w:t xml:space="preserve">with Derek and Jason Calloway.</w:t>
      </w:r>
    </w:p>
    <w:p>
      <w:pPr>
        <w:pStyle w:val="Compact"/>
        <w:numPr>
          <w:ilvl w:val="0"/>
          <w:numId w:val="1007"/>
        </w:numPr>
      </w:pPr>
      <w:r>
        <w:rPr>
          <w:b/>
          <w:bCs/>
        </w:rPr>
        <w:t xml:space="preserve">Obtain customer consent letters</w:t>
      </w:r>
      <w:r>
        <w:t xml:space="preserve"> </w:t>
      </w:r>
      <w:r>
        <w:t xml:space="preserve">from all contracts with assignment/change-of-control provisions.</w:t>
      </w:r>
    </w:p>
    <w:p>
      <w:pPr>
        <w:pStyle w:val="Compact"/>
        <w:numPr>
          <w:ilvl w:val="0"/>
          <w:numId w:val="1007"/>
        </w:numPr>
      </w:pPr>
      <w:r>
        <w:rPr>
          <w:b/>
          <w:bCs/>
        </w:rPr>
        <w:t xml:space="preserve">Obtain independent actuarial assessment</w:t>
      </w:r>
      <w:r>
        <w:t xml:space="preserve"> </w:t>
      </w:r>
      <w:r>
        <w:t xml:space="preserve">of asbestos tail liability; procure tail coverage or negotiate specific indemnification.</w:t>
      </w:r>
    </w:p>
    <w:p>
      <w:r>
        <w:pict>
          <v:rect style="width:0;height:1.5pt" o:hralign="center" o:hrstd="t" o:hr="t"/>
        </w:pict>
      </w:r>
    </w:p>
    <w:bookmarkEnd w:id="44"/>
    <w:bookmarkStart w:id="45" w:name="ix.-recommended-spa-protections"/>
    <w:p>
      <w:pPr>
        <w:pStyle w:val="Heading2"/>
      </w:pPr>
      <w:r>
        <w:t xml:space="preserve">IX. RECOMMENDED SPA PROTECTIONS</w:t>
      </w:r>
    </w:p>
    <w:p>
      <w:pPr>
        <w:pStyle w:val="Compact"/>
        <w:numPr>
          <w:ilvl w:val="0"/>
          <w:numId w:val="1008"/>
        </w:numPr>
      </w:pPr>
      <w:r>
        <w:rPr>
          <w:b/>
          <w:bCs/>
        </w:rPr>
        <w:t xml:space="preserve">Environmental Reps &amp; Warranties:</w:t>
      </w:r>
      <w:r>
        <w:t xml:space="preserve"> </w:t>
      </w:r>
      <w:r>
        <w:t xml:space="preserve">6-year survival (per LOI); separate environmental escrow of $5–10M.</w:t>
      </w:r>
    </w:p>
    <w:p>
      <w:pPr>
        <w:pStyle w:val="Compact"/>
        <w:numPr>
          <w:ilvl w:val="0"/>
          <w:numId w:val="1008"/>
        </w:numPr>
      </w:pPr>
      <w:r>
        <w:rPr>
          <w:b/>
          <w:bCs/>
        </w:rPr>
        <w:t xml:space="preserve">Specific Indemnities:</w:t>
      </w:r>
      <w:r>
        <w:t xml:space="preserve"> </w:t>
      </w:r>
      <w:r>
        <w:t xml:space="preserve">CDPHE enforcement action; Ramirez lawsuit; asbestos tail claims (pre-2015); SLC lease/permit issues.</w:t>
      </w:r>
    </w:p>
    <w:p>
      <w:pPr>
        <w:pStyle w:val="Compact"/>
        <w:numPr>
          <w:ilvl w:val="0"/>
          <w:numId w:val="1008"/>
        </w:numPr>
      </w:pPr>
      <w:r>
        <w:rPr>
          <w:b/>
          <w:bCs/>
        </w:rPr>
        <w:t xml:space="preserve">Purchase Price Reduction:</w:t>
      </w:r>
      <w:r>
        <w:t xml:space="preserve"> </w:t>
      </w:r>
      <w:r>
        <w:t xml:space="preserve">Reflect DOE ceiling exhaustion risk, fleet replacement backlog, and EBITDA normalization in final enterprise value.</w:t>
      </w:r>
    </w:p>
    <w:p>
      <w:pPr>
        <w:pStyle w:val="Compact"/>
        <w:numPr>
          <w:ilvl w:val="0"/>
          <w:numId w:val="1008"/>
        </w:numPr>
      </w:pPr>
      <w:r>
        <w:rPr>
          <w:b/>
          <w:bCs/>
        </w:rPr>
        <w:t xml:space="preserve">Capex Escrow:</w:t>
      </w:r>
      <w:r>
        <w:t xml:space="preserve"> </w:t>
      </w:r>
      <w:r>
        <w:t xml:space="preserve">$5–7M to fund fleet replacement backlog.</w:t>
      </w:r>
    </w:p>
    <w:p>
      <w:pPr>
        <w:pStyle w:val="Compact"/>
        <w:numPr>
          <w:ilvl w:val="0"/>
          <w:numId w:val="1008"/>
        </w:numPr>
      </w:pPr>
      <w:r>
        <w:rPr>
          <w:b/>
          <w:bCs/>
        </w:rPr>
        <w:t xml:space="preserve">CoC Severance Treatment:</w:t>
      </w:r>
      <w:r>
        <w:t xml:space="preserve"> </w:t>
      </w:r>
      <w:r>
        <w:t xml:space="preserve">Confirm as seller-borne Transaction Expense deducted from purchase price.</w:t>
      </w:r>
    </w:p>
    <w:p>
      <w:pPr>
        <w:pStyle w:val="Compact"/>
        <w:numPr>
          <w:ilvl w:val="0"/>
          <w:numId w:val="1008"/>
        </w:numPr>
      </w:pPr>
      <w:r>
        <w:rPr>
          <w:b/>
          <w:bCs/>
        </w:rPr>
        <w:t xml:space="preserve">NLRB Representation:</w:t>
      </w:r>
      <w:r>
        <w:t xml:space="preserve"> </w:t>
      </w:r>
      <w:r>
        <w:t xml:space="preserve">Specific rep regarding absence of pending labor organizing activity (or disclosure and indemnification).</w:t>
      </w:r>
    </w:p>
    <w:p>
      <w:pPr>
        <w:pStyle w:val="Compact"/>
        <w:numPr>
          <w:ilvl w:val="0"/>
          <w:numId w:val="1008"/>
        </w:numPr>
      </w:pPr>
      <w:r>
        <w:rPr>
          <w:b/>
          <w:bCs/>
        </w:rPr>
        <w:t xml:space="preserve">Audited Financials:</w:t>
      </w:r>
      <w:r>
        <w:t xml:space="preserve"> </w:t>
      </w:r>
      <w:r>
        <w:t xml:space="preserve">Require FY2022–FY2024 GAAP-audited financials as a closing condition (currently only reviewed for FY2024).</w:t>
      </w:r>
    </w:p>
    <w:p>
      <w:r>
        <w:pict>
          <v:rect style="width:0;height:1.5pt" o:hralign="center" o:hrstd="t" o:hr="t"/>
        </w:pict>
      </w:r>
    </w:p>
    <w:p>
      <w:pPr>
        <w:pStyle w:val="FirstParagraph"/>
      </w:pPr>
      <w:r>
        <w:rPr>
          <w:i/>
          <w:iCs/>
        </w:rPr>
        <w:t xml:space="preserve">This memorandum is based solely on information contained in the Project Ridgeline data room as of December 2024. It does not constitute legal advice and should be read in conjunction with independent legal, financial, environmental, and insurance due diligence. All financial figures are in USD thousands unless otherwise noted.</w:t>
      </w:r>
    </w:p>
    <w:p>
      <w:pPr>
        <w:pStyle w:val="BodyText"/>
      </w:pPr>
      <w:r>
        <w:rPr>
          <w:i/>
          <w:iCs/>
        </w:rPr>
        <w:t xml:space="preserve">CONFIDENTIAL — PREPARED IN ANTICIPATION OF LITIGATION — ATTORNEY-CLIENT PRIVILEGE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2026-08-17T20:14:16Z</dcterms:created>
  <dcterms:modified xsi:type="dcterms:W3CDTF">2026-08-17T20:14:16Z</dcterms:modified>
</cp:coreProperties>
</file>

<file path=docProps/custom.xml><?xml version="1.0" encoding="utf-8"?>
<Properties xmlns="http://schemas.openxmlformats.org/officeDocument/2006/custom-properties" xmlns:vt="http://schemas.openxmlformats.org/officeDocument/2006/docPropsVTypes"/>
</file>