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00000"/>
          <w:sz w:val="18"/>
        </w:rPr>
        <w:t>PRIVILEGED AND CONFIDENTIAL</w:t>
      </w:r>
    </w:p>
    <w:p>
      <w:pPr>
        <w:spacing w:before="120"/>
        <w:jc w:val="center"/>
      </w:pPr>
      <w:r>
        <w:rPr>
          <w:rFonts w:ascii="Calibri" w:hAnsi="Calibri"/>
          <w:b/>
          <w:color w:val="1F3864"/>
          <w:sz w:val="36"/>
        </w:rPr>
        <w:t>DILIGENCE RED FLAG MEMORANDUM</w:t>
      </w:r>
    </w:p>
    <w:p>
      <w:pPr>
        <w:jc w:val="center"/>
      </w:pPr>
      <w:r>
        <w:rPr>
          <w:rFonts w:ascii="Calibri" w:hAnsi="Calibri"/>
          <w:color w:val="404040"/>
          <w:sz w:val="24"/>
        </w:rPr>
        <w:t>Project Ridgeline — Proposed Acquisition of Ridgeline Environmental Services, Inc.</w:t>
      </w:r>
    </w:p>
    <w:p>
      <w:pPr>
        <w:spacing w:before="120" w:after="120"/>
        <w:pBdr>
          <w:bottom w:val="single" w:sz="6" w:space="1" w:color="1F3864"/>
        </w:pBdr>
      </w:pPr>
    </w:p>
    <w:tbl>
      <w:tblPr>
        <w:tblStyle w:val="TableGrid"/>
        <w:tblW w:type="auto" w:w="0"/>
        <w:tblLook w:firstColumn="1" w:firstRow="1" w:lastColumn="0" w:lastRow="0" w:noHBand="0" w:noVBand="1" w:val="04A0"/>
      </w:tblPr>
      <w:tblGrid>
        <w:gridCol w:w="2592"/>
        <w:gridCol w:w="6768"/>
      </w:tblGrid>
      <w:tr>
        <w:tc>
          <w:tcPr>
            <w:tcW w:type="dxa" w:w="4680"/>
            <w:shd w:val="clear" w:color="auto" w:fill="F2F2F2"/>
          </w:tcPr>
          <w:p>
            <w:r>
              <w:rPr>
                <w:rFonts w:ascii="Calibri" w:hAnsi="Calibri"/>
                <w:b/>
                <w:sz w:val="20"/>
              </w:rPr>
              <w:t>Prepared for:</w:t>
            </w:r>
          </w:p>
        </w:tc>
        <w:tc>
          <w:tcPr>
            <w:tcW w:type="dxa" w:w="4680"/>
            <w:shd w:val="clear" w:color="auto" w:fill="FFFFFF"/>
          </w:tcPr>
          <w:p>
            <w:r>
              <w:rPr>
                <w:rFonts w:ascii="Calibri" w:hAnsi="Calibri"/>
                <w:sz w:val="20"/>
              </w:rPr>
              <w:t>Sycamore Capital Partners, LP / Thornfield &amp; Associates LLP</w:t>
            </w:r>
          </w:p>
        </w:tc>
      </w:tr>
      <w:tr>
        <w:tc>
          <w:tcPr>
            <w:tcW w:type="dxa" w:w="4680"/>
            <w:shd w:val="clear" w:color="auto" w:fill="F2F2F2"/>
          </w:tcPr>
          <w:p>
            <w:r>
              <w:rPr>
                <w:rFonts w:ascii="Calibri" w:hAnsi="Calibri"/>
                <w:b/>
                <w:sz w:val="20"/>
              </w:rPr>
              <w:t>Prepared by:</w:t>
            </w:r>
          </w:p>
        </w:tc>
        <w:tc>
          <w:tcPr>
            <w:tcW w:type="dxa" w:w="4680"/>
            <w:shd w:val="clear" w:color="auto" w:fill="FFFFFF"/>
          </w:tcPr>
          <w:p>
            <w:r>
              <w:rPr>
                <w:rFonts w:ascii="Calibri" w:hAnsi="Calibri"/>
                <w:sz w:val="20"/>
              </w:rPr>
              <w:t>Diligence Review Team</w:t>
            </w:r>
          </w:p>
        </w:tc>
      </w:tr>
      <w:tr>
        <w:tc>
          <w:tcPr>
            <w:tcW w:type="dxa" w:w="4680"/>
            <w:shd w:val="clear" w:color="auto" w:fill="F2F2F2"/>
          </w:tcPr>
          <w:p>
            <w:r>
              <w:rPr>
                <w:rFonts w:ascii="Calibri" w:hAnsi="Calibri"/>
                <w:b/>
                <w:sz w:val="20"/>
              </w:rPr>
              <w:t>Date:</w:t>
            </w:r>
          </w:p>
        </w:tc>
        <w:tc>
          <w:tcPr>
            <w:tcW w:type="dxa" w:w="4680"/>
            <w:shd w:val="clear" w:color="auto" w:fill="FFFFFF"/>
          </w:tcPr>
          <w:p>
            <w:r>
              <w:rPr>
                <w:rFonts w:ascii="Calibri" w:hAnsi="Calibri"/>
                <w:sz w:val="20"/>
              </w:rPr>
              <w:t>December 2024</w:t>
            </w:r>
          </w:p>
        </w:tc>
      </w:tr>
      <w:tr>
        <w:tc>
          <w:tcPr>
            <w:tcW w:type="dxa" w:w="4680"/>
            <w:shd w:val="clear" w:color="auto" w:fill="F2F2F2"/>
          </w:tcPr>
          <w:p>
            <w:r>
              <w:rPr>
                <w:rFonts w:ascii="Calibri" w:hAnsi="Calibri"/>
                <w:b/>
                <w:sz w:val="20"/>
              </w:rPr>
              <w:t>Classification:</w:t>
            </w:r>
          </w:p>
        </w:tc>
        <w:tc>
          <w:tcPr>
            <w:tcW w:type="dxa" w:w="4680"/>
            <w:shd w:val="clear" w:color="auto" w:fill="FFFFFF"/>
          </w:tcPr>
          <w:p>
            <w:r>
              <w:rPr>
                <w:rFonts w:ascii="Calibri" w:hAnsi="Calibri"/>
                <w:sz w:val="20"/>
              </w:rPr>
              <w:t>Confidential — For Internal Use Only</w:t>
            </w:r>
          </w:p>
        </w:tc>
      </w:tr>
    </w:tbl>
    <w:p>
      <w:pPr>
        <w:spacing w:before="120" w:after="120"/>
        <w:pBdr>
          <w:bottom w:val="single" w:sz="6" w:space="1" w:color="1F3864"/>
        </w:pBdr>
      </w:pPr>
    </w:p>
    <w:p>
      <w:pPr>
        <w:spacing w:before="240" w:after="80"/>
      </w:pPr>
      <w:r>
        <w:rPr>
          <w:rFonts w:ascii="Calibri" w:hAnsi="Calibri"/>
          <w:b/>
          <w:color w:val="1F3864"/>
          <w:sz w:val="28"/>
        </w:rPr>
        <w:t>EXECUTIVE SUMMARY</w:t>
      </w:r>
    </w:p>
    <w:p>
      <w:pPr>
        <w:spacing w:before="0" w:after="80"/>
      </w:pPr>
      <w:r>
        <w:rPr>
          <w:rFonts w:ascii="Calibri" w:hAnsi="Calibri"/>
          <w:b w:val="0"/>
          <w:i w:val="0"/>
          <w:sz w:val="20"/>
        </w:rPr>
        <w:t>This memorandum identifies fourteen material red flags arising from review of the thirteen data room documents provided in connection with the proposed acquisition of Ridgeline Environmental Services, Inc. ("RES" or the "Company") by Sycamore Capital Partners, LP ("Buyer"). The indicative enterprise value of $182-$205 million (8.0x-9.0x FY2024 Adjusted EBITDA of $22.8M) is subject to significant downward pressure based on the findings below.</w:t>
      </w:r>
    </w:p>
    <w:p>
      <w:pPr>
        <w:spacing w:before="0" w:after="80"/>
      </w:pPr>
      <w:r>
        <w:rPr>
          <w:rFonts w:ascii="Calibri" w:hAnsi="Calibri"/>
          <w:b w:val="0"/>
          <w:i w:val="0"/>
          <w:sz w:val="20"/>
        </w:rPr>
        <w:t>Red flags are rated by severity: CRITICAL (deal-threatening or requiring immediate resolution before proceeding), HIGH (material to valuation or closing mechanics), and MODERATE (requiring negotiated protection or further investigation).</w:t>
      </w:r>
    </w:p>
    <w:p>
      <w:pPr>
        <w:spacing w:before="160" w:after="80"/>
      </w:pPr>
      <w:r>
        <w:rPr>
          <w:rFonts w:ascii="Calibri" w:hAnsi="Calibri"/>
          <w:b/>
          <w:color w:val="1F3864"/>
          <w:sz w:val="24"/>
        </w:rPr>
        <w:t>Summary of Red Flags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92"/>
            <w:shd w:val="clear" w:color="auto" w:fill="1F3864"/>
          </w:tcPr>
          <w:p>
            <w:r>
              <w:rPr>
                <w:rFonts w:ascii="Calibri" w:hAnsi="Calibri"/>
                <w:b/>
                <w:color w:val="FFFFFF"/>
                <w:sz w:val="18"/>
              </w:rPr>
              <w:t>#</w:t>
            </w:r>
          </w:p>
        </w:tc>
        <w:tc>
          <w:tcPr>
            <w:tcW w:type="dxa" w:w="3600"/>
            <w:shd w:val="clear" w:color="auto" w:fill="1F3864"/>
          </w:tcPr>
          <w:p>
            <w:r>
              <w:rPr>
                <w:rFonts w:ascii="Calibri" w:hAnsi="Calibri"/>
                <w:b/>
                <w:color w:val="FFFFFF"/>
                <w:sz w:val="18"/>
              </w:rPr>
              <w:t>Red Flag Title</w:t>
            </w:r>
          </w:p>
        </w:tc>
        <w:tc>
          <w:tcPr>
            <w:tcW w:type="dxa" w:w="1728"/>
            <w:shd w:val="clear" w:color="auto" w:fill="1F3864"/>
          </w:tcPr>
          <w:p>
            <w:r>
              <w:rPr>
                <w:rFonts w:ascii="Calibri" w:hAnsi="Calibri"/>
                <w:b/>
                <w:color w:val="FFFFFF"/>
                <w:sz w:val="18"/>
              </w:rPr>
              <w:t>Category</w:t>
            </w:r>
          </w:p>
        </w:tc>
        <w:tc>
          <w:tcPr>
            <w:tcW w:type="dxa" w:w="1224"/>
            <w:shd w:val="clear" w:color="auto" w:fill="1F3864"/>
          </w:tcPr>
          <w:p>
            <w:r>
              <w:rPr>
                <w:rFonts w:ascii="Calibri" w:hAnsi="Calibri"/>
                <w:b/>
                <w:color w:val="FFFFFF"/>
                <w:sz w:val="18"/>
              </w:rPr>
              <w:t>Severity</w:t>
            </w:r>
          </w:p>
        </w:tc>
        <w:tc>
          <w:tcPr>
            <w:tcW w:type="dxa" w:w="2304"/>
            <w:shd w:val="clear" w:color="auto" w:fill="1F3864"/>
          </w:tcPr>
          <w:p>
            <w:r>
              <w:rPr>
                <w:rFonts w:ascii="Calibri" w:hAnsi="Calibri"/>
                <w:b/>
                <w:color w:val="FFFFFF"/>
                <w:sz w:val="18"/>
              </w:rPr>
              <w:t>Est. Financial Impact</w:t>
            </w:r>
          </w:p>
        </w:tc>
      </w:tr>
      <w:tr>
        <w:tc>
          <w:tcPr>
            <w:tcW w:type="dxa" w:w="792"/>
            <w:shd w:val="clear" w:color="auto" w:fill="FFFFFF"/>
          </w:tcPr>
          <w:p>
            <w:r>
              <w:rPr>
                <w:rFonts w:ascii="Calibri" w:hAnsi="Calibri"/>
                <w:sz w:val="18"/>
              </w:rPr>
              <w:t>RF-01</w:t>
            </w:r>
          </w:p>
        </w:tc>
        <w:tc>
          <w:tcPr>
            <w:tcW w:type="dxa" w:w="3600"/>
            <w:shd w:val="clear" w:color="auto" w:fill="FFFFFF"/>
          </w:tcPr>
          <w:p>
            <w:r>
              <w:rPr>
                <w:rFonts w:ascii="Calibri" w:hAnsi="Calibri"/>
                <w:sz w:val="18"/>
              </w:rPr>
              <w:t>EBITDA discrepancy and aggressive add-backs</w:t>
            </w:r>
          </w:p>
        </w:tc>
        <w:tc>
          <w:tcPr>
            <w:tcW w:type="dxa" w:w="1728"/>
            <w:shd w:val="clear" w:color="auto" w:fill="FFFFFF"/>
          </w:tcPr>
          <w:p>
            <w:r>
              <w:rPr>
                <w:rFonts w:ascii="Calibri" w:hAnsi="Calibri"/>
                <w:sz w:val="18"/>
              </w:rPr>
              <w:t>Financial/QoE</w:t>
            </w:r>
          </w:p>
        </w:tc>
        <w:tc>
          <w:tcPr>
            <w:tcW w:type="dxa" w:w="1224"/>
            <w:shd w:val="clear" w:color="auto" w:fill="C00000"/>
          </w:tcPr>
          <w:p>
            <w:r>
              <w:rPr>
                <w:rFonts w:ascii="Calibri" w:hAnsi="Calibri"/>
                <w:b/>
                <w:color w:val="FFFFFF"/>
                <w:sz w:val="18"/>
              </w:rPr>
              <w:t>CRITICAL</w:t>
            </w:r>
          </w:p>
        </w:tc>
        <w:tc>
          <w:tcPr>
            <w:tcW w:type="dxa" w:w="2304"/>
            <w:shd w:val="clear" w:color="auto" w:fill="FFFFFF"/>
          </w:tcPr>
          <w:p>
            <w:r>
              <w:rPr>
                <w:rFonts w:ascii="Calibri" w:hAnsi="Calibri"/>
                <w:sz w:val="18"/>
              </w:rPr>
              <w:t>$16M-$49M EV reduction potential</w:t>
            </w:r>
          </w:p>
        </w:tc>
      </w:tr>
      <w:tr>
        <w:tc>
          <w:tcPr>
            <w:tcW w:type="dxa" w:w="792"/>
            <w:shd w:val="clear" w:color="auto" w:fill="F2F2F2"/>
          </w:tcPr>
          <w:p>
            <w:r>
              <w:rPr>
                <w:rFonts w:ascii="Calibri" w:hAnsi="Calibri"/>
                <w:sz w:val="18"/>
              </w:rPr>
              <w:t>RF-02</w:t>
            </w:r>
          </w:p>
        </w:tc>
        <w:tc>
          <w:tcPr>
            <w:tcW w:type="dxa" w:w="3600"/>
            <w:shd w:val="clear" w:color="auto" w:fill="F2F2F2"/>
          </w:tcPr>
          <w:p>
            <w:r>
              <w:rPr>
                <w:rFonts w:ascii="Calibri" w:hAnsi="Calibri"/>
                <w:sz w:val="18"/>
              </w:rPr>
              <w:t>DOE IDIQ ceiling exhaustion — revenue cliff</w:t>
            </w:r>
          </w:p>
        </w:tc>
        <w:tc>
          <w:tcPr>
            <w:tcW w:type="dxa" w:w="1728"/>
            <w:shd w:val="clear" w:color="auto" w:fill="F2F2F2"/>
          </w:tcPr>
          <w:p>
            <w:r>
              <w:rPr>
                <w:rFonts w:ascii="Calibri" w:hAnsi="Calibri"/>
                <w:sz w:val="18"/>
              </w:rPr>
              <w:t>Financial/Revenue</w:t>
            </w:r>
          </w:p>
        </w:tc>
        <w:tc>
          <w:tcPr>
            <w:tcW w:type="dxa" w:w="1224"/>
            <w:shd w:val="clear" w:color="auto" w:fill="C00000"/>
          </w:tcPr>
          <w:p>
            <w:r>
              <w:rPr>
                <w:rFonts w:ascii="Calibri" w:hAnsi="Calibri"/>
                <w:b/>
                <w:color w:val="FFFFFF"/>
                <w:sz w:val="18"/>
              </w:rPr>
              <w:t>CRITICAL</w:t>
            </w:r>
          </w:p>
        </w:tc>
        <w:tc>
          <w:tcPr>
            <w:tcW w:type="dxa" w:w="2304"/>
            <w:shd w:val="clear" w:color="auto" w:fill="F2F2F2"/>
          </w:tcPr>
          <w:p>
            <w:r>
              <w:rPr>
                <w:rFonts w:ascii="Calibri" w:hAnsi="Calibri"/>
                <w:sz w:val="18"/>
              </w:rPr>
              <w:t>~$12.1M FY2025 revenue headwind</w:t>
            </w:r>
          </w:p>
        </w:tc>
      </w:tr>
      <w:tr>
        <w:tc>
          <w:tcPr>
            <w:tcW w:type="dxa" w:w="792"/>
            <w:shd w:val="clear" w:color="auto" w:fill="FFFFFF"/>
          </w:tcPr>
          <w:p>
            <w:r>
              <w:rPr>
                <w:rFonts w:ascii="Calibri" w:hAnsi="Calibri"/>
                <w:sz w:val="18"/>
              </w:rPr>
              <w:t>RF-03</w:t>
            </w:r>
          </w:p>
        </w:tc>
        <w:tc>
          <w:tcPr>
            <w:tcW w:type="dxa" w:w="3600"/>
            <w:shd w:val="clear" w:color="auto" w:fill="FFFFFF"/>
          </w:tcPr>
          <w:p>
            <w:r>
              <w:rPr>
                <w:rFonts w:ascii="Calibri" w:hAnsi="Calibri"/>
                <w:sz w:val="18"/>
              </w:rPr>
              <w:t>Fleet age and deferred capex backlog</w:t>
            </w:r>
          </w:p>
        </w:tc>
        <w:tc>
          <w:tcPr>
            <w:tcW w:type="dxa" w:w="1728"/>
            <w:shd w:val="clear" w:color="auto" w:fill="FFFFFF"/>
          </w:tcPr>
          <w:p>
            <w:r>
              <w:rPr>
                <w:rFonts w:ascii="Calibri" w:hAnsi="Calibri"/>
                <w:sz w:val="18"/>
              </w:rPr>
              <w:t>Financial/Capex</w:t>
            </w:r>
          </w:p>
        </w:tc>
        <w:tc>
          <w:tcPr>
            <w:tcW w:type="dxa" w:w="1224"/>
            <w:shd w:val="clear" w:color="auto" w:fill="E26B0A"/>
          </w:tcPr>
          <w:p>
            <w:r>
              <w:rPr>
                <w:rFonts w:ascii="Calibri" w:hAnsi="Calibri"/>
                <w:b/>
                <w:color w:val="FFFFFF"/>
                <w:sz w:val="18"/>
              </w:rPr>
              <w:t>HIGH</w:t>
            </w:r>
          </w:p>
        </w:tc>
        <w:tc>
          <w:tcPr>
            <w:tcW w:type="dxa" w:w="2304"/>
            <w:shd w:val="clear" w:color="auto" w:fill="FFFFFF"/>
          </w:tcPr>
          <w:p>
            <w:r>
              <w:rPr>
                <w:rFonts w:ascii="Calibri" w:hAnsi="Calibri"/>
                <w:sz w:val="18"/>
              </w:rPr>
              <w:t>~$3.3M/yr incremental capex</w:t>
            </w:r>
          </w:p>
        </w:tc>
      </w:tr>
      <w:tr>
        <w:tc>
          <w:tcPr>
            <w:tcW w:type="dxa" w:w="792"/>
            <w:shd w:val="clear" w:color="auto" w:fill="F2F2F2"/>
          </w:tcPr>
          <w:p>
            <w:r>
              <w:rPr>
                <w:rFonts w:ascii="Calibri" w:hAnsi="Calibri"/>
                <w:sz w:val="18"/>
              </w:rPr>
              <w:t>RF-04</w:t>
            </w:r>
          </w:p>
        </w:tc>
        <w:tc>
          <w:tcPr>
            <w:tcW w:type="dxa" w:w="3600"/>
            <w:shd w:val="clear" w:color="auto" w:fill="F2F2F2"/>
          </w:tcPr>
          <w:p>
            <w:r>
              <w:rPr>
                <w:rFonts w:ascii="Calibri" w:hAnsi="Calibri"/>
                <w:sz w:val="18"/>
              </w:rPr>
              <w:t>Stale Phase II ESA — unquantified remediation</w:t>
            </w:r>
          </w:p>
        </w:tc>
        <w:tc>
          <w:tcPr>
            <w:tcW w:type="dxa" w:w="1728"/>
            <w:shd w:val="clear" w:color="auto" w:fill="F2F2F2"/>
          </w:tcPr>
          <w:p>
            <w:r>
              <w:rPr>
                <w:rFonts w:ascii="Calibri" w:hAnsi="Calibri"/>
                <w:sz w:val="18"/>
              </w:rPr>
              <w:t>Environmental</w:t>
            </w:r>
          </w:p>
        </w:tc>
        <w:tc>
          <w:tcPr>
            <w:tcW w:type="dxa" w:w="1224"/>
            <w:shd w:val="clear" w:color="auto" w:fill="C00000"/>
          </w:tcPr>
          <w:p>
            <w:r>
              <w:rPr>
                <w:rFonts w:ascii="Calibri" w:hAnsi="Calibri"/>
                <w:b/>
                <w:color w:val="FFFFFF"/>
                <w:sz w:val="18"/>
              </w:rPr>
              <w:t>CRITICAL</w:t>
            </w:r>
          </w:p>
        </w:tc>
        <w:tc>
          <w:tcPr>
            <w:tcW w:type="dxa" w:w="2304"/>
            <w:shd w:val="clear" w:color="auto" w:fill="F2F2F2"/>
          </w:tcPr>
          <w:p>
            <w:r>
              <w:rPr>
                <w:rFonts w:ascii="Calibri" w:hAnsi="Calibri"/>
                <w:sz w:val="18"/>
              </w:rPr>
              <w:t>$5M-$10M+ potential exposure</w:t>
            </w:r>
          </w:p>
        </w:tc>
      </w:tr>
      <w:tr>
        <w:tc>
          <w:tcPr>
            <w:tcW w:type="dxa" w:w="792"/>
            <w:shd w:val="clear" w:color="auto" w:fill="FFFFFF"/>
          </w:tcPr>
          <w:p>
            <w:r>
              <w:rPr>
                <w:rFonts w:ascii="Calibri" w:hAnsi="Calibri"/>
                <w:sz w:val="18"/>
              </w:rPr>
              <w:t>RF-05</w:t>
            </w:r>
          </w:p>
        </w:tc>
        <w:tc>
          <w:tcPr>
            <w:tcW w:type="dxa" w:w="3600"/>
            <w:shd w:val="clear" w:color="auto" w:fill="FFFFFF"/>
          </w:tcPr>
          <w:p>
            <w:r>
              <w:rPr>
                <w:rFonts w:ascii="Calibri" w:hAnsi="Calibri"/>
                <w:sz w:val="18"/>
              </w:rPr>
              <w:t>Active CDPHE enforcement action</w:t>
            </w:r>
          </w:p>
        </w:tc>
        <w:tc>
          <w:tcPr>
            <w:tcW w:type="dxa" w:w="1728"/>
            <w:shd w:val="clear" w:color="auto" w:fill="FFFFFF"/>
          </w:tcPr>
          <w:p>
            <w:r>
              <w:rPr>
                <w:rFonts w:ascii="Calibri" w:hAnsi="Calibri"/>
                <w:sz w:val="18"/>
              </w:rPr>
              <w:t>Enviro/Regulatory</w:t>
            </w:r>
          </w:p>
        </w:tc>
        <w:tc>
          <w:tcPr>
            <w:tcW w:type="dxa" w:w="1224"/>
            <w:shd w:val="clear" w:color="auto" w:fill="E26B0A"/>
          </w:tcPr>
          <w:p>
            <w:r>
              <w:rPr>
                <w:rFonts w:ascii="Calibri" w:hAnsi="Calibri"/>
                <w:b/>
                <w:color w:val="FFFFFF"/>
                <w:sz w:val="18"/>
              </w:rPr>
              <w:t>HIGH</w:t>
            </w:r>
          </w:p>
        </w:tc>
        <w:tc>
          <w:tcPr>
            <w:tcW w:type="dxa" w:w="2304"/>
            <w:shd w:val="clear" w:color="auto" w:fill="FFFFFF"/>
          </w:tcPr>
          <w:p>
            <w:r>
              <w:rPr>
                <w:rFonts w:ascii="Calibri" w:hAnsi="Calibri"/>
                <w:sz w:val="18"/>
              </w:rPr>
              <w:t>$200K-$1.16M penalty</w:t>
            </w:r>
          </w:p>
        </w:tc>
      </w:tr>
      <w:tr>
        <w:tc>
          <w:tcPr>
            <w:tcW w:type="dxa" w:w="792"/>
            <w:shd w:val="clear" w:color="auto" w:fill="F2F2F2"/>
          </w:tcPr>
          <w:p>
            <w:r>
              <w:rPr>
                <w:rFonts w:ascii="Calibri" w:hAnsi="Calibri"/>
                <w:sz w:val="18"/>
              </w:rPr>
              <w:t>RF-06</w:t>
            </w:r>
          </w:p>
        </w:tc>
        <w:tc>
          <w:tcPr>
            <w:tcW w:type="dxa" w:w="3600"/>
            <w:shd w:val="clear" w:color="auto" w:fill="F2F2F2"/>
          </w:tcPr>
          <w:p>
            <w:r>
              <w:rPr>
                <w:rFonts w:ascii="Calibri" w:hAnsi="Calibri"/>
                <w:sz w:val="18"/>
              </w:rPr>
              <w:t>Utah SLC permit transfer unresolved (2.5 yrs)</w:t>
            </w:r>
          </w:p>
        </w:tc>
        <w:tc>
          <w:tcPr>
            <w:tcW w:type="dxa" w:w="1728"/>
            <w:shd w:val="clear" w:color="auto" w:fill="F2F2F2"/>
          </w:tcPr>
          <w:p>
            <w:r>
              <w:rPr>
                <w:rFonts w:ascii="Calibri" w:hAnsi="Calibri"/>
                <w:sz w:val="18"/>
              </w:rPr>
              <w:t>Enviro/Regulatory</w:t>
            </w:r>
          </w:p>
        </w:tc>
        <w:tc>
          <w:tcPr>
            <w:tcW w:type="dxa" w:w="1224"/>
            <w:shd w:val="clear" w:color="auto" w:fill="E26B0A"/>
          </w:tcPr>
          <w:p>
            <w:r>
              <w:rPr>
                <w:rFonts w:ascii="Calibri" w:hAnsi="Calibri"/>
                <w:b/>
                <w:color w:val="FFFFFF"/>
                <w:sz w:val="18"/>
              </w:rPr>
              <w:t>HIGH</w:t>
            </w:r>
          </w:p>
        </w:tc>
        <w:tc>
          <w:tcPr>
            <w:tcW w:type="dxa" w:w="2304"/>
            <w:shd w:val="clear" w:color="auto" w:fill="F2F2F2"/>
          </w:tcPr>
          <w:p>
            <w:r>
              <w:rPr>
                <w:rFonts w:ascii="Calibri" w:hAnsi="Calibri"/>
                <w:sz w:val="18"/>
              </w:rPr>
              <w:t>$16.2M revenue at risk</w:t>
            </w:r>
          </w:p>
        </w:tc>
      </w:tr>
      <w:tr>
        <w:tc>
          <w:tcPr>
            <w:tcW w:type="dxa" w:w="792"/>
            <w:shd w:val="clear" w:color="auto" w:fill="FFFFFF"/>
          </w:tcPr>
          <w:p>
            <w:r>
              <w:rPr>
                <w:rFonts w:ascii="Calibri" w:hAnsi="Calibri"/>
                <w:sz w:val="18"/>
              </w:rPr>
              <w:t>RF-07</w:t>
            </w:r>
          </w:p>
        </w:tc>
        <w:tc>
          <w:tcPr>
            <w:tcW w:type="dxa" w:w="3600"/>
            <w:shd w:val="clear" w:color="auto" w:fill="FFFFFF"/>
          </w:tcPr>
          <w:p>
            <w:r>
              <w:rPr>
                <w:rFonts w:ascii="Calibri" w:hAnsi="Calibri"/>
                <w:sz w:val="18"/>
              </w:rPr>
              <w:t>Wyoming Casper permit expired</w:t>
            </w:r>
          </w:p>
        </w:tc>
        <w:tc>
          <w:tcPr>
            <w:tcW w:type="dxa" w:w="1728"/>
            <w:shd w:val="clear" w:color="auto" w:fill="FFFFFF"/>
          </w:tcPr>
          <w:p>
            <w:r>
              <w:rPr>
                <w:rFonts w:ascii="Calibri" w:hAnsi="Calibri"/>
                <w:sz w:val="18"/>
              </w:rPr>
              <w:t>Enviro/Regulatory</w:t>
            </w:r>
          </w:p>
        </w:tc>
        <w:tc>
          <w:tcPr>
            <w:tcW w:type="dxa" w:w="1224"/>
            <w:shd w:val="clear" w:color="auto" w:fill="FFD966"/>
          </w:tcPr>
          <w:p>
            <w:r>
              <w:rPr>
                <w:rFonts w:ascii="Calibri" w:hAnsi="Calibri"/>
                <w:b/>
                <w:color w:val="404040"/>
                <w:sz w:val="18"/>
              </w:rPr>
              <w:t>MODERATE</w:t>
            </w:r>
          </w:p>
        </w:tc>
        <w:tc>
          <w:tcPr>
            <w:tcW w:type="dxa" w:w="2304"/>
            <w:shd w:val="clear" w:color="auto" w:fill="FFFFFF"/>
          </w:tcPr>
          <w:p>
            <w:r>
              <w:rPr>
                <w:rFonts w:ascii="Calibri" w:hAnsi="Calibri"/>
                <w:sz w:val="18"/>
              </w:rPr>
              <w:t>Operational disruption risk</w:t>
            </w:r>
          </w:p>
        </w:tc>
      </w:tr>
      <w:tr>
        <w:tc>
          <w:tcPr>
            <w:tcW w:type="dxa" w:w="792"/>
            <w:shd w:val="clear" w:color="auto" w:fill="F2F2F2"/>
          </w:tcPr>
          <w:p>
            <w:r>
              <w:rPr>
                <w:rFonts w:ascii="Calibri" w:hAnsi="Calibri"/>
                <w:sz w:val="18"/>
              </w:rPr>
              <w:t>RF-08</w:t>
            </w:r>
          </w:p>
        </w:tc>
        <w:tc>
          <w:tcPr>
            <w:tcW w:type="dxa" w:w="3600"/>
            <w:shd w:val="clear" w:color="auto" w:fill="F2F2F2"/>
          </w:tcPr>
          <w:p>
            <w:r>
              <w:rPr>
                <w:rFonts w:ascii="Calibri" w:hAnsi="Calibri"/>
                <w:sz w:val="18"/>
              </w:rPr>
              <w:t>NLRB unionization petition — 62 employees</w:t>
            </w:r>
          </w:p>
        </w:tc>
        <w:tc>
          <w:tcPr>
            <w:tcW w:type="dxa" w:w="1728"/>
            <w:shd w:val="clear" w:color="auto" w:fill="F2F2F2"/>
          </w:tcPr>
          <w:p>
            <w:r>
              <w:rPr>
                <w:rFonts w:ascii="Calibri" w:hAnsi="Calibri"/>
                <w:sz w:val="18"/>
              </w:rPr>
              <w:t>Labor</w:t>
            </w:r>
          </w:p>
        </w:tc>
        <w:tc>
          <w:tcPr>
            <w:tcW w:type="dxa" w:w="1224"/>
            <w:shd w:val="clear" w:color="auto" w:fill="E26B0A"/>
          </w:tcPr>
          <w:p>
            <w:r>
              <w:rPr>
                <w:rFonts w:ascii="Calibri" w:hAnsi="Calibri"/>
                <w:b/>
                <w:color w:val="FFFFFF"/>
                <w:sz w:val="18"/>
              </w:rPr>
              <w:t>HIGH</w:t>
            </w:r>
          </w:p>
        </w:tc>
        <w:tc>
          <w:tcPr>
            <w:tcW w:type="dxa" w:w="2304"/>
            <w:shd w:val="clear" w:color="auto" w:fill="F2F2F2"/>
          </w:tcPr>
          <w:p>
            <w:r>
              <w:rPr>
                <w:rFonts w:ascii="Calibri" w:hAnsi="Calibri"/>
                <w:sz w:val="18"/>
              </w:rPr>
              <w:t>Unquantified labor cost increase</w:t>
            </w:r>
          </w:p>
        </w:tc>
      </w:tr>
      <w:tr>
        <w:tc>
          <w:tcPr>
            <w:tcW w:type="dxa" w:w="792"/>
            <w:shd w:val="clear" w:color="auto" w:fill="FFFFFF"/>
          </w:tcPr>
          <w:p>
            <w:r>
              <w:rPr>
                <w:rFonts w:ascii="Calibri" w:hAnsi="Calibri"/>
                <w:sz w:val="18"/>
              </w:rPr>
              <w:t>RF-09</w:t>
            </w:r>
          </w:p>
        </w:tc>
        <w:tc>
          <w:tcPr>
            <w:tcW w:type="dxa" w:w="3600"/>
            <w:shd w:val="clear" w:color="auto" w:fill="FFFFFF"/>
          </w:tcPr>
          <w:p>
            <w:r>
              <w:rPr>
                <w:rFonts w:ascii="Calibri" w:hAnsi="Calibri"/>
                <w:sz w:val="18"/>
              </w:rPr>
              <w:t>Former employee FLSA wage claim</w:t>
            </w:r>
          </w:p>
        </w:tc>
        <w:tc>
          <w:tcPr>
            <w:tcW w:type="dxa" w:w="1728"/>
            <w:shd w:val="clear" w:color="auto" w:fill="FFFFFF"/>
          </w:tcPr>
          <w:p>
            <w:r>
              <w:rPr>
                <w:rFonts w:ascii="Calibri" w:hAnsi="Calibri"/>
                <w:sz w:val="18"/>
              </w:rPr>
              <w:t>Labor</w:t>
            </w:r>
          </w:p>
        </w:tc>
        <w:tc>
          <w:tcPr>
            <w:tcW w:type="dxa" w:w="1224"/>
            <w:shd w:val="clear" w:color="auto" w:fill="FFD966"/>
          </w:tcPr>
          <w:p>
            <w:r>
              <w:rPr>
                <w:rFonts w:ascii="Calibri" w:hAnsi="Calibri"/>
                <w:b/>
                <w:color w:val="404040"/>
                <w:sz w:val="18"/>
              </w:rPr>
              <w:t>MODERATE</w:t>
            </w:r>
          </w:p>
        </w:tc>
        <w:tc>
          <w:tcPr>
            <w:tcW w:type="dxa" w:w="2304"/>
            <w:shd w:val="clear" w:color="auto" w:fill="FFFFFF"/>
          </w:tcPr>
          <w:p>
            <w:r>
              <w:rPr>
                <w:rFonts w:ascii="Calibri" w:hAnsi="Calibri"/>
                <w:sz w:val="18"/>
              </w:rPr>
              <w:t>$100K-$330K</w:t>
            </w:r>
          </w:p>
        </w:tc>
      </w:tr>
      <w:tr>
        <w:tc>
          <w:tcPr>
            <w:tcW w:type="dxa" w:w="792"/>
            <w:shd w:val="clear" w:color="auto" w:fill="F2F2F2"/>
          </w:tcPr>
          <w:p>
            <w:r>
              <w:rPr>
                <w:rFonts w:ascii="Calibri" w:hAnsi="Calibri"/>
                <w:sz w:val="18"/>
              </w:rPr>
              <w:t>RF-10</w:t>
            </w:r>
          </w:p>
        </w:tc>
        <w:tc>
          <w:tcPr>
            <w:tcW w:type="dxa" w:w="3600"/>
            <w:shd w:val="clear" w:color="auto" w:fill="F2F2F2"/>
          </w:tcPr>
          <w:p>
            <w:r>
              <w:rPr>
                <w:rFonts w:ascii="Calibri" w:hAnsi="Calibri"/>
                <w:sz w:val="18"/>
              </w:rPr>
              <w:t>Change-of-control provisions — 8 contracts</w:t>
            </w:r>
          </w:p>
        </w:tc>
        <w:tc>
          <w:tcPr>
            <w:tcW w:type="dxa" w:w="1728"/>
            <w:shd w:val="clear" w:color="auto" w:fill="F2F2F2"/>
          </w:tcPr>
          <w:p>
            <w:r>
              <w:rPr>
                <w:rFonts w:ascii="Calibri" w:hAnsi="Calibri"/>
                <w:sz w:val="18"/>
              </w:rPr>
              <w:t>Contract</w:t>
            </w:r>
          </w:p>
        </w:tc>
        <w:tc>
          <w:tcPr>
            <w:tcW w:type="dxa" w:w="1224"/>
            <w:shd w:val="clear" w:color="auto" w:fill="E26B0A"/>
          </w:tcPr>
          <w:p>
            <w:r>
              <w:rPr>
                <w:rFonts w:ascii="Calibri" w:hAnsi="Calibri"/>
                <w:b/>
                <w:color w:val="FFFFFF"/>
                <w:sz w:val="18"/>
              </w:rPr>
              <w:t>HIGH</w:t>
            </w:r>
          </w:p>
        </w:tc>
        <w:tc>
          <w:tcPr>
            <w:tcW w:type="dxa" w:w="2304"/>
            <w:shd w:val="clear" w:color="auto" w:fill="F2F2F2"/>
          </w:tcPr>
          <w:p>
            <w:r>
              <w:rPr>
                <w:rFonts w:ascii="Calibri" w:hAnsi="Calibri"/>
                <w:sz w:val="18"/>
              </w:rPr>
              <w:t>~$53M revenue at risk</w:t>
            </w:r>
          </w:p>
        </w:tc>
      </w:tr>
      <w:tr>
        <w:tc>
          <w:tcPr>
            <w:tcW w:type="dxa" w:w="792"/>
            <w:shd w:val="clear" w:color="auto" w:fill="FFFFFF"/>
          </w:tcPr>
          <w:p>
            <w:r>
              <w:rPr>
                <w:rFonts w:ascii="Calibri" w:hAnsi="Calibri"/>
                <w:sz w:val="18"/>
              </w:rPr>
              <w:t>RF-11</w:t>
            </w:r>
          </w:p>
        </w:tc>
        <w:tc>
          <w:tcPr>
            <w:tcW w:type="dxa" w:w="3600"/>
            <w:shd w:val="clear" w:color="auto" w:fill="FFFFFF"/>
          </w:tcPr>
          <w:p>
            <w:r>
              <w:rPr>
                <w:rFonts w:ascii="Calibri" w:hAnsi="Calibri"/>
                <w:sz w:val="18"/>
              </w:rPr>
              <w:t>SLC lease — dual assignment default risk</w:t>
            </w:r>
          </w:p>
        </w:tc>
        <w:tc>
          <w:tcPr>
            <w:tcW w:type="dxa" w:w="1728"/>
            <w:shd w:val="clear" w:color="auto" w:fill="FFFFFF"/>
          </w:tcPr>
          <w:p>
            <w:r>
              <w:rPr>
                <w:rFonts w:ascii="Calibri" w:hAnsi="Calibri"/>
                <w:sz w:val="18"/>
              </w:rPr>
              <w:t>Real Property</w:t>
            </w:r>
          </w:p>
        </w:tc>
        <w:tc>
          <w:tcPr>
            <w:tcW w:type="dxa" w:w="1224"/>
            <w:shd w:val="clear" w:color="auto" w:fill="E26B0A"/>
          </w:tcPr>
          <w:p>
            <w:r>
              <w:rPr>
                <w:rFonts w:ascii="Calibri" w:hAnsi="Calibri"/>
                <w:b/>
                <w:color w:val="FFFFFF"/>
                <w:sz w:val="18"/>
              </w:rPr>
              <w:t>HIGH</w:t>
            </w:r>
          </w:p>
        </w:tc>
        <w:tc>
          <w:tcPr>
            <w:tcW w:type="dxa" w:w="2304"/>
            <w:shd w:val="clear" w:color="auto" w:fill="FFFFFF"/>
          </w:tcPr>
          <w:p>
            <w:r>
              <w:rPr>
                <w:rFonts w:ascii="Calibri" w:hAnsi="Calibri"/>
                <w:sz w:val="18"/>
              </w:rPr>
              <w:t>$16.2M revenue + permit at risk</w:t>
            </w:r>
          </w:p>
        </w:tc>
      </w:tr>
      <w:tr>
        <w:tc>
          <w:tcPr>
            <w:tcW w:type="dxa" w:w="792"/>
            <w:shd w:val="clear" w:color="auto" w:fill="F2F2F2"/>
          </w:tcPr>
          <w:p>
            <w:r>
              <w:rPr>
                <w:rFonts w:ascii="Calibri" w:hAnsi="Calibri"/>
                <w:sz w:val="18"/>
              </w:rPr>
              <w:t>RF-12</w:t>
            </w:r>
          </w:p>
        </w:tc>
        <w:tc>
          <w:tcPr>
            <w:tcW w:type="dxa" w:w="3600"/>
            <w:shd w:val="clear" w:color="auto" w:fill="F2F2F2"/>
          </w:tcPr>
          <w:p>
            <w:r>
              <w:rPr>
                <w:rFonts w:ascii="Calibri" w:hAnsi="Calibri"/>
                <w:sz w:val="18"/>
              </w:rPr>
              <w:t>Pueblo lease expiring at closing</w:t>
            </w:r>
          </w:p>
        </w:tc>
        <w:tc>
          <w:tcPr>
            <w:tcW w:type="dxa" w:w="1728"/>
            <w:shd w:val="clear" w:color="auto" w:fill="F2F2F2"/>
          </w:tcPr>
          <w:p>
            <w:r>
              <w:rPr>
                <w:rFonts w:ascii="Calibri" w:hAnsi="Calibri"/>
                <w:sz w:val="18"/>
              </w:rPr>
              <w:t>Real Property</w:t>
            </w:r>
          </w:p>
        </w:tc>
        <w:tc>
          <w:tcPr>
            <w:tcW w:type="dxa" w:w="1224"/>
            <w:shd w:val="clear" w:color="auto" w:fill="FFD966"/>
          </w:tcPr>
          <w:p>
            <w:r>
              <w:rPr>
                <w:rFonts w:ascii="Calibri" w:hAnsi="Calibri"/>
                <w:b/>
                <w:color w:val="404040"/>
                <w:sz w:val="18"/>
              </w:rPr>
              <w:t>MODERATE</w:t>
            </w:r>
          </w:p>
        </w:tc>
        <w:tc>
          <w:tcPr>
            <w:tcW w:type="dxa" w:w="2304"/>
            <w:shd w:val="clear" w:color="auto" w:fill="F2F2F2"/>
          </w:tcPr>
          <w:p>
            <w:r>
              <w:rPr>
                <w:rFonts w:ascii="Calibri" w:hAnsi="Calibri"/>
                <w:sz w:val="18"/>
              </w:rPr>
              <w:t>Relocation costs</w:t>
            </w:r>
          </w:p>
        </w:tc>
      </w:tr>
      <w:tr>
        <w:tc>
          <w:tcPr>
            <w:tcW w:type="dxa" w:w="792"/>
            <w:shd w:val="clear" w:color="auto" w:fill="FFFFFF"/>
          </w:tcPr>
          <w:p>
            <w:r>
              <w:rPr>
                <w:rFonts w:ascii="Calibri" w:hAnsi="Calibri"/>
                <w:sz w:val="18"/>
              </w:rPr>
              <w:t>RF-13</w:t>
            </w:r>
          </w:p>
        </w:tc>
        <w:tc>
          <w:tcPr>
            <w:tcW w:type="dxa" w:w="3600"/>
            <w:shd w:val="clear" w:color="auto" w:fill="FFFFFF"/>
          </w:tcPr>
          <w:p>
            <w:r>
              <w:rPr>
                <w:rFonts w:ascii="Calibri" w:hAnsi="Calibri"/>
                <w:sz w:val="18"/>
              </w:rPr>
              <w:t>PLL gradual contamination exclusion and tail risk</w:t>
            </w:r>
          </w:p>
        </w:tc>
        <w:tc>
          <w:tcPr>
            <w:tcW w:type="dxa" w:w="1728"/>
            <w:shd w:val="clear" w:color="auto" w:fill="FFFFFF"/>
          </w:tcPr>
          <w:p>
            <w:r>
              <w:rPr>
                <w:rFonts w:ascii="Calibri" w:hAnsi="Calibri"/>
                <w:sz w:val="18"/>
              </w:rPr>
              <w:t>Insurance</w:t>
            </w:r>
          </w:p>
        </w:tc>
        <w:tc>
          <w:tcPr>
            <w:tcW w:type="dxa" w:w="1224"/>
            <w:shd w:val="clear" w:color="auto" w:fill="E26B0A"/>
          </w:tcPr>
          <w:p>
            <w:r>
              <w:rPr>
                <w:rFonts w:ascii="Calibri" w:hAnsi="Calibri"/>
                <w:b/>
                <w:color w:val="FFFFFF"/>
                <w:sz w:val="18"/>
              </w:rPr>
              <w:t>HIGH</w:t>
            </w:r>
          </w:p>
        </w:tc>
        <w:tc>
          <w:tcPr>
            <w:tcW w:type="dxa" w:w="2304"/>
            <w:shd w:val="clear" w:color="auto" w:fill="FFFFFF"/>
          </w:tcPr>
          <w:p>
            <w:r>
              <w:rPr>
                <w:rFonts w:ascii="Calibri" w:hAnsi="Calibri"/>
                <w:sz w:val="18"/>
              </w:rPr>
              <w:t>Uninsured environmental exposure</w:t>
            </w:r>
          </w:p>
        </w:tc>
      </w:tr>
      <w:tr>
        <w:tc>
          <w:tcPr>
            <w:tcW w:type="dxa" w:w="792"/>
            <w:shd w:val="clear" w:color="auto" w:fill="F2F2F2"/>
          </w:tcPr>
          <w:p>
            <w:r>
              <w:rPr>
                <w:rFonts w:ascii="Calibri" w:hAnsi="Calibri"/>
                <w:sz w:val="18"/>
              </w:rPr>
              <w:t>RF-14</w:t>
            </w:r>
          </w:p>
        </w:tc>
        <w:tc>
          <w:tcPr>
            <w:tcW w:type="dxa" w:w="3600"/>
            <w:shd w:val="clear" w:color="auto" w:fill="F2F2F2"/>
          </w:tcPr>
          <w:p>
            <w:r>
              <w:rPr>
                <w:rFonts w:ascii="Calibri" w:hAnsi="Calibri"/>
                <w:sz w:val="18"/>
              </w:rPr>
              <w:t>Single-trigger CoC severance — certain at closing</w:t>
            </w:r>
          </w:p>
        </w:tc>
        <w:tc>
          <w:tcPr>
            <w:tcW w:type="dxa" w:w="1728"/>
            <w:shd w:val="clear" w:color="auto" w:fill="F2F2F2"/>
          </w:tcPr>
          <w:p>
            <w:r>
              <w:rPr>
                <w:rFonts w:ascii="Calibri" w:hAnsi="Calibri"/>
                <w:sz w:val="18"/>
              </w:rPr>
              <w:t>Transaction</w:t>
            </w:r>
          </w:p>
        </w:tc>
        <w:tc>
          <w:tcPr>
            <w:tcW w:type="dxa" w:w="1224"/>
            <w:shd w:val="clear" w:color="auto" w:fill="E26B0A"/>
          </w:tcPr>
          <w:p>
            <w:r>
              <w:rPr>
                <w:rFonts w:ascii="Calibri" w:hAnsi="Calibri"/>
                <w:b/>
                <w:color w:val="FFFFFF"/>
                <w:sz w:val="18"/>
              </w:rPr>
              <w:t>HIGH</w:t>
            </w:r>
          </w:p>
        </w:tc>
        <w:tc>
          <w:tcPr>
            <w:tcW w:type="dxa" w:w="2304"/>
            <w:shd w:val="clear" w:color="auto" w:fill="F2F2F2"/>
          </w:tcPr>
          <w:p>
            <w:r>
              <w:rPr>
                <w:rFonts w:ascii="Calibri" w:hAnsi="Calibri"/>
                <w:sz w:val="18"/>
              </w:rPr>
              <w:t>$2.625M-$3.775M cash outflow</w:t>
            </w:r>
          </w:p>
        </w:tc>
      </w:tr>
    </w:tbl>
    <w:p>
      <w:pPr>
        <w:spacing w:before="120" w:after="120"/>
        <w:pBdr>
          <w:bottom w:val="single" w:sz="6" w:space="1" w:color="1F3864"/>
        </w:pBdr>
      </w:pPr>
    </w:p>
    <w:p>
      <w:pPr>
        <w:spacing w:before="240" w:after="80"/>
      </w:pPr>
      <w:r>
        <w:rPr>
          <w:rFonts w:ascii="Calibri" w:hAnsi="Calibri"/>
          <w:b/>
          <w:color w:val="1F3864"/>
          <w:sz w:val="28"/>
        </w:rPr>
        <w:t>SECTION 1 — FINANCIAL / QUALITY OF EARNINGS</w:t>
      </w:r>
    </w:p>
    <w:p>
      <w:pPr>
        <w:spacing w:before="160" w:after="80"/>
      </w:pPr>
      <w:r>
        <w:rPr>
          <w:rFonts w:ascii="Calibri" w:hAnsi="Calibri"/>
          <w:b/>
          <w:color w:val="404040"/>
          <w:sz w:val="24"/>
        </w:rPr>
        <w:t>RF-01 | EBITDA Discrepancy and Aggressive Add-Back Methodology</w:t>
      </w:r>
    </w:p>
    <w:p>
      <w:pPr>
        <w:spacing w:before="40" w:after="80"/>
      </w:pPr>
      <w:r>
        <w:rPr>
          <w:rFonts w:ascii="Calibri" w:hAnsi="Calibri"/>
          <w:b/>
          <w:color w:val="FFFFFF"/>
          <w:sz w:val="20"/>
          <w:shd w:val="clear" w:color="auto" w:fill="C00000"/>
        </w:rPr>
        <w:t xml:space="preserve">  Severity: CRITICAL  </w:t>
      </w:r>
    </w:p>
    <w:p>
      <w:pPr>
        <w:spacing w:before="0" w:after="80"/>
      </w:pPr>
      <w:r>
        <w:rPr>
          <w:rFonts w:ascii="Calibri" w:hAnsi="Calibri"/>
          <w:b w:val="0"/>
          <w:i w:val="0"/>
          <w:sz w:val="20"/>
        </w:rPr>
        <w:t>The CIM states Adjusted EBITDA of $22.8M while the QoE data package shows $23.8M — a $1.0M unexplained gap that management has acknowledged but not reconciled. The entire valuation framework rests on this metric.</w:t>
      </w:r>
    </w:p>
    <w:p>
      <w:pPr>
        <w:spacing w:before="0" w:after="80"/>
      </w:pPr>
      <w:r>
        <w:rPr>
          <w:rFonts w:ascii="Calibri" w:hAnsi="Calibri"/>
          <w:b w:val="0"/>
          <w:i w:val="0"/>
          <w:sz w:val="20"/>
        </w:rPr>
        <w:t>The $5.4M in total management add-backs are aggressive and, in several respects, questionable:</w:t>
      </w:r>
    </w:p>
    <w:p>
      <w:pPr>
        <w:pStyle w:val="ListBullet"/>
        <w:spacing w:before="20" w:after="20"/>
      </w:pPr>
      <w:r>
        <w:rPr>
          <w:rFonts w:ascii="Calibri" w:hAnsi="Calibri"/>
          <w:sz w:val="20"/>
        </w:rPr>
        <w:t>Litigation settlement ($1.2M): The QoE data package attributes this add-back to the Harper Environmental subcontractor dispute (Mesa County Case No. 2023-CV-1847). However, the Litigation Summary describes the Harper matter as still pending, with a $340K counterclaim outstanding. The $1.2M settlement is separately attributed to the Clearwater Logistics matter (resolved March 2024). The characterization in the EBITDA bridge is internally inconsistent and requires clarification before the add-back can be accepted.</w:t>
      </w:r>
    </w:p>
    <w:p>
      <w:pPr>
        <w:pStyle w:val="ListBullet"/>
        <w:spacing w:before="20" w:after="20"/>
      </w:pPr>
      <w:r>
        <w:rPr>
          <w:rFonts w:ascii="Calibri" w:hAnsi="Calibri"/>
          <w:sz w:val="20"/>
        </w:rPr>
        <w:t>Owner compensation normalization ($950K): The Calloway brothers combined base salary of $1.75M is being normalized to $800K (market rate per Bridgewater Forsyth). However, both founders are expected to remain post-closing under their existing agreements at $875K each. This add-back is only valid if replacement executives are hired at market rates — which is not the plan.</w:t>
      </w:r>
    </w:p>
    <w:p>
      <w:pPr>
        <w:pStyle w:val="ListBullet"/>
        <w:spacing w:before="20" w:after="20"/>
      </w:pPr>
      <w:r>
        <w:rPr>
          <w:rFonts w:ascii="Calibri" w:hAnsi="Calibri"/>
          <w:sz w:val="20"/>
        </w:rPr>
        <w:t>ERP implementation ($650K): Phase 2 of the ERP implementation is expected to complete in Q2 FY2025, meaning additional costs will be incurred post-closing. This is not a fully non-recurring item.</w:t>
      </w:r>
    </w:p>
    <w:p>
      <w:pPr>
        <w:pStyle w:val="ListBullet"/>
        <w:spacing w:before="20" w:after="20"/>
      </w:pPr>
      <w:r>
        <w:rPr>
          <w:rFonts w:ascii="Calibri" w:hAnsi="Calibri"/>
          <w:sz w:val="20"/>
        </w:rPr>
        <w:t>Pinnacle integration costs ($800K): Integration was described as substantially complete as of September 30, 2024, yet $800K of integration costs are still being added back in FY2024 — the third consecutive year of such add-backs ($1.24M in FY2022, $620K in FY2023, $800K in FY2024), totaling $2.66M over three years. The recurring nature of these costs undermines their characterization as non-recurring.</w:t>
      </w:r>
    </w:p>
    <w:p>
      <w:pPr>
        <w:pStyle w:val="ListBullet"/>
        <w:spacing w:before="20" w:after="20"/>
      </w:pPr>
      <w:r>
        <w:rPr>
          <w:rFonts w:ascii="Calibri" w:hAnsi="Calibri"/>
          <w:sz w:val="20"/>
        </w:rPr>
        <w:t>Bank EBITDA vs. Management EBITDA: The credit agreement Consolidated EBITDA definition caps non-recurring add-backs at $500K, yielding approximately $18.4M — a $4.4M gap from management figure. The bank leverage ratio is 2.10x (not 1.70x as management implies). This distinction is critical for covenant compliance analysis and for the buyer own leverage underwriting.</w:t>
      </w:r>
    </w:p>
    <w:p>
      <w:pPr>
        <w:spacing w:before="0" w:after="80"/>
      </w:pPr>
      <w:r>
        <w:rPr>
          <w:rFonts w:ascii="Calibri" w:hAnsi="Calibri"/>
          <w:b w:val="0"/>
          <w:i w:val="0"/>
          <w:sz w:val="20"/>
        </w:rPr>
        <w:t>Implication: True normalized EBITDA may be materially below $22.8M. A conservative buyer-adjusted EBITDA of $19.5M-$21.0M would imply an enterprise value of $156M-$189M at the same 8.0x-9.0x multiple — a potential $16M-$49M reduction from the midpoint of the indicative range.</w:t>
      </w:r>
    </w:p>
    <w:p>
      <w:pPr>
        <w:spacing w:before="80" w:after="40"/>
      </w:pPr>
      <w:r>
        <w:rPr>
          <w:rFonts w:ascii="Calibri" w:hAnsi="Calibri"/>
          <w:b/>
          <w:i w:val="0"/>
          <w:sz w:val="20"/>
        </w:rPr>
        <w:t>Required Actions:</w:t>
      </w:r>
    </w:p>
    <w:p>
      <w:pPr>
        <w:pStyle w:val="ListBullet"/>
        <w:spacing w:before="20" w:after="20"/>
      </w:pPr>
      <w:r>
        <w:rPr>
          <w:rFonts w:ascii="Calibri" w:hAnsi="Calibri"/>
          <w:sz w:val="20"/>
        </w:rPr>
        <w:t>Demand full reconciliation of the $1.0M discrepancy between CIM and QoE package figures.</w:t>
      </w:r>
    </w:p>
    <w:p>
      <w:pPr>
        <w:pStyle w:val="ListBullet"/>
        <w:spacing w:before="20" w:after="20"/>
      </w:pPr>
      <w:r>
        <w:rPr>
          <w:rFonts w:ascii="Calibri" w:hAnsi="Calibri"/>
          <w:sz w:val="20"/>
        </w:rPr>
        <w:t>Obtain independent QoE validation of each add-back category.</w:t>
      </w:r>
    </w:p>
    <w:p>
      <w:pPr>
        <w:pStyle w:val="ListBullet"/>
        <w:spacing w:before="20" w:after="20"/>
      </w:pPr>
      <w:r>
        <w:rPr>
          <w:rFonts w:ascii="Calibri" w:hAnsi="Calibri"/>
          <w:sz w:val="20"/>
        </w:rPr>
        <w:t>Negotiate purchase price based on buyer-adjusted EBITDA.</w:t>
      </w:r>
    </w:p>
    <w:p>
      <w:pPr>
        <w:pStyle w:val="ListBullet"/>
        <w:spacing w:before="20" w:after="20"/>
      </w:pPr>
      <w:r>
        <w:rPr>
          <w:rFonts w:ascii="Calibri" w:hAnsi="Calibri"/>
          <w:sz w:val="20"/>
        </w:rPr>
        <w:t>Define Adjusted EBITDA in the SPA; require rep re: accuracy of financial statements.</w:t>
      </w:r>
    </w:p>
    <w:p>
      <w:pPr>
        <w:spacing w:before="120" w:after="120"/>
        <w:pBdr>
          <w:bottom w:val="single" w:sz="6" w:space="1" w:color="1F3864"/>
        </w:pBdr>
      </w:pPr>
    </w:p>
    <w:p>
      <w:pPr>
        <w:spacing w:before="160" w:after="80"/>
      </w:pPr>
      <w:r>
        <w:rPr>
          <w:rFonts w:ascii="Calibri" w:hAnsi="Calibri"/>
          <w:b/>
          <w:color w:val="404040"/>
          <w:sz w:val="24"/>
        </w:rPr>
        <w:t>RF-02 | DOE IDIQ Contract Ceiling Exhaustion — Imminent Revenue Cliff</w:t>
      </w:r>
    </w:p>
    <w:p>
      <w:pPr>
        <w:spacing w:before="40" w:after="80"/>
      </w:pPr>
      <w:r>
        <w:rPr>
          <w:rFonts w:ascii="Calibri" w:hAnsi="Calibri"/>
          <w:b/>
          <w:color w:val="FFFFFF"/>
          <w:sz w:val="20"/>
          <w:shd w:val="clear" w:color="auto" w:fill="C00000"/>
        </w:rPr>
        <w:t xml:space="preserve">  Severity: CRITICAL  </w:t>
      </w:r>
    </w:p>
    <w:p>
      <w:pPr>
        <w:spacing w:before="0" w:after="80"/>
      </w:pPr>
      <w:r>
        <w:rPr>
          <w:rFonts w:ascii="Calibri" w:hAnsi="Calibri"/>
          <w:b w:val="0"/>
          <w:i w:val="0"/>
          <w:sz w:val="20"/>
        </w:rPr>
        <w:t>The U.S. Department of Energy IDIQ contract (DE-EM-0005523) is the Company largest revenue source at $24.4M (19.2% of TTM revenue). The contract $45M ceiling has been 72.7% consumed ($32.7M utilized) in only 61.7% of the contract period. At the current run rate of approximately $2.03M per month, the remaining $12.3M ceiling will be exhausted by approximately April-May 2025 — coinciding with the target closing date.</w:t>
      </w:r>
    </w:p>
    <w:p>
      <w:pPr>
        <w:spacing w:before="0" w:after="80"/>
      </w:pPr>
      <w:r>
        <w:rPr>
          <w:rFonts w:ascii="Calibri" w:hAnsi="Calibri"/>
          <w:b w:val="0"/>
          <w:i w:val="0"/>
          <w:sz w:val="20"/>
        </w:rPr>
        <w:t>The contract does not expire until August 31, 2026, leaving approximately 16 months of unfunded contract period. Unless the DOE issues a ceiling modification or a new contract is awarded, DOE revenue could decline from $24.4M in FY2024 to $12.3M or less in FY2025 — a potential $12.1M revenue headwind representing 9.5% of total revenue.</w:t>
      </w:r>
    </w:p>
    <w:p>
      <w:pPr>
        <w:spacing w:before="0" w:after="80"/>
      </w:pPr>
      <w:r>
        <w:rPr>
          <w:rFonts w:ascii="Calibri" w:hAnsi="Calibri"/>
          <w:b w:val="0"/>
          <w:i w:val="0"/>
          <w:sz w:val="20"/>
        </w:rPr>
        <w:t>This risk is compounded by the contract non-assignability under the Anti-Assignment Act (41 U.S.C. Section 6305) and FAR 42.12. While a stock acquisition may not technically constitute an assignment, the contract special requirements clause requires written notification to the Contracting Officer within 30 days of any change in ownership. Failure to notify may be grounds for termination for default.</w:t>
      </w:r>
    </w:p>
    <w:p>
      <w:pPr>
        <w:spacing w:before="0" w:after="80"/>
      </w:pPr>
      <w:r>
        <w:rPr>
          <w:rFonts w:ascii="Calibri" w:hAnsi="Calibri"/>
          <w:b w:val="0"/>
          <w:i w:val="0"/>
          <w:sz w:val="20"/>
        </w:rPr>
        <w:t>Implication: The TTM revenue and EBITDA figures used to set the purchase price are not sustainable at current levels. The DOE revenue cliff could reduce FY2025 revenue by approximately $12M and EBITDA by approximately $2.2M (at 18% margin), implying a forward EBITDA of approximately $20.6M and a forward EV/EBITDA of 9.4x-10.6x at the indicative range — above the stated 8.0x-9.0x.</w:t>
      </w:r>
    </w:p>
    <w:p>
      <w:pPr>
        <w:spacing w:before="80" w:after="40"/>
      </w:pPr>
      <w:r>
        <w:rPr>
          <w:rFonts w:ascii="Calibri" w:hAnsi="Calibri"/>
          <w:b/>
          <w:i w:val="0"/>
          <w:sz w:val="20"/>
        </w:rPr>
        <w:t>Required Actions:</w:t>
      </w:r>
    </w:p>
    <w:p>
      <w:pPr>
        <w:pStyle w:val="ListBullet"/>
        <w:spacing w:before="20" w:after="20"/>
      </w:pPr>
      <w:r>
        <w:rPr>
          <w:rFonts w:ascii="Calibri" w:hAnsi="Calibri"/>
          <w:sz w:val="20"/>
        </w:rPr>
        <w:t>Obtain written confirmation from DOE Contracting Officer regarding ceiling modification prospects.</w:t>
      </w:r>
    </w:p>
    <w:p>
      <w:pPr>
        <w:pStyle w:val="ListBullet"/>
        <w:spacing w:before="20" w:after="20"/>
      </w:pPr>
      <w:r>
        <w:rPr>
          <w:rFonts w:ascii="Calibri" w:hAnsi="Calibri"/>
          <w:sz w:val="20"/>
        </w:rPr>
        <w:t>Assess novation requirements with federal contracting counsel.</w:t>
      </w:r>
    </w:p>
    <w:p>
      <w:pPr>
        <w:pStyle w:val="ListBullet"/>
        <w:spacing w:before="20" w:after="20"/>
      </w:pPr>
      <w:r>
        <w:rPr>
          <w:rFonts w:ascii="Calibri" w:hAnsi="Calibri"/>
          <w:sz w:val="20"/>
        </w:rPr>
        <w:t>Model FY2025 revenue with and without ceiling increase.</w:t>
      </w:r>
    </w:p>
    <w:p>
      <w:pPr>
        <w:pStyle w:val="ListBullet"/>
        <w:spacing w:before="20" w:after="20"/>
      </w:pPr>
      <w:r>
        <w:rPr>
          <w:rFonts w:ascii="Calibri" w:hAnsi="Calibri"/>
          <w:sz w:val="20"/>
        </w:rPr>
        <w:t>Consider earnout structure tied to DOE contract renewal.</w:t>
      </w:r>
    </w:p>
    <w:p>
      <w:pPr>
        <w:pStyle w:val="ListBullet"/>
        <w:spacing w:before="20" w:after="20"/>
      </w:pPr>
      <w:r>
        <w:rPr>
          <w:rFonts w:ascii="Calibri" w:hAnsi="Calibri"/>
          <w:sz w:val="20"/>
        </w:rPr>
        <w:t>Make DOE notification/novation a closing condition.</w:t>
      </w:r>
    </w:p>
    <w:p>
      <w:pPr>
        <w:spacing w:before="120" w:after="120"/>
        <w:pBdr>
          <w:bottom w:val="single" w:sz="6" w:space="1" w:color="1F3864"/>
        </w:pBdr>
      </w:pPr>
    </w:p>
    <w:p>
      <w:pPr>
        <w:spacing w:before="160" w:after="80"/>
      </w:pPr>
      <w:r>
        <w:rPr>
          <w:rFonts w:ascii="Calibri" w:hAnsi="Calibri"/>
          <w:b/>
          <w:color w:val="404040"/>
          <w:sz w:val="24"/>
        </w:rPr>
        <w:t>RF-03 | Fleet Age and Deferred Capital Expenditure Backlog</w:t>
      </w:r>
    </w:p>
    <w:p>
      <w:pPr>
        <w:spacing w:before="40" w:after="80"/>
      </w:pPr>
      <w:r>
        <w:rPr>
          <w:rFonts w:ascii="Calibri" w:hAnsi="Calibri"/>
          <w:b/>
          <w:color w:val="FFFFFF"/>
          <w:sz w:val="20"/>
          <w:shd w:val="clear" w:color="auto" w:fill="E26B0A"/>
        </w:rPr>
        <w:t xml:space="preserve">  Severity: HIGH  </w:t>
      </w:r>
    </w:p>
    <w:p>
      <w:pPr>
        <w:spacing w:before="0" w:after="80"/>
      </w:pPr>
      <w:r>
        <w:rPr>
          <w:rFonts w:ascii="Calibri" w:hAnsi="Calibri"/>
          <w:b w:val="0"/>
          <w:i w:val="0"/>
          <w:sz w:val="20"/>
        </w:rPr>
        <w:t>The fleet and equipment schedule reveals that 38 of 85 assets (44.7%) are at or past their stated useful life, with an average fleet age of 8.2 years against a weighted average useful life of 7.0 years. Multiple units are flagged as Replacement Deferred or At End of Life — No Replacement Scheduled. The estimated replacement cost for past-useful-life units alone is $9.8M.</w:t>
      </w:r>
    </w:p>
    <w:p>
      <w:pPr>
        <w:spacing w:before="0" w:after="80"/>
      </w:pPr>
      <w:r>
        <w:rPr>
          <w:rFonts w:ascii="Calibri" w:hAnsi="Calibri"/>
          <w:b w:val="0"/>
          <w:i w:val="0"/>
          <w:sz w:val="20"/>
        </w:rPr>
        <w:t>Management normalized maintenance capex estimate of $4.0M-$4.5M per year appears understated given this backlog. Spreading the $9.8M replacement backlog over three years implies approximately $3.3M per year in catch-up capex above the stated run-rate — effectively doubling maintenance capex requirements. This would reduce free cash flow by approximately $3.3M annually.</w:t>
      </w:r>
    </w:p>
    <w:p>
      <w:pPr>
        <w:spacing w:before="0" w:after="80"/>
      </w:pPr>
      <w:r>
        <w:rPr>
          <w:rFonts w:ascii="Calibri" w:hAnsi="Calibri"/>
          <w:b w:val="0"/>
          <w:i w:val="0"/>
          <w:sz w:val="20"/>
        </w:rPr>
        <w:t>Implication: True normalized maintenance capex is likely $5.5M-$6.5M annually, not $4.0M-$4.5M. This reduces normalized free cash flow by $1.0M-$2.5M and should be reflected in the purchase price or modeled in the buyer investment thesis.</w:t>
      </w:r>
    </w:p>
    <w:p>
      <w:pPr>
        <w:spacing w:before="80" w:after="40"/>
      </w:pPr>
      <w:r>
        <w:rPr>
          <w:rFonts w:ascii="Calibri" w:hAnsi="Calibri"/>
          <w:b/>
          <w:i w:val="0"/>
          <w:sz w:val="20"/>
        </w:rPr>
        <w:t>Required Actions:</w:t>
      </w:r>
    </w:p>
    <w:p>
      <w:pPr>
        <w:pStyle w:val="ListBullet"/>
        <w:spacing w:before="20" w:after="20"/>
      </w:pPr>
      <w:r>
        <w:rPr>
          <w:rFonts w:ascii="Calibri" w:hAnsi="Calibri"/>
          <w:sz w:val="20"/>
        </w:rPr>
        <w:t>Commission independent fleet condition assessment.</w:t>
      </w:r>
    </w:p>
    <w:p>
      <w:pPr>
        <w:pStyle w:val="ListBullet"/>
        <w:spacing w:before="20" w:after="20"/>
      </w:pPr>
      <w:r>
        <w:rPr>
          <w:rFonts w:ascii="Calibri" w:hAnsi="Calibri"/>
          <w:sz w:val="20"/>
        </w:rPr>
        <w:t>Adjust maintenance capex assumption in financial model.</w:t>
      </w:r>
    </w:p>
    <w:p>
      <w:pPr>
        <w:pStyle w:val="ListBullet"/>
        <w:spacing w:before="20" w:after="20"/>
      </w:pPr>
      <w:r>
        <w:rPr>
          <w:rFonts w:ascii="Calibri" w:hAnsi="Calibri"/>
          <w:sz w:val="20"/>
        </w:rPr>
        <w:t>Negotiate purchase price adjustment or capex reserve.</w:t>
      </w:r>
    </w:p>
    <w:p>
      <w:pPr>
        <w:pStyle w:val="ListBullet"/>
        <w:spacing w:before="20" w:after="20"/>
      </w:pPr>
      <w:r>
        <w:rPr>
          <w:rFonts w:ascii="Calibri" w:hAnsi="Calibri"/>
          <w:sz w:val="20"/>
        </w:rPr>
        <w:t>Require fleet condition representation and warranty in SPA.</w:t>
      </w:r>
    </w:p>
    <w:p>
      <w:pPr>
        <w:spacing w:before="120" w:after="120"/>
        <w:pBdr>
          <w:bottom w:val="single" w:sz="6" w:space="1" w:color="1F3864"/>
        </w:pBdr>
      </w:pPr>
    </w:p>
    <w:p>
      <w:pPr>
        <w:spacing w:before="240" w:after="80"/>
      </w:pPr>
      <w:r>
        <w:rPr>
          <w:rFonts w:ascii="Calibri" w:hAnsi="Calibri"/>
          <w:b/>
          <w:color w:val="1F3864"/>
          <w:sz w:val="28"/>
        </w:rPr>
        <w:t>SECTION 2 — ENVIRONMENTAL LIABILITY</w:t>
      </w:r>
    </w:p>
    <w:p>
      <w:pPr>
        <w:spacing w:before="160" w:after="80"/>
      </w:pPr>
      <w:r>
        <w:rPr>
          <w:rFonts w:ascii="Calibri" w:hAnsi="Calibri"/>
          <w:b/>
          <w:color w:val="404040"/>
          <w:sz w:val="24"/>
        </w:rPr>
        <w:t>RF-04 | Grand Junction Facility — Stale Phase II ESA and Unquantified Remediation Exposure</w:t>
      </w:r>
    </w:p>
    <w:p>
      <w:pPr>
        <w:spacing w:before="40" w:after="80"/>
      </w:pPr>
      <w:r>
        <w:rPr>
          <w:rFonts w:ascii="Calibri" w:hAnsi="Calibri"/>
          <w:b/>
          <w:color w:val="FFFFFF"/>
          <w:sz w:val="20"/>
          <w:shd w:val="clear" w:color="auto" w:fill="C00000"/>
        </w:rPr>
        <w:t xml:space="preserve">  Severity: CRITICAL  </w:t>
      </w:r>
    </w:p>
    <w:p>
      <w:pPr>
        <w:spacing w:before="0" w:after="80"/>
      </w:pPr>
      <w:r>
        <w:rPr>
          <w:rFonts w:ascii="Calibri" w:hAnsi="Calibri"/>
          <w:b w:val="0"/>
          <w:i w:val="0"/>
          <w:sz w:val="20"/>
        </w:rPr>
        <w:t>The Company owned headquarters property at 8750 Industrial Parkway, Grand Junction, CO has documented soil and groundwater contamination from pre-acquisition industrial operations. The Phase II ESA was completed in June 2019 — over five years ago — and has not been updated. The 2019 ESA identified:</w:t>
      </w:r>
    </w:p>
    <w:p>
      <w:pPr>
        <w:pStyle w:val="ListBullet"/>
        <w:spacing w:before="20" w:after="20"/>
      </w:pPr>
      <w:r>
        <w:rPr>
          <w:rFonts w:ascii="Calibri" w:hAnsi="Calibri"/>
          <w:sz w:val="20"/>
        </w:rPr>
        <w:t>Petroleum hydrocarbon contamination (TPH-diesel up to 4,200 mg/kg; benzene in groundwater at 12 micrograms per liter, exceeding the 5 microgram per liter Colorado standard) in the former UST area.</w:t>
      </w:r>
    </w:p>
    <w:p>
      <w:pPr>
        <w:pStyle w:val="ListBullet"/>
        <w:spacing w:before="20" w:after="20"/>
      </w:pPr>
      <w:r>
        <w:rPr>
          <w:rFonts w:ascii="Calibri" w:hAnsi="Calibri"/>
          <w:sz w:val="20"/>
        </w:rPr>
        <w:t>Chlorinated solvent contamination (PCE up to 18 mg/kg in soil; PCE at 22 micrograms per liter and TCE at 8.7 micrograms per liter in groundwater, both exceeding Colorado standards) in the former degreasing area.</w:t>
      </w:r>
    </w:p>
    <w:p>
      <w:pPr>
        <w:pStyle w:val="ListBullet"/>
        <w:spacing w:before="20" w:after="20"/>
      </w:pPr>
      <w:r>
        <w:rPr>
          <w:rFonts w:ascii="Calibri" w:hAnsi="Calibri"/>
          <w:sz w:val="20"/>
        </w:rPr>
        <w:t>A potential vapor intrusion pathway from chlorinated solvents into the occupied 28,000 sq. ft. vehicle maintenance building — a potential occupational health liability that has not been assessed.</w:t>
      </w:r>
    </w:p>
    <w:p>
      <w:pPr>
        <w:pStyle w:val="ListBullet"/>
        <w:spacing w:before="20" w:after="20"/>
      </w:pPr>
      <w:r>
        <w:rPr>
          <w:rFonts w:ascii="Calibri" w:hAnsi="Calibri"/>
          <w:sz w:val="20"/>
        </w:rPr>
        <w:t>Potential off-site plume migration — the 2019 ESA explicitly recommended installation of off-site downgradient monitoring wells to confirm plume containment. This has not been done.</w:t>
      </w:r>
    </w:p>
    <w:p>
      <w:pPr>
        <w:spacing w:before="0" w:after="80"/>
      </w:pPr>
      <w:r>
        <w:rPr>
          <w:rFonts w:ascii="Calibri" w:hAnsi="Calibri"/>
          <w:b w:val="0"/>
          <w:i w:val="0"/>
          <w:sz w:val="20"/>
        </w:rPr>
        <w:t>The 2019 ESA estimated remediation costs of $1.8M-$2.6M in 2019 dollars. The Company has accrued $2.2M for the Grand Junction site. However, the 2019 cost estimate explicitly excluded: (i) vapor intrusion assessment and mitigation; (ii) off-site remediation if plume migration is confirmed; (iii) third-party claims; and (iv) natural resource damages. Chlorinated solvent (DNAPL) contamination carries significant cost uncertainty due to potential deep migration. Five years of additional contaminant migration, inflation, and potential regulatory standard changes have not been reflected. The ESA authors recommended updating the assessment prior to any property transaction.</w:t>
      </w:r>
    </w:p>
    <w:p>
      <w:pPr>
        <w:spacing w:before="0" w:after="80"/>
      </w:pPr>
      <w:r>
        <w:rPr>
          <w:rFonts w:ascii="Calibri" w:hAnsi="Calibri"/>
          <w:b w:val="0"/>
          <w:i w:val="0"/>
          <w:sz w:val="20"/>
        </w:rPr>
        <w:t>The contamination is characterized as resulting from gradual, long-term releases — which is directly relevant to insurance coverage (see RF-13).</w:t>
      </w:r>
    </w:p>
    <w:p>
      <w:pPr>
        <w:spacing w:before="0" w:after="80"/>
      </w:pPr>
      <w:r>
        <w:rPr>
          <w:rFonts w:ascii="Calibri" w:hAnsi="Calibri"/>
          <w:b w:val="0"/>
          <w:i w:val="0"/>
          <w:sz w:val="20"/>
        </w:rPr>
        <w:t>Implication: The $2.2M accrual is likely insufficient. A refreshed Phase II ESA could reveal materially higher remediation costs, off-site migration, or vapor intrusion requiring immediate mitigation. Total exposure could reasonably exceed $5M-$10M or more if off-site impacts are confirmed.</w:t>
      </w:r>
    </w:p>
    <w:p>
      <w:pPr>
        <w:spacing w:before="80" w:after="40"/>
      </w:pPr>
      <w:r>
        <w:rPr>
          <w:rFonts w:ascii="Calibri" w:hAnsi="Calibri"/>
          <w:b/>
          <w:i w:val="0"/>
          <w:sz w:val="20"/>
        </w:rPr>
        <w:t>Required Actions:</w:t>
      </w:r>
    </w:p>
    <w:p>
      <w:pPr>
        <w:pStyle w:val="ListBullet"/>
        <w:spacing w:before="20" w:after="20"/>
      </w:pPr>
      <w:r>
        <w:rPr>
          <w:rFonts w:ascii="Calibri" w:hAnsi="Calibri"/>
          <w:sz w:val="20"/>
        </w:rPr>
        <w:t>Commission updated Phase II ESA immediately.</w:t>
      </w:r>
    </w:p>
    <w:p>
      <w:pPr>
        <w:pStyle w:val="ListBullet"/>
        <w:spacing w:before="20" w:after="20"/>
      </w:pPr>
      <w:r>
        <w:rPr>
          <w:rFonts w:ascii="Calibri" w:hAnsi="Calibri"/>
          <w:sz w:val="20"/>
        </w:rPr>
        <w:t>Conduct vapor intrusion assessment of maintenance building.</w:t>
      </w:r>
    </w:p>
    <w:p>
      <w:pPr>
        <w:pStyle w:val="ListBullet"/>
        <w:spacing w:before="20" w:after="20"/>
      </w:pPr>
      <w:r>
        <w:rPr>
          <w:rFonts w:ascii="Calibri" w:hAnsi="Calibri"/>
          <w:sz w:val="20"/>
        </w:rPr>
        <w:t>Install off-site monitoring wells.</w:t>
      </w:r>
    </w:p>
    <w:p>
      <w:pPr>
        <w:pStyle w:val="ListBullet"/>
        <w:spacing w:before="20" w:after="20"/>
      </w:pPr>
      <w:r>
        <w:rPr>
          <w:rFonts w:ascii="Calibri" w:hAnsi="Calibri"/>
          <w:sz w:val="20"/>
        </w:rPr>
        <w:t>Obtain independent remediation cost estimate.</w:t>
      </w:r>
    </w:p>
    <w:p>
      <w:pPr>
        <w:pStyle w:val="ListBullet"/>
        <w:spacing w:before="20" w:after="20"/>
      </w:pPr>
      <w:r>
        <w:rPr>
          <w:rFonts w:ascii="Calibri" w:hAnsi="Calibri"/>
          <w:sz w:val="20"/>
        </w:rPr>
        <w:t>Negotiate specific environmental indemnification with extended survival period and separate escrow.</w:t>
      </w:r>
    </w:p>
    <w:p>
      <w:pPr>
        <w:spacing w:before="120" w:after="120"/>
        <w:pBdr>
          <w:bottom w:val="single" w:sz="6" w:space="1" w:color="1F3864"/>
        </w:pBdr>
      </w:pPr>
    </w:p>
    <w:p>
      <w:pPr>
        <w:spacing w:before="160" w:after="80"/>
      </w:pPr>
      <w:r>
        <w:rPr>
          <w:rFonts w:ascii="Calibri" w:hAnsi="Calibri"/>
          <w:b/>
          <w:color w:val="404040"/>
          <w:sz w:val="24"/>
        </w:rPr>
        <w:t>RF-05 | Active CDPHE Enforcement Action — Unaccrued Penalty Exposure</w:t>
      </w:r>
    </w:p>
    <w:p>
      <w:pPr>
        <w:spacing w:before="40" w:after="80"/>
      </w:pPr>
      <w:r>
        <w:rPr>
          <w:rFonts w:ascii="Calibri" w:hAnsi="Calibri"/>
          <w:b/>
          <w:color w:val="FFFFFF"/>
          <w:sz w:val="20"/>
          <w:shd w:val="clear" w:color="auto" w:fill="E26B0A"/>
        </w:rPr>
        <w:t xml:space="preserve">  Severity: HIGH  </w:t>
      </w:r>
    </w:p>
    <w:p>
      <w:pPr>
        <w:spacing w:before="0" w:after="80"/>
      </w:pPr>
      <w:r>
        <w:rPr>
          <w:rFonts w:ascii="Calibri" w:hAnsi="Calibri"/>
          <w:b w:val="0"/>
          <w:i w:val="0"/>
          <w:sz w:val="20"/>
        </w:rPr>
        <w:t>The Colorado environmental regulator (CDPHE) issued a formal enforcement notice on July 18, 2024 (Docket CDPHE-HW-2024-0093), citing the Company for storing approximately 14,000 gallons of F001/F002 classified hazardous waste outside its permitted storage area at the Grand Junction headquarters, in violation of RCRA Part B Permit COD-098-2761. The core dispute is the duration of the violation: management contends 12 days (implying a maximum statutory penalty of $450K at $37,500 per day), while CDPHE contends 31 days (implying a maximum of $1.16M). The matter is in administrative settlement discussions; a conference is expected in Q1 2025. No liability has been accrued on the balance sheet as of September 30, 2024.</w:t>
      </w:r>
    </w:p>
    <w:p>
      <w:pPr>
        <w:spacing w:before="0" w:after="80"/>
      </w:pPr>
      <w:r>
        <w:rPr>
          <w:rFonts w:ascii="Calibri" w:hAnsi="Calibri"/>
          <w:b w:val="0"/>
          <w:i w:val="0"/>
          <w:sz w:val="20"/>
        </w:rPr>
        <w:t>This enforcement action is also relevant to the credit agreement: the bank affirmative covenants require prompt notice (within 5 business days) of any material environmental event, and an Event of Default is triggered by any governmental order requiring remediation in excess of $1.0M. If CDPHE prevails on the 31-day position, the penalty could approach or exceed this threshold.</w:t>
      </w:r>
    </w:p>
    <w:p>
      <w:pPr>
        <w:spacing w:before="80" w:after="40"/>
      </w:pPr>
      <w:r>
        <w:rPr>
          <w:rFonts w:ascii="Calibri" w:hAnsi="Calibri"/>
          <w:b/>
          <w:i w:val="0"/>
          <w:sz w:val="20"/>
        </w:rPr>
        <w:t>Required Actions:</w:t>
      </w:r>
    </w:p>
    <w:p>
      <w:pPr>
        <w:pStyle w:val="ListBullet"/>
        <w:spacing w:before="20" w:after="20"/>
      </w:pPr>
      <w:r>
        <w:rPr>
          <w:rFonts w:ascii="Calibri" w:hAnsi="Calibri"/>
          <w:sz w:val="20"/>
        </w:rPr>
        <w:t>Obtain independent legal assessment of CDPHE 31-day violation position.</w:t>
      </w:r>
    </w:p>
    <w:p>
      <w:pPr>
        <w:pStyle w:val="ListBullet"/>
        <w:spacing w:before="20" w:after="20"/>
      </w:pPr>
      <w:r>
        <w:rPr>
          <w:rFonts w:ascii="Calibri" w:hAnsi="Calibri"/>
          <w:sz w:val="20"/>
        </w:rPr>
        <w:t>Require specific indemnification for this matter.</w:t>
      </w:r>
    </w:p>
    <w:p>
      <w:pPr>
        <w:pStyle w:val="ListBullet"/>
        <w:spacing w:before="20" w:after="20"/>
      </w:pPr>
      <w:r>
        <w:rPr>
          <w:rFonts w:ascii="Calibri" w:hAnsi="Calibri"/>
          <w:sz w:val="20"/>
        </w:rPr>
        <w:t>Ensure adequate escrow holdback.</w:t>
      </w:r>
    </w:p>
    <w:p>
      <w:pPr>
        <w:pStyle w:val="ListBullet"/>
        <w:spacing w:before="20" w:after="20"/>
      </w:pPr>
      <w:r>
        <w:rPr>
          <w:rFonts w:ascii="Calibri" w:hAnsi="Calibri"/>
          <w:sz w:val="20"/>
        </w:rPr>
        <w:t>Confirm bank notification compliance.</w:t>
      </w:r>
    </w:p>
    <w:p>
      <w:pPr>
        <w:spacing w:before="120" w:after="120"/>
        <w:pBdr>
          <w:bottom w:val="single" w:sz="6" w:space="1" w:color="1F3864"/>
        </w:pBdr>
      </w:pPr>
    </w:p>
    <w:p>
      <w:pPr>
        <w:spacing w:before="160" w:after="80"/>
      </w:pPr>
      <w:r>
        <w:rPr>
          <w:rFonts w:ascii="Calibri" w:hAnsi="Calibri"/>
          <w:b/>
          <w:color w:val="404040"/>
          <w:sz w:val="24"/>
        </w:rPr>
        <w:t>RF-06 | Utah Salt Lake City Permit — Unresolved Transfer (2.5 Years Outstanding)</w:t>
      </w:r>
    </w:p>
    <w:p>
      <w:pPr>
        <w:spacing w:before="40" w:after="80"/>
      </w:pPr>
      <w:r>
        <w:rPr>
          <w:rFonts w:ascii="Calibri" w:hAnsi="Calibri"/>
          <w:b/>
          <w:color w:val="FFFFFF"/>
          <w:sz w:val="20"/>
          <w:shd w:val="clear" w:color="auto" w:fill="E26B0A"/>
        </w:rPr>
        <w:t xml:space="preserve">  Severity: HIGH  </w:t>
      </w:r>
    </w:p>
    <w:p>
      <w:pPr>
        <w:spacing w:before="0" w:after="80"/>
      </w:pPr>
      <w:r>
        <w:rPr>
          <w:rFonts w:ascii="Calibri" w:hAnsi="Calibri"/>
          <w:b w:val="0"/>
          <w:i w:val="0"/>
          <w:sz w:val="20"/>
        </w:rPr>
        <w:t>Utah Division of Waste Management Permit No. UTH-0441 for the Salt Lake City transfer station was originally issued to Pinnacle Waste Solutions, LLC. Following RES acquisition of Pinnacle in March 2022, a permit transfer application was filed — but remains pending as of December 2024, more than 2.5 years later. The facility is currently being operated under Pinnacle permit, with Pinnacle maintained as a dormant subsidiary solely to preserve the permit.</w:t>
      </w:r>
    </w:p>
    <w:p>
      <w:pPr>
        <w:spacing w:before="0" w:after="80"/>
      </w:pPr>
      <w:r>
        <w:rPr>
          <w:rFonts w:ascii="Calibri" w:hAnsi="Calibri"/>
          <w:b w:val="0"/>
          <w:i w:val="0"/>
          <w:sz w:val="20"/>
        </w:rPr>
        <w:t>This creates multiple risks: the facility serves approximately $16.2M of annual revenue (12.7% of total), including Wasatch Front Petroleum ($6.4M), Silver Creek Mining ($5.8M), Utah DEQ ($4.6M), and others. Utah Administrative Code R315-3 requires Division approval for permit modifications reflecting changes in ownership or operational control. Operating without a completed transfer may constitute a regulatory violation. The proposed Sycamore acquisition would layer a second change-of-control event on top of the unresolved Pinnacle-to-RES transfer, potentially complicating or resetting the transfer process. If the Utah Division declines to transfer the permit or initiates enforcement, the Salt Lake City facility could be forced to cease operations, eliminating $16.2M of revenue.</w:t>
      </w:r>
    </w:p>
    <w:p>
      <w:pPr>
        <w:spacing w:before="80" w:after="40"/>
      </w:pPr>
      <w:r>
        <w:rPr>
          <w:rFonts w:ascii="Calibri" w:hAnsi="Calibri"/>
          <w:b/>
          <w:i w:val="0"/>
          <w:sz w:val="20"/>
        </w:rPr>
        <w:t>Required Actions:</w:t>
      </w:r>
    </w:p>
    <w:p>
      <w:pPr>
        <w:pStyle w:val="ListBullet"/>
        <w:spacing w:before="20" w:after="20"/>
      </w:pPr>
      <w:r>
        <w:rPr>
          <w:rFonts w:ascii="Calibri" w:hAnsi="Calibri"/>
          <w:sz w:val="20"/>
        </w:rPr>
        <w:t>Obtain status update from Utah Division of Waste Management.</w:t>
      </w:r>
    </w:p>
    <w:p>
      <w:pPr>
        <w:pStyle w:val="ListBullet"/>
        <w:spacing w:before="20" w:after="20"/>
      </w:pPr>
      <w:r>
        <w:rPr>
          <w:rFonts w:ascii="Calibri" w:hAnsi="Calibri"/>
          <w:sz w:val="20"/>
        </w:rPr>
        <w:t>Engage Utah environmental counsel to assess compliance risk.</w:t>
      </w:r>
    </w:p>
    <w:p>
      <w:pPr>
        <w:pStyle w:val="ListBullet"/>
        <w:spacing w:before="20" w:after="20"/>
      </w:pPr>
      <w:r>
        <w:rPr>
          <w:rFonts w:ascii="Calibri" w:hAnsi="Calibri"/>
          <w:sz w:val="20"/>
        </w:rPr>
        <w:t>Make permit transfer a pre-closing condition.</w:t>
      </w:r>
    </w:p>
    <w:p>
      <w:pPr>
        <w:pStyle w:val="ListBullet"/>
        <w:spacing w:before="20" w:after="20"/>
      </w:pPr>
      <w:r>
        <w:rPr>
          <w:rFonts w:ascii="Calibri" w:hAnsi="Calibri"/>
          <w:sz w:val="20"/>
        </w:rPr>
        <w:t>Assess whether Sycamore acquisition requires separate Division notification or approval.</w:t>
      </w:r>
    </w:p>
    <w:p>
      <w:pPr>
        <w:spacing w:before="120" w:after="120"/>
        <w:pBdr>
          <w:bottom w:val="single" w:sz="6" w:space="1" w:color="1F3864"/>
        </w:pBdr>
      </w:pPr>
    </w:p>
    <w:p>
      <w:pPr>
        <w:spacing w:before="160" w:after="80"/>
      </w:pPr>
      <w:r>
        <w:rPr>
          <w:rFonts w:ascii="Calibri" w:hAnsi="Calibri"/>
          <w:b/>
          <w:color w:val="404040"/>
          <w:sz w:val="24"/>
        </w:rPr>
        <w:t>RF-07 | Wyoming Casper Permit Expired — Operating Under Timely Renewal Provisions</w:t>
      </w:r>
    </w:p>
    <w:p>
      <w:pPr>
        <w:spacing w:before="40" w:after="80"/>
      </w:pPr>
      <w:r>
        <w:rPr>
          <w:rFonts w:ascii="Calibri" w:hAnsi="Calibri"/>
          <w:b/>
          <w:color w:val="404040"/>
          <w:sz w:val="20"/>
          <w:shd w:val="clear" w:color="auto" w:fill="FFD966"/>
        </w:rPr>
        <w:t xml:space="preserve">  Severity: MODERATE  </w:t>
      </w:r>
    </w:p>
    <w:p>
      <w:pPr>
        <w:spacing w:before="0" w:after="80"/>
      </w:pPr>
      <w:r>
        <w:rPr>
          <w:rFonts w:ascii="Calibri" w:hAnsi="Calibri"/>
          <w:b w:val="0"/>
          <w:i w:val="0"/>
          <w:sz w:val="20"/>
        </w:rPr>
        <w:t>Wyoming Hazardous Waste Permit WY-HW-2019-033 for the Casper facility expired on November 30, 2024. A renewal application was filed on October 15, 2024. The Company is currently operating under Wyoming timely renewal provisions, which allow continued operations pending agency action on a timely-filed renewal application.</w:t>
      </w:r>
    </w:p>
    <w:p>
      <w:pPr>
        <w:spacing w:before="0" w:after="80"/>
      </w:pPr>
      <w:r>
        <w:rPr>
          <w:rFonts w:ascii="Calibri" w:hAnsi="Calibri"/>
          <w:b w:val="0"/>
          <w:i w:val="0"/>
          <w:sz w:val="20"/>
        </w:rPr>
        <w:t>While timely renewal provisions are a standard regulatory mechanism, the permit expired status creates risk: if the renewal application is found deficient, operations could be interrupted; the credit agreement affirmative covenants require maintenance of all material permits; and the Casper facility serves approximately $30.2M of Wyoming revenue (23.7% of total).</w:t>
      </w:r>
    </w:p>
    <w:p>
      <w:pPr>
        <w:spacing w:before="80" w:after="40"/>
      </w:pPr>
      <w:r>
        <w:rPr>
          <w:rFonts w:ascii="Calibri" w:hAnsi="Calibri"/>
          <w:b/>
          <w:i w:val="0"/>
          <w:sz w:val="20"/>
        </w:rPr>
        <w:t>Required Actions:</w:t>
      </w:r>
    </w:p>
    <w:p>
      <w:pPr>
        <w:pStyle w:val="ListBullet"/>
        <w:spacing w:before="20" w:after="20"/>
      </w:pPr>
      <w:r>
        <w:rPr>
          <w:rFonts w:ascii="Calibri" w:hAnsi="Calibri"/>
          <w:sz w:val="20"/>
        </w:rPr>
        <w:t>Obtain written confirmation from Wyoming DEQ of timely renewal status.</w:t>
      </w:r>
    </w:p>
    <w:p>
      <w:pPr>
        <w:pStyle w:val="ListBullet"/>
        <w:spacing w:before="20" w:after="20"/>
      </w:pPr>
      <w:r>
        <w:rPr>
          <w:rFonts w:ascii="Calibri" w:hAnsi="Calibri"/>
          <w:sz w:val="20"/>
        </w:rPr>
        <w:t>Confirm bank notification.</w:t>
      </w:r>
    </w:p>
    <w:p>
      <w:pPr>
        <w:pStyle w:val="ListBullet"/>
        <w:spacing w:before="20" w:after="20"/>
      </w:pPr>
      <w:r>
        <w:rPr>
          <w:rFonts w:ascii="Calibri" w:hAnsi="Calibri"/>
          <w:sz w:val="20"/>
        </w:rPr>
        <w:t>Make permit renewal a pre-closing condition or obtain representations regarding renewal timeline.</w:t>
      </w:r>
    </w:p>
    <w:p>
      <w:pPr>
        <w:spacing w:before="120" w:after="120"/>
        <w:pBdr>
          <w:bottom w:val="single" w:sz="6" w:space="1" w:color="1F3864"/>
        </w:pBdr>
      </w:pPr>
    </w:p>
    <w:p>
      <w:pPr>
        <w:spacing w:before="240" w:after="80"/>
      </w:pPr>
      <w:r>
        <w:rPr>
          <w:rFonts w:ascii="Calibri" w:hAnsi="Calibri"/>
          <w:b/>
          <w:color w:val="1F3864"/>
          <w:sz w:val="28"/>
        </w:rPr>
        <w:t>SECTION 3 — REGULATORY AND LABOR</w:t>
      </w:r>
    </w:p>
    <w:p>
      <w:pPr>
        <w:spacing w:before="160" w:after="80"/>
      </w:pPr>
      <w:r>
        <w:rPr>
          <w:rFonts w:ascii="Calibri" w:hAnsi="Calibri"/>
          <w:b/>
          <w:color w:val="404040"/>
          <w:sz w:val="24"/>
        </w:rPr>
        <w:t>RF-08 | NLRB Unionization Petition — 62 Field Technicians</w:t>
      </w:r>
    </w:p>
    <w:p>
      <w:pPr>
        <w:spacing w:before="40" w:after="80"/>
      </w:pPr>
      <w:r>
        <w:rPr>
          <w:rFonts w:ascii="Calibri" w:hAnsi="Calibri"/>
          <w:b/>
          <w:color w:val="FFFFFF"/>
          <w:sz w:val="20"/>
          <w:shd w:val="clear" w:color="auto" w:fill="E26B0A"/>
        </w:rPr>
        <w:t xml:space="preserve">  Severity: HIGH  </w:t>
      </w:r>
    </w:p>
    <w:p>
      <w:pPr>
        <w:spacing w:before="0" w:after="80"/>
      </w:pPr>
      <w:r>
        <w:rPr>
          <w:rFonts w:ascii="Calibri" w:hAnsi="Calibri"/>
          <w:b w:val="0"/>
          <w:i w:val="0"/>
          <w:sz w:val="20"/>
        </w:rPr>
        <w:t>A footnote in the Employee Benefits Summary discloses that on November 4, 2024, the International Brotherhood of Teamsters Local 455 filed an NLRB election petition covering 62 field technicians at the Grand Junction and Casper facilities. This disclosure is buried in a footnote and is not prominently disclosed elsewhere in the data room.</w:t>
      </w:r>
    </w:p>
    <w:p>
      <w:pPr>
        <w:spacing w:before="0" w:after="80"/>
      </w:pPr>
      <w:r>
        <w:rPr>
          <w:rFonts w:ascii="Calibri" w:hAnsi="Calibri"/>
          <w:b w:val="0"/>
          <w:i w:val="0"/>
          <w:sz w:val="20"/>
        </w:rPr>
        <w:t>This is a material development: the 62 affected employees represent approximately 13% of the total workforce and a significant portion of the field operations workforce at the two largest facilities. Unionization could materially increase labor costs and reduce operational flexibility. The credit agreement requires prompt notice (within 5 business days) of any labor dispute or NLRB action — it is unclear whether this notice has been provided to High Plains National Bank. A material labor dispute lasting more than 10 business days constitutes an Event of Default under the credit agreement. The CIM representation that the workforce is entirely non-unionized and that management maintains positive employee relations is materially incomplete given this pending petition.</w:t>
      </w:r>
    </w:p>
    <w:p>
      <w:pPr>
        <w:spacing w:before="80" w:after="40"/>
      </w:pPr>
      <w:r>
        <w:rPr>
          <w:rFonts w:ascii="Calibri" w:hAnsi="Calibri"/>
          <w:b/>
          <w:i w:val="0"/>
          <w:sz w:val="20"/>
        </w:rPr>
        <w:t>Required Actions:</w:t>
      </w:r>
    </w:p>
    <w:p>
      <w:pPr>
        <w:pStyle w:val="ListBullet"/>
        <w:spacing w:before="20" w:after="20"/>
      </w:pPr>
      <w:r>
        <w:rPr>
          <w:rFonts w:ascii="Calibri" w:hAnsi="Calibri"/>
          <w:sz w:val="20"/>
        </w:rPr>
        <w:t>Obtain full details of the NLRB petition.</w:t>
      </w:r>
    </w:p>
    <w:p>
      <w:pPr>
        <w:pStyle w:val="ListBullet"/>
        <w:spacing w:before="20" w:after="20"/>
      </w:pPr>
      <w:r>
        <w:rPr>
          <w:rFonts w:ascii="Calibri" w:hAnsi="Calibri"/>
          <w:sz w:val="20"/>
        </w:rPr>
        <w:t>Assess likelihood of union certification.</w:t>
      </w:r>
    </w:p>
    <w:p>
      <w:pPr>
        <w:pStyle w:val="ListBullet"/>
        <w:spacing w:before="20" w:after="20"/>
      </w:pPr>
      <w:r>
        <w:rPr>
          <w:rFonts w:ascii="Calibri" w:hAnsi="Calibri"/>
          <w:sz w:val="20"/>
        </w:rPr>
        <w:t>Model potential labor cost increases.</w:t>
      </w:r>
    </w:p>
    <w:p>
      <w:pPr>
        <w:pStyle w:val="ListBullet"/>
        <w:spacing w:before="20" w:after="20"/>
      </w:pPr>
      <w:r>
        <w:rPr>
          <w:rFonts w:ascii="Calibri" w:hAnsi="Calibri"/>
          <w:sz w:val="20"/>
        </w:rPr>
        <w:t>Confirm bank notification.</w:t>
      </w:r>
    </w:p>
    <w:p>
      <w:pPr>
        <w:pStyle w:val="ListBullet"/>
        <w:spacing w:before="20" w:after="20"/>
      </w:pPr>
      <w:r>
        <w:rPr>
          <w:rFonts w:ascii="Calibri" w:hAnsi="Calibri"/>
          <w:sz w:val="20"/>
        </w:rPr>
        <w:t>Require representation and warranty regarding labor relations status.</w:t>
      </w:r>
    </w:p>
    <w:p>
      <w:pPr>
        <w:pStyle w:val="ListBullet"/>
        <w:spacing w:before="20" w:after="20"/>
      </w:pPr>
      <w:r>
        <w:rPr>
          <w:rFonts w:ascii="Calibri" w:hAnsi="Calibri"/>
          <w:sz w:val="20"/>
        </w:rPr>
        <w:t>Consider whether this constitutes a Material Adverse Change.</w:t>
      </w:r>
    </w:p>
    <w:p>
      <w:pPr>
        <w:spacing w:before="120" w:after="120"/>
        <w:pBdr>
          <w:bottom w:val="single" w:sz="6" w:space="1" w:color="1F3864"/>
        </w:pBdr>
      </w:pPr>
    </w:p>
    <w:p>
      <w:pPr>
        <w:spacing w:before="160" w:after="80"/>
      </w:pPr>
      <w:r>
        <w:rPr>
          <w:rFonts w:ascii="Calibri" w:hAnsi="Calibri"/>
          <w:b/>
          <w:color w:val="404040"/>
          <w:sz w:val="24"/>
        </w:rPr>
        <w:t>RF-09 | Former Employee Wage Claim — FLSA Overtime Exposure</w:t>
      </w:r>
    </w:p>
    <w:p>
      <w:pPr>
        <w:spacing w:before="40" w:after="80"/>
      </w:pPr>
      <w:r>
        <w:rPr>
          <w:rFonts w:ascii="Calibri" w:hAnsi="Calibri"/>
          <w:b/>
          <w:color w:val="404040"/>
          <w:sz w:val="20"/>
          <w:shd w:val="clear" w:color="auto" w:fill="FFD966"/>
        </w:rPr>
        <w:t xml:space="preserve">  Severity: MODERATE  </w:t>
      </w:r>
    </w:p>
    <w:p>
      <w:pPr>
        <w:spacing w:before="0" w:after="80"/>
      </w:pPr>
      <w:r>
        <w:rPr>
          <w:rFonts w:ascii="Calibri" w:hAnsi="Calibri"/>
          <w:b w:val="0"/>
          <w:i w:val="0"/>
          <w:sz w:val="20"/>
        </w:rPr>
        <w:t>During October 2024, outside counsel for a group of approximately 8 former field technicians sent a pre-litigation demand asserting that these workers were denied overtime pay in violation of the FLSA and the Colorado COMPS Order. The total claimed amount is approximately $330K, which includes the FLSA double-damages provision. No court action has been initiated. Management estimates the Company exposure at $100K-$200K.</w:t>
      </w:r>
    </w:p>
    <w:p>
      <w:pPr>
        <w:spacing w:before="0" w:after="80"/>
      </w:pPr>
      <w:r>
        <w:rPr>
          <w:rFonts w:ascii="Calibri" w:hAnsi="Calibri"/>
          <w:b w:val="0"/>
          <w:i w:val="0"/>
          <w:sz w:val="20"/>
        </w:rPr>
        <w:t>While the dollar amount is relatively modest, the claim raises questions about the Company wage and hour compliance practices more broadly. If the motor carrier exemption defense is not available for all claimants, the exposure could be higher. Additionally, the claim relates to employees terminated in connection with the asbestos abatement wind-down, suggesting potential additional claimants.</w:t>
      </w:r>
    </w:p>
    <w:p>
      <w:pPr>
        <w:spacing w:before="80" w:after="40"/>
      </w:pPr>
      <w:r>
        <w:rPr>
          <w:rFonts w:ascii="Calibri" w:hAnsi="Calibri"/>
          <w:b/>
          <w:i w:val="0"/>
          <w:sz w:val="20"/>
        </w:rPr>
        <w:t>Required Actions:</w:t>
      </w:r>
    </w:p>
    <w:p>
      <w:pPr>
        <w:pStyle w:val="ListBullet"/>
        <w:spacing w:before="20" w:after="20"/>
      </w:pPr>
      <w:r>
        <w:rPr>
          <w:rFonts w:ascii="Calibri" w:hAnsi="Calibri"/>
          <w:sz w:val="20"/>
        </w:rPr>
        <w:t>Obtain employment counsel assessment.</w:t>
      </w:r>
    </w:p>
    <w:p>
      <w:pPr>
        <w:pStyle w:val="ListBullet"/>
        <w:spacing w:before="20" w:after="20"/>
      </w:pPr>
      <w:r>
        <w:rPr>
          <w:rFonts w:ascii="Calibri" w:hAnsi="Calibri"/>
          <w:sz w:val="20"/>
        </w:rPr>
        <w:t>Require representation regarding wage and hour compliance.</w:t>
      </w:r>
    </w:p>
    <w:p>
      <w:pPr>
        <w:pStyle w:val="ListBullet"/>
        <w:spacing w:before="20" w:after="20"/>
      </w:pPr>
      <w:r>
        <w:rPr>
          <w:rFonts w:ascii="Calibri" w:hAnsi="Calibri"/>
          <w:sz w:val="20"/>
        </w:rPr>
        <w:t>Include in indemnification basket.</w:t>
      </w:r>
    </w:p>
    <w:p>
      <w:pPr>
        <w:spacing w:before="120" w:after="120"/>
        <w:pBdr>
          <w:bottom w:val="single" w:sz="6" w:space="1" w:color="1F3864"/>
        </w:pBdr>
      </w:pPr>
    </w:p>
    <w:p>
      <w:pPr>
        <w:spacing w:before="240" w:after="80"/>
      </w:pPr>
      <w:r>
        <w:rPr>
          <w:rFonts w:ascii="Calibri" w:hAnsi="Calibri"/>
          <w:b/>
          <w:color w:val="1F3864"/>
          <w:sz w:val="28"/>
        </w:rPr>
        <w:t>SECTION 4 — CONTRACT AND CUSTOMER RISK</w:t>
      </w:r>
    </w:p>
    <w:p>
      <w:pPr>
        <w:spacing w:before="160" w:after="80"/>
      </w:pPr>
      <w:r>
        <w:rPr>
          <w:rFonts w:ascii="Calibri" w:hAnsi="Calibri"/>
          <w:b/>
          <w:color w:val="404040"/>
          <w:sz w:val="24"/>
        </w:rPr>
        <w:t>RF-10 | Change-of-Control Provisions Across Key Customer Contracts</w:t>
      </w:r>
    </w:p>
    <w:p>
      <w:pPr>
        <w:spacing w:before="40" w:after="80"/>
      </w:pPr>
      <w:r>
        <w:rPr>
          <w:rFonts w:ascii="Calibri" w:hAnsi="Calibri"/>
          <w:b/>
          <w:color w:val="FFFFFF"/>
          <w:sz w:val="20"/>
          <w:shd w:val="clear" w:color="auto" w:fill="E26B0A"/>
        </w:rPr>
        <w:t xml:space="preserve">  Severity: HIGH  </w:t>
      </w:r>
    </w:p>
    <w:p>
      <w:pPr>
        <w:spacing w:before="0" w:after="80"/>
      </w:pPr>
      <w:r>
        <w:rPr>
          <w:rFonts w:ascii="Calibri" w:hAnsi="Calibri"/>
          <w:b w:val="0"/>
          <w:i w:val="0"/>
          <w:sz w:val="20"/>
        </w:rPr>
        <w:t>Eight of the top 20 customer contracts contain assignment, change-of-control, or notification provisions triggered by the proposed acquisition. Total revenue subject to change-of-control provisions: approximately $53M (42% of TTM revenue).</w:t>
      </w:r>
    </w:p>
    <w:p>
      <w:pPr>
        <w:pStyle w:val="ListBullet"/>
        <w:spacing w:before="20" w:after="20"/>
      </w:pPr>
      <w:r>
        <w:rPr>
          <w:rFonts w:ascii="Calibri" w:hAnsi="Calibri"/>
          <w:sz w:val="20"/>
        </w:rPr>
        <w:t>U.S. Department of Energy ($24.4M): Non-assignable per Anti-Assignment Act; novation/notification required.</w:t>
      </w:r>
    </w:p>
    <w:p>
      <w:pPr>
        <w:pStyle w:val="ListBullet"/>
        <w:spacing w:before="20" w:after="20"/>
      </w:pPr>
      <w:r>
        <w:rPr>
          <w:rFonts w:ascii="Calibri" w:hAnsi="Calibri"/>
          <w:sz w:val="20"/>
        </w:rPr>
        <w:t>Intermountain Health Systems ($7.1M): Prior written consent required; 60-day advance notice.</w:t>
      </w:r>
    </w:p>
    <w:p>
      <w:pPr>
        <w:pStyle w:val="ListBullet"/>
        <w:spacing w:before="20" w:after="20"/>
      </w:pPr>
      <w:r>
        <w:rPr>
          <w:rFonts w:ascii="Calibri" w:hAnsi="Calibri"/>
          <w:sz w:val="20"/>
        </w:rPr>
        <w:t>Rocky Mountain Pipeline Systems ($4.2M): Prior written consent; 30-day notification/consent period.</w:t>
      </w:r>
    </w:p>
    <w:p>
      <w:pPr>
        <w:pStyle w:val="ListBullet"/>
        <w:spacing w:before="20" w:after="20"/>
      </w:pPr>
      <w:r>
        <w:rPr>
          <w:rFonts w:ascii="Calibri" w:hAnsi="Calibri"/>
          <w:sz w:val="20"/>
        </w:rPr>
        <w:t>Colorado DOT ($3.9M): Prior written consent; ownership notification required.</w:t>
      </w:r>
    </w:p>
    <w:p>
      <w:pPr>
        <w:pStyle w:val="ListBullet"/>
        <w:spacing w:before="20" w:after="20"/>
      </w:pPr>
      <w:r>
        <w:rPr>
          <w:rFonts w:ascii="Calibri" w:hAnsi="Calibri"/>
          <w:sz w:val="20"/>
        </w:rPr>
        <w:t>Utah DEQ ($4.6M): Written notice required; state termination right if qualifications affected.</w:t>
      </w:r>
    </w:p>
    <w:p>
      <w:pPr>
        <w:pStyle w:val="ListBullet"/>
        <w:spacing w:before="20" w:after="20"/>
      </w:pPr>
      <w:r>
        <w:rPr>
          <w:rFonts w:ascii="Calibri" w:hAnsi="Calibri"/>
          <w:sz w:val="20"/>
        </w:rPr>
        <w:t>Bridger Valley Ranches ($4.1M): No assignment without mutual written consent.</w:t>
      </w:r>
    </w:p>
    <w:p>
      <w:pPr>
        <w:pStyle w:val="ListBullet"/>
        <w:spacing w:before="20" w:after="20"/>
      </w:pPr>
      <w:r>
        <w:rPr>
          <w:rFonts w:ascii="Calibri" w:hAnsi="Calibri"/>
          <w:sz w:val="20"/>
        </w:rPr>
        <w:t>Frontier E&amp;P ($2.6M): Prior written consent; 30-day notification.</w:t>
      </w:r>
    </w:p>
    <w:p>
      <w:pPr>
        <w:pStyle w:val="ListBullet"/>
        <w:spacing w:before="20" w:after="20"/>
      </w:pPr>
      <w:r>
        <w:rPr>
          <w:rFonts w:ascii="Calibri" w:hAnsi="Calibri"/>
          <w:sz w:val="20"/>
        </w:rPr>
        <w:t>Teton Steel ($2.1M): No assignment without mutual written consent.</w:t>
      </w:r>
    </w:p>
    <w:p>
      <w:pPr>
        <w:spacing w:before="0" w:after="80"/>
      </w:pPr>
      <w:r>
        <w:rPr>
          <w:rFonts w:ascii="Calibri" w:hAnsi="Calibri"/>
          <w:b w:val="0"/>
          <w:i w:val="0"/>
          <w:sz w:val="20"/>
        </w:rPr>
        <w:t>The DOE contract presents the highest risk given the Anti-Assignment Act and the potential for the Contracting Officer to require a formal novation agreement. Any delay in obtaining required consents could delay closing or result in contract termination.</w:t>
      </w:r>
    </w:p>
    <w:p>
      <w:pPr>
        <w:spacing w:before="80" w:after="40"/>
      </w:pPr>
      <w:r>
        <w:rPr>
          <w:rFonts w:ascii="Calibri" w:hAnsi="Calibri"/>
          <w:b/>
          <w:i w:val="0"/>
          <w:sz w:val="20"/>
        </w:rPr>
        <w:t>Required Actions:</w:t>
      </w:r>
    </w:p>
    <w:p>
      <w:pPr>
        <w:pStyle w:val="ListBullet"/>
        <w:spacing w:before="20" w:after="20"/>
      </w:pPr>
      <w:r>
        <w:rPr>
          <w:rFonts w:ascii="Calibri" w:hAnsi="Calibri"/>
          <w:sz w:val="20"/>
        </w:rPr>
        <w:t>Initiate consent solicitation process immediately.</w:t>
      </w:r>
    </w:p>
    <w:p>
      <w:pPr>
        <w:pStyle w:val="ListBullet"/>
        <w:spacing w:before="20" w:after="20"/>
      </w:pPr>
      <w:r>
        <w:rPr>
          <w:rFonts w:ascii="Calibri" w:hAnsi="Calibri"/>
          <w:sz w:val="20"/>
        </w:rPr>
        <w:t>Make receipt of material consents a closing condition.</w:t>
      </w:r>
    </w:p>
    <w:p>
      <w:pPr>
        <w:pStyle w:val="ListBullet"/>
        <w:spacing w:before="20" w:after="20"/>
      </w:pPr>
      <w:r>
        <w:rPr>
          <w:rFonts w:ascii="Calibri" w:hAnsi="Calibri"/>
          <w:sz w:val="20"/>
        </w:rPr>
        <w:t>Assess DOE novation requirements with federal contracting counsel.</w:t>
      </w:r>
    </w:p>
    <w:p>
      <w:pPr>
        <w:pStyle w:val="ListBullet"/>
        <w:spacing w:before="20" w:after="20"/>
      </w:pPr>
      <w:r>
        <w:rPr>
          <w:rFonts w:ascii="Calibri" w:hAnsi="Calibri"/>
          <w:sz w:val="20"/>
        </w:rPr>
        <w:t>Model revenue impact of consent failures.</w:t>
      </w:r>
    </w:p>
    <w:p>
      <w:pPr>
        <w:spacing w:before="120" w:after="120"/>
        <w:pBdr>
          <w:bottom w:val="single" w:sz="6" w:space="1" w:color="1F3864"/>
        </w:pBdr>
      </w:pPr>
    </w:p>
    <w:p>
      <w:pPr>
        <w:spacing w:before="240" w:after="80"/>
      </w:pPr>
      <w:r>
        <w:rPr>
          <w:rFonts w:ascii="Calibri" w:hAnsi="Calibri"/>
          <w:b/>
          <w:color w:val="1F3864"/>
          <w:sz w:val="28"/>
        </w:rPr>
        <w:t>SECTION 5 — REAL PROPERTY</w:t>
      </w:r>
    </w:p>
    <w:p>
      <w:pPr>
        <w:spacing w:before="160" w:after="80"/>
      </w:pPr>
      <w:r>
        <w:rPr>
          <w:rFonts w:ascii="Calibri" w:hAnsi="Calibri"/>
          <w:b/>
          <w:color w:val="404040"/>
          <w:sz w:val="24"/>
        </w:rPr>
        <w:t>RF-11 | Salt Lake City Lease — Dual Assignment Default Risk</w:t>
      </w:r>
    </w:p>
    <w:p>
      <w:pPr>
        <w:spacing w:before="40" w:after="80"/>
      </w:pPr>
      <w:r>
        <w:rPr>
          <w:rFonts w:ascii="Calibri" w:hAnsi="Calibri"/>
          <w:b/>
          <w:color w:val="FFFFFF"/>
          <w:sz w:val="20"/>
          <w:shd w:val="clear" w:color="auto" w:fill="E26B0A"/>
        </w:rPr>
        <w:t xml:space="preserve">  Severity: HIGH  </w:t>
      </w:r>
    </w:p>
    <w:p>
      <w:pPr>
        <w:spacing w:before="0" w:after="80"/>
      </w:pPr>
      <w:r>
        <w:rPr>
          <w:rFonts w:ascii="Calibri" w:hAnsi="Calibri"/>
          <w:b w:val="0"/>
          <w:i w:val="0"/>
          <w:sz w:val="20"/>
        </w:rPr>
        <w:t>The Salt Lake City transfer station lease (2100 West North Temple) was originally executed by Pinnacle Waste Solutions, LLC. Following the March 2022 Pinnacle acquisition, RES submitted an assignment consent request to landlord Wasatch Industrial Properties, LLC on April 12, 2022. As of December 2024 — 32 months later — no written consent has been received.</w:t>
      </w:r>
    </w:p>
    <w:p>
      <w:pPr>
        <w:spacing w:before="0" w:after="80"/>
      </w:pPr>
      <w:r>
        <w:rPr>
          <w:rFonts w:ascii="Calibri" w:hAnsi="Calibri"/>
          <w:b w:val="0"/>
          <w:i w:val="0"/>
          <w:sz w:val="20"/>
        </w:rPr>
        <w:t>The lease explicitly defines any change of control of the tenant (whether by merger, consolidation, sale of equity interests, or otherwise) as an assignment requiring landlord consent. The proposed Sycamore acquisition would constitute a second change-of-control event layered on top of the unresolved first assignment. The landlord sent correspondence in November 2024 specifically inquiring about the current tenant of record and referencing the consent-to-assignment clause — suggesting the landlord is aware of the issue and may be preparing to assert rights.</w:t>
      </w:r>
    </w:p>
    <w:p>
      <w:pPr>
        <w:spacing w:before="0" w:after="80"/>
      </w:pPr>
      <w:r>
        <w:rPr>
          <w:rFonts w:ascii="Calibri" w:hAnsi="Calibri"/>
          <w:b w:val="0"/>
          <w:i w:val="0"/>
          <w:sz w:val="20"/>
        </w:rPr>
        <w:t>The facility serves approximately $16.2M of annual revenue and houses the Utah hazardous waste permit (UTH-0441) that has not been transferred from Pinnacle. A landlord refusal to consent, or a lease termination, would simultaneously eliminate $16.2M of revenue and jeopardize the Utah permit.</w:t>
      </w:r>
    </w:p>
    <w:p>
      <w:pPr>
        <w:spacing w:before="80" w:after="40"/>
      </w:pPr>
      <w:r>
        <w:rPr>
          <w:rFonts w:ascii="Calibri" w:hAnsi="Calibri"/>
          <w:b/>
          <w:i w:val="0"/>
          <w:sz w:val="20"/>
        </w:rPr>
        <w:t>Required Actions:</w:t>
      </w:r>
    </w:p>
    <w:p>
      <w:pPr>
        <w:pStyle w:val="ListBullet"/>
        <w:spacing w:before="20" w:after="20"/>
      </w:pPr>
      <w:r>
        <w:rPr>
          <w:rFonts w:ascii="Calibri" w:hAnsi="Calibri"/>
          <w:sz w:val="20"/>
        </w:rPr>
        <w:t>Engage landlord immediately to obtain retroactive consent to Pinnacle-to-RES assignment and prospective consent to Sycamore acquisition.</w:t>
      </w:r>
    </w:p>
    <w:p>
      <w:pPr>
        <w:pStyle w:val="ListBullet"/>
        <w:spacing w:before="20" w:after="20"/>
      </w:pPr>
      <w:r>
        <w:rPr>
          <w:rFonts w:ascii="Calibri" w:hAnsi="Calibri"/>
          <w:sz w:val="20"/>
        </w:rPr>
        <w:t>Make landlord consent a pre-closing condition.</w:t>
      </w:r>
    </w:p>
    <w:p>
      <w:pPr>
        <w:pStyle w:val="ListBullet"/>
        <w:spacing w:before="20" w:after="20"/>
      </w:pPr>
      <w:r>
        <w:rPr>
          <w:rFonts w:ascii="Calibri" w:hAnsi="Calibri"/>
          <w:sz w:val="20"/>
        </w:rPr>
        <w:t>Assess whether existing occupancy without consent constitutes a current default.</w:t>
      </w:r>
    </w:p>
    <w:p>
      <w:pPr>
        <w:pStyle w:val="ListBullet"/>
        <w:spacing w:before="20" w:after="20"/>
      </w:pPr>
      <w:r>
        <w:rPr>
          <w:rFonts w:ascii="Calibri" w:hAnsi="Calibri"/>
          <w:sz w:val="20"/>
        </w:rPr>
        <w:t>Negotiate specific indemnification for lease termination risk.</w:t>
      </w:r>
    </w:p>
    <w:p>
      <w:pPr>
        <w:spacing w:before="120" w:after="120"/>
        <w:pBdr>
          <w:bottom w:val="single" w:sz="6" w:space="1" w:color="1F3864"/>
        </w:pBdr>
      </w:pPr>
    </w:p>
    <w:p>
      <w:pPr>
        <w:spacing w:before="160" w:after="80"/>
      </w:pPr>
      <w:r>
        <w:rPr>
          <w:rFonts w:ascii="Calibri" w:hAnsi="Calibri"/>
          <w:b/>
          <w:color w:val="404040"/>
          <w:sz w:val="24"/>
        </w:rPr>
        <w:t>RF-12 | Pueblo Storage Yard Lease Expiring at Closing</w:t>
      </w:r>
    </w:p>
    <w:p>
      <w:pPr>
        <w:spacing w:before="40" w:after="80"/>
      </w:pPr>
      <w:r>
        <w:rPr>
          <w:rFonts w:ascii="Calibri" w:hAnsi="Calibri"/>
          <w:b/>
          <w:color w:val="404040"/>
          <w:sz w:val="20"/>
          <w:shd w:val="clear" w:color="auto" w:fill="FFD966"/>
        </w:rPr>
        <w:t xml:space="preserve">  Severity: MODERATE  </w:t>
      </w:r>
    </w:p>
    <w:p>
      <w:pPr>
        <w:spacing w:before="0" w:after="80"/>
      </w:pPr>
      <w:r>
        <w:rPr>
          <w:rFonts w:ascii="Calibri" w:hAnsi="Calibri"/>
          <w:b w:val="0"/>
          <w:i w:val="0"/>
          <w:sz w:val="20"/>
        </w:rPr>
        <w:t>The Pueblo Storage Yard lease (2280 Santa Fe Avenue, Pueblo, CO) expires on April 30, 2025 — the same date as the target closing. Renewal negotiations are underway but no renewal has been executed. If the lease is not renewed, equipment and vehicles stored at the Pueblo yard will need to be relocated, incurring unbudgeted costs and operational disruption.</w:t>
      </w:r>
    </w:p>
    <w:p>
      <w:pPr>
        <w:spacing w:before="80" w:after="40"/>
      </w:pPr>
      <w:r>
        <w:rPr>
          <w:rFonts w:ascii="Calibri" w:hAnsi="Calibri"/>
          <w:b/>
          <w:i w:val="0"/>
          <w:sz w:val="20"/>
        </w:rPr>
        <w:t>Required Actions:</w:t>
      </w:r>
    </w:p>
    <w:p>
      <w:pPr>
        <w:pStyle w:val="ListBullet"/>
        <w:spacing w:before="20" w:after="20"/>
      </w:pPr>
      <w:r>
        <w:rPr>
          <w:rFonts w:ascii="Calibri" w:hAnsi="Calibri"/>
          <w:sz w:val="20"/>
        </w:rPr>
        <w:t>Require lease renewal as a pre-closing condition or obtain representations regarding renewal status.</w:t>
      </w:r>
    </w:p>
    <w:p>
      <w:pPr>
        <w:pStyle w:val="ListBullet"/>
        <w:spacing w:before="20" w:after="20"/>
      </w:pPr>
      <w:r>
        <w:rPr>
          <w:rFonts w:ascii="Calibri" w:hAnsi="Calibri"/>
          <w:sz w:val="20"/>
        </w:rPr>
        <w:t>Budget for potential relocation costs.</w:t>
      </w:r>
    </w:p>
    <w:p>
      <w:pPr>
        <w:spacing w:before="120" w:after="120"/>
        <w:pBdr>
          <w:bottom w:val="single" w:sz="6" w:space="1" w:color="1F3864"/>
        </w:pBdr>
      </w:pPr>
    </w:p>
    <w:p>
      <w:pPr>
        <w:spacing w:before="240" w:after="80"/>
      </w:pPr>
      <w:r>
        <w:rPr>
          <w:rFonts w:ascii="Calibri" w:hAnsi="Calibri"/>
          <w:b/>
          <w:color w:val="1F3864"/>
          <w:sz w:val="28"/>
        </w:rPr>
        <w:t>SECTION 6 — INSURANCE GAPS</w:t>
      </w:r>
    </w:p>
    <w:p>
      <w:pPr>
        <w:spacing w:before="160" w:after="80"/>
      </w:pPr>
      <w:r>
        <w:rPr>
          <w:rFonts w:ascii="Calibri" w:hAnsi="Calibri"/>
          <w:b/>
          <w:color w:val="404040"/>
          <w:sz w:val="24"/>
        </w:rPr>
        <w:t>RF-13 | Pollution Legal Liability — Gradual Contamination Exclusion and Claims-Made Tail Risk</w:t>
      </w:r>
    </w:p>
    <w:p>
      <w:pPr>
        <w:spacing w:before="40" w:after="80"/>
      </w:pPr>
      <w:r>
        <w:rPr>
          <w:rFonts w:ascii="Calibri" w:hAnsi="Calibri"/>
          <w:b/>
          <w:color w:val="FFFFFF"/>
          <w:sz w:val="20"/>
          <w:shd w:val="clear" w:color="auto" w:fill="E26B0A"/>
        </w:rPr>
        <w:t xml:space="preserve">  Severity: HIGH  </w:t>
      </w:r>
    </w:p>
    <w:p>
      <w:pPr>
        <w:spacing w:before="0" w:after="80"/>
      </w:pPr>
      <w:r>
        <w:rPr>
          <w:rFonts w:ascii="Calibri" w:hAnsi="Calibri"/>
          <w:b w:val="0"/>
          <w:i w:val="0"/>
          <w:sz w:val="20"/>
        </w:rPr>
        <w:t>The Company Pollution Legal Liability policy (FSI-PLL-2024-08873) contains a critical exclusion: coverage is explicitly excluded for gradual contamination at owned or operated facilities. The Grand Junction Phase II ESA characterizes the existing soil and groundwater contamination as resulting from gradual, long-term releases spanning multiple decades. This means the existing Grand Junction contamination is not covered by the PLL policy.</w:t>
      </w:r>
    </w:p>
    <w:p>
      <w:pPr>
        <w:spacing w:before="0" w:after="80"/>
      </w:pPr>
      <w:r>
        <w:rPr>
          <w:rFonts w:ascii="Calibri" w:hAnsi="Calibri"/>
          <w:b w:val="0"/>
          <w:i w:val="0"/>
          <w:sz w:val="20"/>
        </w:rPr>
        <w:t>Additionally, the PLL policy is written on a claims-made basis with a retroactive date of January 1, 2015. This creates two gaps: (1) asbestos abatement work performed from 2012 through 2014 (pre-retroactive date) is not covered; and (2) upon a change of control, the claims-made structure may be disrupted. The insurer has noted that early consultation is strongly recommended in connection with any contemplated transaction. No tail coverage has been procured.</w:t>
      </w:r>
    </w:p>
    <w:p>
      <w:pPr>
        <w:spacing w:before="0" w:after="80"/>
      </w:pPr>
      <w:r>
        <w:rPr>
          <w:rFonts w:ascii="Calibri" w:hAnsi="Calibri"/>
          <w:b w:val="0"/>
          <w:i w:val="0"/>
          <w:sz w:val="20"/>
        </w:rPr>
        <w:t>The Ramirez personal injury claim (Case No. 2:24-cv-00187, seeking $4.8M) has been tendered under both the CGL and PLL policies, but the insurer has issued a reservation of rights letter — meaning coverage is not confirmed. If the claim is determined to involve gradual exposure (consistent with the plaintiff allegations of prolonged VOC exposure), the PLL policy gradual contamination exclusion may apply.</w:t>
      </w:r>
    </w:p>
    <w:p>
      <w:pPr>
        <w:spacing w:before="80" w:after="40"/>
      </w:pPr>
      <w:r>
        <w:rPr>
          <w:rFonts w:ascii="Calibri" w:hAnsi="Calibri"/>
          <w:b/>
          <w:i w:val="0"/>
          <w:sz w:val="20"/>
        </w:rPr>
        <w:t>Required Actions:</w:t>
      </w:r>
    </w:p>
    <w:p>
      <w:pPr>
        <w:pStyle w:val="ListBullet"/>
        <w:spacing w:before="20" w:after="20"/>
      </w:pPr>
      <w:r>
        <w:rPr>
          <w:rFonts w:ascii="Calibri" w:hAnsi="Calibri"/>
          <w:sz w:val="20"/>
        </w:rPr>
        <w:t>Obtain legal analysis of PLL policy coverage for Grand Junction contamination.</w:t>
      </w:r>
    </w:p>
    <w:p>
      <w:pPr>
        <w:pStyle w:val="ListBullet"/>
        <w:spacing w:before="20" w:after="20"/>
      </w:pPr>
      <w:r>
        <w:rPr>
          <w:rFonts w:ascii="Calibri" w:hAnsi="Calibri"/>
          <w:sz w:val="20"/>
        </w:rPr>
        <w:t>Require procurement of environmental tail coverage as a closing condition.</w:t>
      </w:r>
    </w:p>
    <w:p>
      <w:pPr>
        <w:pStyle w:val="ListBullet"/>
        <w:spacing w:before="20" w:after="20"/>
      </w:pPr>
      <w:r>
        <w:rPr>
          <w:rFonts w:ascii="Calibri" w:hAnsi="Calibri"/>
          <w:sz w:val="20"/>
        </w:rPr>
        <w:t>Assess Ramirez coverage determination timeline.</w:t>
      </w:r>
    </w:p>
    <w:p>
      <w:pPr>
        <w:pStyle w:val="ListBullet"/>
        <w:spacing w:before="20" w:after="20"/>
      </w:pPr>
      <w:r>
        <w:rPr>
          <w:rFonts w:ascii="Calibri" w:hAnsi="Calibri"/>
          <w:sz w:val="20"/>
        </w:rPr>
        <w:t>Negotiate specific environmental indemnification.</w:t>
      </w:r>
    </w:p>
    <w:p>
      <w:pPr>
        <w:spacing w:before="120" w:after="120"/>
        <w:pBdr>
          <w:bottom w:val="single" w:sz="6" w:space="1" w:color="1F3864"/>
        </w:pBdr>
      </w:pPr>
    </w:p>
    <w:p>
      <w:pPr>
        <w:spacing w:before="240" w:after="80"/>
      </w:pPr>
      <w:r>
        <w:rPr>
          <w:rFonts w:ascii="Calibri" w:hAnsi="Calibri"/>
          <w:b/>
          <w:color w:val="1F3864"/>
          <w:sz w:val="28"/>
        </w:rPr>
        <w:t>SECTION 7 — TRANSACTION MECHANICS</w:t>
      </w:r>
    </w:p>
    <w:p>
      <w:pPr>
        <w:spacing w:before="160" w:after="80"/>
      </w:pPr>
      <w:r>
        <w:rPr>
          <w:rFonts w:ascii="Calibri" w:hAnsi="Calibri"/>
          <w:b/>
          <w:color w:val="404040"/>
          <w:sz w:val="24"/>
        </w:rPr>
        <w:t>RF-14 | Change-of-Control Severance — Single-Trigger Payments Certain at Closing</w:t>
      </w:r>
    </w:p>
    <w:p>
      <w:pPr>
        <w:spacing w:before="40" w:after="80"/>
      </w:pPr>
      <w:r>
        <w:rPr>
          <w:rFonts w:ascii="Calibri" w:hAnsi="Calibri"/>
          <w:b/>
          <w:color w:val="FFFFFF"/>
          <w:sz w:val="20"/>
          <w:shd w:val="clear" w:color="auto" w:fill="E26B0A"/>
        </w:rPr>
        <w:t xml:space="preserve">  Severity: HIGH  </w:t>
      </w:r>
    </w:p>
    <w:p>
      <w:pPr>
        <w:spacing w:before="0" w:after="80"/>
      </w:pPr>
      <w:r>
        <w:rPr>
          <w:rFonts w:ascii="Calibri" w:hAnsi="Calibri"/>
          <w:b w:val="0"/>
          <w:i w:val="0"/>
          <w:sz w:val="20"/>
        </w:rPr>
        <w:t>The employment agreements for Derek Calloway (CEO) and Jason Calloway (COO) contain single-trigger change-of-control severance provisions. Upon closing of the proposed acquisition, each is entitled to a lump-sum payment of $1,312,500 (1.5x base salary of $875K), payable within 30 days of closing — regardless of whether their employment continues. The aggregate single-trigger obligation is $2,625,000.</w:t>
      </w:r>
    </w:p>
    <w:p>
      <w:pPr>
        <w:spacing w:before="0" w:after="80"/>
      </w:pPr>
      <w:r>
        <w:rPr>
          <w:rFonts w:ascii="Calibri" w:hAnsi="Calibri"/>
          <w:b w:val="0"/>
          <w:i w:val="0"/>
          <w:sz w:val="20"/>
        </w:rPr>
        <w:t>The LOI definition of Transaction Expenses does not explicitly address these payments. If they are treated as Transaction Expenses, they reduce the purchase price dollar-for-dollar. If they are treated as post-closing obligations of the acquired company, they reduce post-closing cash flow. Either way, they represent a certain cash outflow of $2.625M at or shortly after closing.</w:t>
      </w:r>
    </w:p>
    <w:p>
      <w:pPr>
        <w:spacing w:before="0" w:after="80"/>
      </w:pPr>
      <w:r>
        <w:rPr>
          <w:rFonts w:ascii="Calibri" w:hAnsi="Calibri"/>
          <w:b w:val="0"/>
          <w:i w:val="0"/>
          <w:sz w:val="20"/>
        </w:rPr>
        <w:t>The double-trigger provisions for Engel ($425K), Dillon ($375K), and Oakes ($350K) total an additional $1,150,000 that could be triggered by post-closing organizational changes.</w:t>
      </w:r>
    </w:p>
    <w:p>
      <w:pPr>
        <w:spacing w:before="80" w:after="40"/>
      </w:pPr>
      <w:r>
        <w:rPr>
          <w:rFonts w:ascii="Calibri" w:hAnsi="Calibri"/>
          <w:b/>
          <w:i w:val="0"/>
          <w:sz w:val="20"/>
        </w:rPr>
        <w:t>Required Actions:</w:t>
      </w:r>
    </w:p>
    <w:p>
      <w:pPr>
        <w:pStyle w:val="ListBullet"/>
        <w:spacing w:before="20" w:after="20"/>
      </w:pPr>
      <w:r>
        <w:rPr>
          <w:rFonts w:ascii="Calibri" w:hAnsi="Calibri"/>
          <w:sz w:val="20"/>
        </w:rPr>
        <w:t>Confirm treatment of single-trigger severance in purchase price mechanics.</w:t>
      </w:r>
    </w:p>
    <w:p>
      <w:pPr>
        <w:pStyle w:val="ListBullet"/>
        <w:spacing w:before="20" w:after="20"/>
      </w:pPr>
      <w:r>
        <w:rPr>
          <w:rFonts w:ascii="Calibri" w:hAnsi="Calibri"/>
          <w:sz w:val="20"/>
        </w:rPr>
        <w:t>Negotiate retention arrangements with key executives.</w:t>
      </w:r>
    </w:p>
    <w:p>
      <w:pPr>
        <w:pStyle w:val="ListBullet"/>
        <w:spacing w:before="20" w:after="20"/>
      </w:pPr>
      <w:r>
        <w:rPr>
          <w:rFonts w:ascii="Calibri" w:hAnsi="Calibri"/>
          <w:sz w:val="20"/>
        </w:rPr>
        <w:t>Address in closing statement.</w:t>
      </w:r>
    </w:p>
    <w:p>
      <w:pPr>
        <w:pStyle w:val="ListBullet"/>
        <w:spacing w:before="20" w:after="20"/>
      </w:pPr>
      <w:r>
        <w:rPr>
          <w:rFonts w:ascii="Calibri" w:hAnsi="Calibri"/>
          <w:sz w:val="20"/>
        </w:rPr>
        <w:t>Budget $2.625M-$3.775M in transaction costs.</w:t>
      </w:r>
    </w:p>
    <w:p>
      <w:pPr>
        <w:pStyle w:val="ListBullet"/>
        <w:spacing w:before="20" w:after="20"/>
      </w:pPr>
      <w:r>
        <w:rPr>
          <w:rFonts w:ascii="Calibri" w:hAnsi="Calibri"/>
          <w:sz w:val="20"/>
        </w:rPr>
        <w:t>Define single-trigger severance as Transaction Expense (price reduction) in SPA.</w:t>
      </w:r>
    </w:p>
    <w:p>
      <w:pPr>
        <w:spacing w:before="120" w:after="120"/>
        <w:pBdr>
          <w:bottom w:val="single" w:sz="6" w:space="1" w:color="1F3864"/>
        </w:pBdr>
      </w:pPr>
    </w:p>
    <w:p>
      <w:pPr>
        <w:spacing w:before="240" w:after="80"/>
      </w:pPr>
      <w:r>
        <w:rPr>
          <w:rFonts w:ascii="Calibri" w:hAnsi="Calibri"/>
          <w:b/>
          <w:color w:val="1F3864"/>
          <w:sz w:val="28"/>
        </w:rPr>
        <w:t>RECOMMENDED NEXT STEPS</w:t>
      </w:r>
    </w:p>
    <w:p>
      <w:pPr>
        <w:spacing w:before="120" w:after="40"/>
      </w:pPr>
      <w:r>
        <w:rPr>
          <w:rFonts w:ascii="Calibri" w:hAnsi="Calibri"/>
          <w:b/>
          <w:i w:val="0"/>
          <w:color w:val="1F3864"/>
          <w:sz w:val="22"/>
        </w:rPr>
        <w:t>Immediately</w:t>
      </w:r>
    </w:p>
    <w:p>
      <w:pPr>
        <w:pStyle w:val="ListBullet"/>
        <w:spacing w:before="20" w:after="20"/>
      </w:pPr>
      <w:r>
        <w:rPr>
          <w:rFonts w:ascii="Calibri" w:hAnsi="Calibri"/>
          <w:sz w:val="20"/>
        </w:rPr>
        <w:t>Commission updated Phase II ESA and vapor intrusion assessment at Grand Junction.</w:t>
      </w:r>
    </w:p>
    <w:p>
      <w:pPr>
        <w:pStyle w:val="ListBullet"/>
        <w:spacing w:before="20" w:after="20"/>
      </w:pPr>
      <w:r>
        <w:rPr>
          <w:rFonts w:ascii="Calibri" w:hAnsi="Calibri"/>
          <w:sz w:val="20"/>
        </w:rPr>
        <w:t>Engage DOE Contracting Officer regarding ceiling modification and novation.</w:t>
      </w:r>
    </w:p>
    <w:p>
      <w:pPr>
        <w:pStyle w:val="ListBullet"/>
        <w:spacing w:before="20" w:after="20"/>
      </w:pPr>
      <w:r>
        <w:rPr>
          <w:rFonts w:ascii="Calibri" w:hAnsi="Calibri"/>
          <w:sz w:val="20"/>
        </w:rPr>
        <w:t>Initiate landlord consent process for SLC lease.</w:t>
      </w:r>
    </w:p>
    <w:p>
      <w:pPr>
        <w:pStyle w:val="ListBullet"/>
        <w:spacing w:before="20" w:after="20"/>
      </w:pPr>
      <w:r>
        <w:rPr>
          <w:rFonts w:ascii="Calibri" w:hAnsi="Calibri"/>
          <w:sz w:val="20"/>
        </w:rPr>
        <w:t>Demand reconciliation of $1.0M EBITDA discrepancy.</w:t>
      </w:r>
    </w:p>
    <w:p>
      <w:pPr>
        <w:spacing w:before="120" w:after="40"/>
      </w:pPr>
      <w:r>
        <w:rPr>
          <w:rFonts w:ascii="Calibri" w:hAnsi="Calibri"/>
          <w:b/>
          <w:i w:val="0"/>
          <w:color w:val="1F3864"/>
          <w:sz w:val="22"/>
        </w:rPr>
        <w:t>Before SPA Execution</w:t>
      </w:r>
    </w:p>
    <w:p>
      <w:pPr>
        <w:pStyle w:val="ListBullet"/>
        <w:spacing w:before="20" w:after="20"/>
      </w:pPr>
      <w:r>
        <w:rPr>
          <w:rFonts w:ascii="Calibri" w:hAnsi="Calibri"/>
          <w:sz w:val="20"/>
        </w:rPr>
        <w:t>Obtain independent QoE validation of all add-backs.</w:t>
      </w:r>
    </w:p>
    <w:p>
      <w:pPr>
        <w:pStyle w:val="ListBullet"/>
        <w:spacing w:before="20" w:after="20"/>
      </w:pPr>
      <w:r>
        <w:rPr>
          <w:rFonts w:ascii="Calibri" w:hAnsi="Calibri"/>
          <w:sz w:val="20"/>
        </w:rPr>
        <w:t>Adjust purchase price to reflect buyer-adjusted EBITDA.</w:t>
      </w:r>
    </w:p>
    <w:p>
      <w:pPr>
        <w:pStyle w:val="ListBullet"/>
        <w:spacing w:before="20" w:after="20"/>
      </w:pPr>
      <w:r>
        <w:rPr>
          <w:rFonts w:ascii="Calibri" w:hAnsi="Calibri"/>
          <w:sz w:val="20"/>
        </w:rPr>
        <w:t>Negotiate specific environmental indemnification with extended survival and separate escrow.</w:t>
      </w:r>
    </w:p>
    <w:p>
      <w:pPr>
        <w:pStyle w:val="ListBullet"/>
        <w:spacing w:before="20" w:after="20"/>
      </w:pPr>
      <w:r>
        <w:rPr>
          <w:rFonts w:ascii="Calibri" w:hAnsi="Calibri"/>
          <w:sz w:val="20"/>
        </w:rPr>
        <w:t>Obtain Wyoming DEQ timely renewal confirmation.</w:t>
      </w:r>
    </w:p>
    <w:p>
      <w:pPr>
        <w:pStyle w:val="ListBullet"/>
        <w:spacing w:before="20" w:after="20"/>
      </w:pPr>
      <w:r>
        <w:rPr>
          <w:rFonts w:ascii="Calibri" w:hAnsi="Calibri"/>
          <w:sz w:val="20"/>
        </w:rPr>
        <w:t>Obtain full NLRB petition details and confirm bank notification.</w:t>
      </w:r>
    </w:p>
    <w:p>
      <w:pPr>
        <w:spacing w:before="120" w:after="40"/>
      </w:pPr>
      <w:r>
        <w:rPr>
          <w:rFonts w:ascii="Calibri" w:hAnsi="Calibri"/>
          <w:b/>
          <w:i w:val="0"/>
          <w:color w:val="1F3864"/>
          <w:sz w:val="22"/>
        </w:rPr>
        <w:t>As Closing Conditions</w:t>
      </w:r>
    </w:p>
    <w:p>
      <w:pPr>
        <w:pStyle w:val="ListBullet"/>
        <w:spacing w:before="20" w:after="20"/>
      </w:pPr>
      <w:r>
        <w:rPr>
          <w:rFonts w:ascii="Calibri" w:hAnsi="Calibri"/>
          <w:sz w:val="20"/>
        </w:rPr>
        <w:t>Utah permit UTH-0441 transfer from Pinnacle to RES completed.</w:t>
      </w:r>
    </w:p>
    <w:p>
      <w:pPr>
        <w:pStyle w:val="ListBullet"/>
        <w:spacing w:before="20" w:after="20"/>
      </w:pPr>
      <w:r>
        <w:rPr>
          <w:rFonts w:ascii="Calibri" w:hAnsi="Calibri"/>
          <w:sz w:val="20"/>
        </w:rPr>
        <w:t>Wyoming permit WY-HW-2019-033 renewal granted.</w:t>
      </w:r>
    </w:p>
    <w:p>
      <w:pPr>
        <w:pStyle w:val="ListBullet"/>
        <w:spacing w:before="20" w:after="20"/>
      </w:pPr>
      <w:r>
        <w:rPr>
          <w:rFonts w:ascii="Calibri" w:hAnsi="Calibri"/>
          <w:sz w:val="20"/>
        </w:rPr>
        <w:t>SLC landlord consent obtained.</w:t>
      </w:r>
    </w:p>
    <w:p>
      <w:pPr>
        <w:pStyle w:val="ListBullet"/>
        <w:spacing w:before="20" w:after="20"/>
      </w:pPr>
      <w:r>
        <w:rPr>
          <w:rFonts w:ascii="Calibri" w:hAnsi="Calibri"/>
          <w:sz w:val="20"/>
        </w:rPr>
        <w:t>Material customer change-of-control consents received (DOE, Intermountain Health, Rocky Mtn Pipeline, Colorado DOT, Utah DEQ, Bridger Valley, Frontier E&amp;P, Teton Steel).</w:t>
      </w:r>
    </w:p>
    <w:p>
      <w:pPr>
        <w:pStyle w:val="ListBullet"/>
        <w:spacing w:before="20" w:after="20"/>
      </w:pPr>
      <w:r>
        <w:rPr>
          <w:rFonts w:ascii="Calibri" w:hAnsi="Calibri"/>
          <w:sz w:val="20"/>
        </w:rPr>
        <w:t>NLRB petition resolved or satisfactory assessment obtained.</w:t>
      </w:r>
    </w:p>
    <w:p>
      <w:pPr>
        <w:pStyle w:val="ListBullet"/>
        <w:spacing w:before="20" w:after="20"/>
      </w:pPr>
      <w:r>
        <w:rPr>
          <w:rFonts w:ascii="Calibri" w:hAnsi="Calibri"/>
          <w:sz w:val="20"/>
        </w:rPr>
        <w:t>Pueblo Storage Yard lease renewed or relocation plan in place.</w:t>
      </w:r>
    </w:p>
    <w:p>
      <w:pPr>
        <w:pStyle w:val="ListBullet"/>
        <w:spacing w:before="20" w:after="20"/>
      </w:pPr>
      <w:r>
        <w:rPr>
          <w:rFonts w:ascii="Calibri" w:hAnsi="Calibri"/>
          <w:sz w:val="20"/>
        </w:rPr>
        <w:t>Environmental tail coverage procured.</w:t>
      </w:r>
    </w:p>
    <w:p>
      <w:pPr>
        <w:pStyle w:val="ListBullet"/>
        <w:spacing w:before="20" w:after="20"/>
      </w:pPr>
      <w:r>
        <w:rPr>
          <w:rFonts w:ascii="Calibri" w:hAnsi="Calibri"/>
          <w:sz w:val="20"/>
        </w:rPr>
        <w:t>Audited financial statements for FY2022, FY2023, FY2024 delivered.</w:t>
      </w:r>
    </w:p>
    <w:p>
      <w:pPr>
        <w:spacing w:before="120" w:after="40"/>
      </w:pPr>
      <w:r>
        <w:rPr>
          <w:rFonts w:ascii="Calibri" w:hAnsi="Calibri"/>
          <w:b/>
          <w:i w:val="0"/>
          <w:color w:val="1F3864"/>
          <w:sz w:val="22"/>
        </w:rPr>
        <w:t>In the SPA</w:t>
      </w:r>
    </w:p>
    <w:p>
      <w:pPr>
        <w:pStyle w:val="ListBullet"/>
        <w:spacing w:before="20" w:after="20"/>
      </w:pPr>
      <w:r>
        <w:rPr>
          <w:rFonts w:ascii="Calibri" w:hAnsi="Calibri"/>
          <w:sz w:val="20"/>
        </w:rPr>
        <w:t>Environmental representations with 6-year survival period.</w:t>
      </w:r>
    </w:p>
    <w:p>
      <w:pPr>
        <w:pStyle w:val="ListBullet"/>
        <w:spacing w:before="20" w:after="20"/>
      </w:pPr>
      <w:r>
        <w:rPr>
          <w:rFonts w:ascii="Calibri" w:hAnsi="Calibri"/>
          <w:sz w:val="20"/>
        </w:rPr>
        <w:t>Specific indemnification for CDPHE enforcement action (CDPHE-HW-2024-0093).</w:t>
      </w:r>
    </w:p>
    <w:p>
      <w:pPr>
        <w:pStyle w:val="ListBullet"/>
        <w:spacing w:before="20" w:after="20"/>
      </w:pPr>
      <w:r>
        <w:rPr>
          <w:rFonts w:ascii="Calibri" w:hAnsi="Calibri"/>
          <w:sz w:val="20"/>
        </w:rPr>
        <w:t>Separate environmental escrow for Grand Junction remediation obligations.</w:t>
      </w:r>
    </w:p>
    <w:p>
      <w:pPr>
        <w:pStyle w:val="ListBullet"/>
        <w:spacing w:before="20" w:after="20"/>
      </w:pPr>
      <w:r>
        <w:rPr>
          <w:rFonts w:ascii="Calibri" w:hAnsi="Calibri"/>
          <w:sz w:val="20"/>
        </w:rPr>
        <w:t>Fleet capex representation and warranty.</w:t>
      </w:r>
    </w:p>
    <w:p>
      <w:pPr>
        <w:pStyle w:val="ListBullet"/>
        <w:spacing w:before="20" w:after="20"/>
      </w:pPr>
      <w:r>
        <w:rPr>
          <w:rFonts w:ascii="Calibri" w:hAnsi="Calibri"/>
          <w:sz w:val="20"/>
        </w:rPr>
        <w:t>NLRB/labor relations representation and warranty.</w:t>
      </w:r>
    </w:p>
    <w:p>
      <w:pPr>
        <w:pStyle w:val="ListBullet"/>
        <w:spacing w:before="20" w:after="20"/>
      </w:pPr>
      <w:r>
        <w:rPr>
          <w:rFonts w:ascii="Calibri" w:hAnsi="Calibri"/>
          <w:sz w:val="20"/>
        </w:rPr>
        <w:t>Single-trigger severance ($2.625M) treated as Transaction Expense.</w:t>
      </w:r>
    </w:p>
    <w:p>
      <w:pPr>
        <w:pStyle w:val="ListBullet"/>
        <w:spacing w:before="20" w:after="20"/>
      </w:pPr>
      <w:r>
        <w:rPr>
          <w:rFonts w:ascii="Calibri" w:hAnsi="Calibri"/>
          <w:sz w:val="20"/>
        </w:rPr>
        <w:t>Earnout structure tied to DOE contract ceiling modification or renewal.</w:t>
      </w:r>
    </w:p>
    <w:p>
      <w:pPr>
        <w:pStyle w:val="ListBullet"/>
        <w:spacing w:before="20" w:after="20"/>
      </w:pPr>
      <w:r>
        <w:rPr>
          <w:rFonts w:ascii="Calibri" w:hAnsi="Calibri"/>
          <w:sz w:val="20"/>
        </w:rPr>
        <w:t>Adjusted EBITDA definition and purchase price adjustment mechanism.</w:t>
      </w:r>
    </w:p>
    <w:p>
      <w:pPr>
        <w:spacing w:before="120" w:after="120"/>
        <w:pBdr>
          <w:bottom w:val="single" w:sz="6" w:space="1" w:color="1F3864"/>
        </w:pBdr>
      </w:pPr>
    </w:p>
    <w:p>
      <w:pPr>
        <w:spacing w:before="0" w:after="80"/>
      </w:pPr>
      <w:r>
        <w:rPr>
          <w:rFonts w:ascii="Calibri" w:hAnsi="Calibri"/>
          <w:b w:val="0"/>
          <w:i/>
          <w:color w:val="404040"/>
          <w:sz w:val="18"/>
        </w:rPr>
        <w:t>This memorandum is based solely on the data room documents provided and does not constitute legal advice. All findings should be independently verified by Buyer legal, financial, and technical advisors. This document is protected by attorney-client privilege and the work product doctrine.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