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2" w:name="due-diligence-red-flag-memorandum"/>
    <w:p>
      <w:pPr>
        <w:pStyle w:val="Heading1"/>
      </w:pPr>
      <w:r>
        <w:t xml:space="preserve">Due Diligence Red Flag Memorandum</w:t>
      </w:r>
    </w:p>
    <w:p>
      <w:pPr>
        <w:pStyle w:val="FirstParagraph"/>
      </w:pPr>
      <w:r>
        <w:rPr>
          <w:b/>
          <w:bCs/>
        </w:rPr>
        <w:t xml:space="preserve">Project Ridgeline — Proposed Acquisition of Ridgeline Environmental Services, Inc.</w:t>
      </w:r>
    </w:p>
    <w:p>
      <w:pPr>
        <w:pStyle w:val="BodyText"/>
      </w:pPr>
      <w:r>
        <w:rPr>
          <w:b/>
          <w:bCs/>
        </w:rPr>
        <w:t xml:space="preserve">Prepared for:</w:t>
      </w:r>
      <w:r>
        <w:t xml:space="preserve"> </w:t>
      </w:r>
      <w:r>
        <w:t xml:space="preserve">Sycamore Capital Partners, LP</w:t>
      </w:r>
      <w:r>
        <w:br/>
      </w:r>
      <w:r>
        <w:rPr>
          <w:b/>
          <w:bCs/>
        </w:rPr>
        <w:t xml:space="preserve">Prepared by:</w:t>
      </w:r>
      <w:r>
        <w:t xml:space="preserve"> </w:t>
      </w:r>
      <w:r>
        <w:t xml:space="preserve">Deal Team / Thornfield &amp; Associates LLP</w:t>
      </w:r>
      <w:r>
        <w:br/>
      </w:r>
      <w:r>
        <w:rPr>
          <w:b/>
          <w:bCs/>
        </w:rPr>
        <w:t xml:space="preserve">Date:</w:t>
      </w:r>
      <w:r>
        <w:t xml:space="preserve"> </w:t>
      </w:r>
      <w:r>
        <w:t xml:space="preserve">December 2024</w:t>
      </w:r>
      <w:r>
        <w:br/>
      </w:r>
      <w:r>
        <w:rPr>
          <w:b/>
          <w:bCs/>
        </w:rPr>
        <w:t xml:space="preserve">Classification:</w:t>
      </w:r>
      <w:r>
        <w:t xml:space="preserve"> </w:t>
      </w:r>
      <w:r>
        <w:t xml:space="preserve">Confidential — Attorney-Client Privileged</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summarizes material red flags and diligence concerns identified across thirteen data room documents reviewed in connection with the proposed acquisition of 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 by Sycamore Capital Partners, LP (</w:t>
      </w:r>
      <w:r>
        <w:t xml:space="preserve">“</w:t>
      </w:r>
      <w:r>
        <w:t xml:space="preserve">Buyer</w:t>
      </w:r>
      <w:r>
        <w:t xml:space="preserve">”</w:t>
      </w:r>
      <w:r>
        <w:t xml:space="preserve">). The proposed transaction is structured as a 100% stock acquisition at an indicative enterprise value of $182–$205 million (8.0x–9.0x FY2024 Adjusted EBITDA of $22.8M per the CIM).</w:t>
      </w:r>
    </w:p>
    <w:p>
      <w:pPr>
        <w:pStyle w:val="BodyText"/>
      </w:pPr>
      <w:r>
        <w:t xml:space="preserve">Our review has identified</w:t>
      </w:r>
      <w:r>
        <w:t xml:space="preserve"> </w:t>
      </w:r>
      <w:r>
        <w:rPr>
          <w:b/>
          <w:bCs/>
        </w:rPr>
        <w:t xml:space="preserve">twenty-two (22) discrete red flags</w:t>
      </w:r>
      <w:r>
        <w:t xml:space="preserve"> </w:t>
      </w:r>
      <w:r>
        <w:t xml:space="preserve">spanning six categories: (1) Financial / Quality of Earnings, (2) Environmental &amp; Regulatory, (3) Commercial Contracts &amp; Revenue Sustainability, (4) Debt &amp; Capital Structure, (5) Real Property &amp; Permitting, and (6) Human Capital &amp; Employment. Several of these issues are individually material and, in combination, could warrant a meaningful reduction to the purchase price, enhanced indemnification protections, or, in the most severe scenarios, reconsideration of the transaction structure.</w:t>
      </w:r>
    </w:p>
    <w:p>
      <w:pPr>
        <w:pStyle w:val="BodyText"/>
      </w:pPr>
      <w:r>
        <w:t xml:space="preserve">The most critical issues requiring immediate attention are:</w:t>
      </w:r>
    </w:p>
    <w:p>
      <w:pPr>
        <w:pStyle w:val="Compact"/>
        <w:numPr>
          <w:ilvl w:val="0"/>
          <w:numId w:val="1001"/>
        </w:numPr>
      </w:pPr>
      <w:r>
        <w:rPr>
          <w:b/>
          <w:bCs/>
        </w:rPr>
        <w:t xml:space="preserve">EBITDA overstatement and internal inconsistency</w:t>
      </w:r>
      <w:r>
        <w:t xml:space="preserve"> </w:t>
      </w:r>
      <w:r>
        <w:t xml:space="preserve">— management’s Adjusted EBITDA of $22.8M (CIM) conflicts with the QoE data room figure of $23.8M, a $1.0M unexplained discrepancy; the aggregate $5.4M add-back package includes items of questionable quality.</w:t>
      </w:r>
    </w:p>
    <w:p>
      <w:pPr>
        <w:pStyle w:val="Compact"/>
        <w:numPr>
          <w:ilvl w:val="0"/>
          <w:numId w:val="1001"/>
        </w:numPr>
      </w:pPr>
      <w:r>
        <w:rPr>
          <w:b/>
          <w:bCs/>
        </w:rPr>
        <w:t xml:space="preserve">DOE IDIQ ceiling exhaustion</w:t>
      </w:r>
      <w:r>
        <w:t xml:space="preserve"> </w:t>
      </w:r>
      <w:r>
        <w:t xml:space="preserve">— the Company’s largest customer (19.2% of revenue) is projected to exhaust its $45M contract ceiling by April–May 2025, creating a potential $12.1M+ revenue headwind in FY2025.</w:t>
      </w:r>
    </w:p>
    <w:p>
      <w:pPr>
        <w:pStyle w:val="Compact"/>
        <w:numPr>
          <w:ilvl w:val="0"/>
          <w:numId w:val="1001"/>
        </w:numPr>
      </w:pPr>
      <w:r>
        <w:rPr>
          <w:b/>
          <w:bCs/>
        </w:rPr>
        <w:t xml:space="preserve">Grand Junction environmental contamination</w:t>
      </w:r>
      <w:r>
        <w:t xml:space="preserve"> </w:t>
      </w:r>
      <w:r>
        <w:t xml:space="preserve">— the 2019 Phase II ESA (now five years stale) identified PCE/TCE and petroleum hydrocarbon contamination with a $1.8–$2.6M remediation estimate that excludes vapor intrusion mitigation, off-site plume migration, and inflation escalation; no updated assessment has been performed.</w:t>
      </w:r>
    </w:p>
    <w:p>
      <w:pPr>
        <w:pStyle w:val="Compact"/>
        <w:numPr>
          <w:ilvl w:val="0"/>
          <w:numId w:val="1001"/>
        </w:numPr>
      </w:pPr>
      <w:r>
        <w:rPr>
          <w:b/>
          <w:bCs/>
        </w:rPr>
        <w:t xml:space="preserve">Salt Lake City lease and permit double jeopardy</w:t>
      </w:r>
      <w:r>
        <w:t xml:space="preserve"> </w:t>
      </w:r>
      <w:r>
        <w:t xml:space="preserve">— the SLC transfer station lease (serving ~$16.2M of revenue) has an unresolved landlord consent from the 2022 Pinnacle acquisition, and the facility’s RCRA-equivalent permit remains in Pinnacle’s name; the proposed transaction would layer a second change-of-control event on top of the unresolved first.</w:t>
      </w:r>
    </w:p>
    <w:p>
      <w:pPr>
        <w:pStyle w:val="Compact"/>
        <w:numPr>
          <w:ilvl w:val="0"/>
          <w:numId w:val="1001"/>
        </w:numPr>
      </w:pPr>
      <w:r>
        <w:rPr>
          <w:b/>
          <w:bCs/>
        </w:rPr>
        <w:t xml:space="preserve">Mandatory credit facility prepayment</w:t>
      </w:r>
      <w:r>
        <w:t xml:space="preserve"> </w:t>
      </w:r>
      <w:r>
        <w:t xml:space="preserve">— the $38.7M senior secured credit facility triggers mandatory full prepayment within five business days of closing, plus a $263K prepayment premium; no waiver mechanism exists.</w:t>
      </w:r>
    </w:p>
    <w:p>
      <w:pPr>
        <w:pStyle w:val="Compact"/>
        <w:numPr>
          <w:ilvl w:val="0"/>
          <w:numId w:val="1001"/>
        </w:numPr>
      </w:pPr>
      <w:r>
        <w:rPr>
          <w:b/>
          <w:bCs/>
        </w:rPr>
        <w:t xml:space="preserve">Single-trigger CoC severance</w:t>
      </w:r>
      <w:r>
        <w:t xml:space="preserve"> </w:t>
      </w:r>
      <w:r>
        <w:t xml:space="preserve">— the Calloway brothers’ employment agreements require $2.625M in cash severance payments at closing regardless of post-closing employment status.</w:t>
      </w:r>
    </w:p>
    <w:p>
      <w:r>
        <w:pict>
          <v:rect style="width:0;height:1.5pt" o:hralign="center" o:hrstd="t" o:hr="t"/>
        </w:pict>
      </w:r>
    </w:p>
    <w:bookmarkEnd w:id="21"/>
    <w:bookmarkStart w:id="27" w:name="Xa709885988c74db5fae99ace2cd3c0c33e0bb14"/>
    <w:p>
      <w:pPr>
        <w:pStyle w:val="Heading2"/>
      </w:pPr>
      <w:r>
        <w:t xml:space="preserve">Section 1: Financial / Quality of Earnings Red Flags</w:t>
      </w:r>
    </w:p>
    <w:bookmarkStart w:id="22" w:name="X0f2fbe8d31f68cb04a1f0f3c666f9a6c7432e9d"/>
    <w:p>
      <w:pPr>
        <w:pStyle w:val="Heading3"/>
      </w:pPr>
      <w:r>
        <w:t xml:space="preserve">RF-01 | EBITDA Discrepancy Between CIM and QoE Data Package — $1.0M Unexplained Gap</w:t>
      </w:r>
    </w:p>
    <w:p>
      <w:pPr>
        <w:pStyle w:val="FirstParagraph"/>
      </w:pPr>
      <w:r>
        <w:rPr>
          <w:b/>
          <w:bCs/>
        </w:rPr>
        <w:t xml:space="preserve">Severity: HIGH</w:t>
      </w:r>
    </w:p>
    <w:p>
      <w:pPr>
        <w:pStyle w:val="BodyText"/>
      </w:pPr>
      <w:r>
        <w:t xml:space="preserve">The CIM presents FY2024 Adjusted EBITDA of</w:t>
      </w:r>
      <w:r>
        <w:t xml:space="preserve"> </w:t>
      </w:r>
      <w:r>
        <w:rPr>
          <w:b/>
          <w:bCs/>
        </w:rPr>
        <w:t xml:space="preserve">$22.8M</w:t>
      </w:r>
      <w:r>
        <w:t xml:space="preserve">, while the QoE data request response (EBITDA Bridge tab) shows Management Adjusted EBITDA of</w:t>
      </w:r>
      <w:r>
        <w:t xml:space="preserve"> </w:t>
      </w:r>
      <w:r>
        <w:rPr>
          <w:b/>
          <w:bCs/>
        </w:rPr>
        <w:t xml:space="preserve">$23.8M</w:t>
      </w:r>
      <w:r>
        <w:t xml:space="preserve"> </w:t>
      </w:r>
      <w:r>
        <w:t xml:space="preserve">— a $1.0M discrepancy. Management acknowledges the gap in the QoE workbook but states the specific adjustment category causing the discrepancy</w:t>
      </w:r>
      <w:r>
        <w:t xml:space="preserve"> </w:t>
      </w:r>
      <w:r>
        <w:t xml:space="preserve">“</w:t>
      </w:r>
      <w:r>
        <w:t xml:space="preserve">has not been identified.</w:t>
      </w:r>
      <w:r>
        <w:t xml:space="preserve">”</w:t>
      </w:r>
      <w:r>
        <w:t xml:space="preserve"> </w:t>
      </w:r>
      <w:r>
        <w:t xml:space="preserve">This is a significant red flag: the metric on which the entire $182–$205M enterprise value is anchored has not been reconciled by the seller’s own team. The Bridgewater Forsyth Group QoE engagement should be required to resolve this discrepancy before any binding valuation is agreed.</w:t>
      </w:r>
    </w:p>
    <w:p>
      <w:pPr>
        <w:pStyle w:val="BodyText"/>
      </w:pPr>
      <w:r>
        <w:t xml:space="preserve">Additionally, the CIM’s reported EBITDA starting point of $18.4M is inconsistent with the QoE P&amp;L tab, which shows FY2024 Reported EBITDA of $26.0M (including D&amp;A add-back). Management appears to be presenting</w:t>
      </w:r>
      <w:r>
        <w:t xml:space="preserve"> </w:t>
      </w:r>
      <w:r>
        <w:t xml:space="preserve">“</w:t>
      </w:r>
      <w:r>
        <w:t xml:space="preserve">EBITDA</w:t>
      </w:r>
      <w:r>
        <w:t xml:space="preserve">”</w:t>
      </w:r>
      <w:r>
        <w:t xml:space="preserve"> </w:t>
      </w:r>
      <w:r>
        <w:t xml:space="preserve">in the CIM as EBIT plus a partial D&amp;A add-back, creating further confusion. A clean, audited EBITDA bridge is required.</w:t>
      </w:r>
    </w:p>
    <w:p>
      <w:pPr>
        <w:pStyle w:val="BodyText"/>
      </w:pPr>
      <w:r>
        <w:rPr>
          <w:b/>
          <w:bCs/>
        </w:rPr>
        <w:t xml:space="preserve">Action Required:</w:t>
      </w:r>
      <w:r>
        <w:t xml:space="preserve"> </w:t>
      </w:r>
      <w:r>
        <w:t xml:space="preserve">Demand a fully reconciled, line-item EBITDA bridge signed by the CFO and confirmed by Bridgewater Forsyth Group before proceeding to LOI finalization.</w:t>
      </w:r>
    </w:p>
    <w:p>
      <w:r>
        <w:pict>
          <v:rect style="width:0;height:1.5pt" o:hralign="center" o:hrstd="t" o:hr="t"/>
        </w:pict>
      </w:r>
    </w:p>
    <w:bookmarkEnd w:id="22"/>
    <w:bookmarkStart w:id="23" w:name="Xe2104406f63d951ffe8029d91fdbb23efe55db6"/>
    <w:p>
      <w:pPr>
        <w:pStyle w:val="Heading3"/>
      </w:pPr>
      <w:r>
        <w:t xml:space="preserve">RF-02 | Aggressive and Potentially Non-Recurring EBITDA Add-Backs ($5.4M Aggregate)</w:t>
      </w:r>
    </w:p>
    <w:p>
      <w:pPr>
        <w:pStyle w:val="FirstParagraph"/>
      </w:pPr>
      <w:r>
        <w:rPr>
          <w:b/>
          <w:bCs/>
        </w:rPr>
        <w:t xml:space="preserve">Severity: HIGH</w:t>
      </w:r>
    </w:p>
    <w:p>
      <w:pPr>
        <w:pStyle w:val="BodyText"/>
      </w:pPr>
      <w:r>
        <w:t xml:space="preserve">Management’s $5.4M aggregate add-back package includes several items that are either recurring in nature, of questionable quality, or expressly excluded under the bank’s Consolidated EBITDA definition: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Add-Back</w:t>
            </w:r>
          </w:p>
        </w:tc>
        <w:tc>
          <w:tcPr/>
          <w:p>
            <w:pPr>
              <w:pStyle w:val="Compact"/>
              <w:jc w:val="left"/>
            </w:pPr>
            <w:r>
              <w:t xml:space="preserve">Amount</w:t>
            </w:r>
          </w:p>
        </w:tc>
        <w:tc>
          <w:tcPr/>
          <w:p>
            <w:pPr>
              <w:pStyle w:val="Compact"/>
              <w:jc w:val="left"/>
            </w:pPr>
            <w:r>
              <w:t xml:space="preserve">Concern</w:t>
            </w:r>
          </w:p>
        </w:tc>
      </w:tr>
      <w:tr>
        <w:tc>
          <w:tcPr/>
          <w:p>
            <w:pPr>
              <w:pStyle w:val="Compact"/>
              <w:jc w:val="left"/>
            </w:pPr>
            <w:r>
              <w:t xml:space="preserve">Litigation settlement (Clearwater Logistics)</w:t>
            </w:r>
          </w:p>
        </w:tc>
        <w:tc>
          <w:tcPr/>
          <w:p>
            <w:pPr>
              <w:pStyle w:val="Compact"/>
              <w:jc w:val="left"/>
            </w:pPr>
            <w:r>
              <w:t xml:space="preserve">$1.2M</w:t>
            </w:r>
          </w:p>
        </w:tc>
        <w:tc>
          <w:tcPr/>
          <w:p>
            <w:pPr>
              <w:pStyle w:val="Compact"/>
              <w:jc w:val="left"/>
            </w:pPr>
            <w:r>
              <w:t xml:space="preserve">This is a</w:t>
            </w:r>
            <w:r>
              <w:t xml:space="preserve"> </w:t>
            </w:r>
            <w:r>
              <w:rPr>
                <w:b/>
                <w:bCs/>
              </w:rPr>
              <w:t xml:space="preserve">receipt</w:t>
            </w:r>
            <w:r>
              <w:t xml:space="preserve">, not a cost — adding back a one-time cash inflow inflates EBITDA; the QoE workbook mislabels this as a</w:t>
            </w:r>
            <w:r>
              <w:t xml:space="preserve"> </w:t>
            </w:r>
            <w:r>
              <w:t xml:space="preserve">“</w:t>
            </w:r>
            <w:r>
              <w:t xml:space="preserve">Harper Environmental</w:t>
            </w:r>
            <w:r>
              <w:t xml:space="preserve">”</w:t>
            </w:r>
            <w:r>
              <w:t xml:space="preserve"> </w:t>
            </w:r>
            <w:r>
              <w:t xml:space="preserve">settlement, which is a separate, still-pending matter</w:t>
            </w:r>
          </w:p>
        </w:tc>
      </w:tr>
      <w:tr>
        <w:tc>
          <w:tcPr/>
          <w:p>
            <w:pPr>
              <w:pStyle w:val="Compact"/>
              <w:jc w:val="left"/>
            </w:pPr>
            <w:r>
              <w:t xml:space="preserve">Owner compensation normalization</w:t>
            </w:r>
          </w:p>
        </w:tc>
        <w:tc>
          <w:tcPr/>
          <w:p>
            <w:pPr>
              <w:pStyle w:val="Compact"/>
              <w:jc w:val="left"/>
            </w:pPr>
            <w:r>
              <w:t xml:space="preserve">$0.95M</w:t>
            </w:r>
          </w:p>
        </w:tc>
        <w:tc>
          <w:tcPr/>
          <w:p>
            <w:pPr>
              <w:pStyle w:val="Compact"/>
              <w:jc w:val="left"/>
            </w:pPr>
            <w:r>
              <w:t xml:space="preserve">Founders’ salaries of $875K each are being normalized to $400K each; however, post-closing employment terms have not been agreed, and the Calloways’ single-trigger CoC severance means they may not remain; replacement CEO/COO costs could exceed the normalized rate</w:t>
            </w:r>
          </w:p>
        </w:tc>
      </w:tr>
      <w:tr>
        <w:tc>
          <w:tcPr/>
          <w:p>
            <w:pPr>
              <w:pStyle w:val="Compact"/>
              <w:jc w:val="left"/>
            </w:pPr>
            <w:r>
              <w:t xml:space="preserve">ERP implementation costs</w:t>
            </w:r>
          </w:p>
        </w:tc>
        <w:tc>
          <w:tcPr/>
          <w:p>
            <w:pPr>
              <w:pStyle w:val="Compact"/>
              <w:jc w:val="left"/>
            </w:pPr>
            <w:r>
              <w:t xml:space="preserve">$0.65M</w:t>
            </w:r>
          </w:p>
        </w:tc>
        <w:tc>
          <w:tcPr/>
          <w:p>
            <w:pPr>
              <w:pStyle w:val="Compact"/>
              <w:jc w:val="left"/>
            </w:pPr>
            <w:r>
              <w:t xml:space="preserve">Phase 2 of the ERP implementation is described as</w:t>
            </w:r>
            <w:r>
              <w:t xml:space="preserve"> </w:t>
            </w:r>
            <w:r>
              <w:t xml:space="preserve">“</w:t>
            </w:r>
            <w:r>
              <w:t xml:space="preserve">expected to be completed Q2 FY2025,</w:t>
            </w:r>
            <w:r>
              <w:t xml:space="preserve">”</w:t>
            </w:r>
            <w:r>
              <w:t xml:space="preserve"> </w:t>
            </w:r>
            <w:r>
              <w:t xml:space="preserve">suggesting ongoing costs post-closing</w:t>
            </w:r>
          </w:p>
        </w:tc>
      </w:tr>
      <w:tr>
        <w:tc>
          <w:tcPr/>
          <w:p>
            <w:pPr>
              <w:pStyle w:val="Compact"/>
              <w:jc w:val="left"/>
            </w:pPr>
            <w:r>
              <w:t xml:space="preserve">Pinnacle integration costs</w:t>
            </w:r>
          </w:p>
        </w:tc>
        <w:tc>
          <w:tcPr/>
          <w:p>
            <w:pPr>
              <w:pStyle w:val="Compact"/>
              <w:jc w:val="left"/>
            </w:pPr>
            <w:r>
              <w:t xml:space="preserve">$0.80M</w:t>
            </w:r>
          </w:p>
        </w:tc>
        <w:tc>
          <w:tcPr/>
          <w:p>
            <w:pPr>
              <w:pStyle w:val="Compact"/>
              <w:jc w:val="left"/>
            </w:pPr>
            <w:r>
              <w:t xml:space="preserve">Integration began in March 2022 — costs incurred 2.5 years post-acquisition are difficult to characterize as non-recurring; the SLC permit transfer remains incomplete</w:t>
            </w:r>
          </w:p>
        </w:tc>
      </w:tr>
      <w:tr>
        <w:tc>
          <w:tcPr/>
          <w:p>
            <w:pPr>
              <w:pStyle w:val="Compact"/>
              <w:jc w:val="left"/>
            </w:pPr>
            <w:r>
              <w:t xml:space="preserve">Asbestos wind-down costs</w:t>
            </w:r>
          </w:p>
        </w:tc>
        <w:tc>
          <w:tcPr/>
          <w:p>
            <w:pPr>
              <w:pStyle w:val="Compact"/>
              <w:jc w:val="left"/>
            </w:pPr>
            <w:r>
              <w:t xml:space="preserve">$1.80M</w:t>
            </w:r>
          </w:p>
        </w:tc>
        <w:tc>
          <w:tcPr/>
          <w:p>
            <w:pPr>
              <w:pStyle w:val="Compact"/>
              <w:jc w:val="left"/>
            </w:pPr>
            <w:r>
              <w:t xml:space="preserve">Legitimate non-recurring item, but the litigation summary discloses two open workers’ compensation claims from former asbestos employees and potential long-tail exposure pre-dating the January 1, 2015 PLL retroactive date</w:t>
            </w:r>
          </w:p>
        </w:tc>
      </w:tr>
    </w:tbl>
    <w:p>
      <w:pPr>
        <w:pStyle w:val="BodyText"/>
      </w:pPr>
      <w:r>
        <w:rPr>
          <w:b/>
          <w:bCs/>
        </w:rPr>
        <w:t xml:space="preserve">Action Required:</w:t>
      </w:r>
      <w:r>
        <w:t xml:space="preserve"> </w:t>
      </w:r>
      <w:r>
        <w:t xml:space="preserve">Challenge each add-back category with Bridgewater Forsyth Group; obtain independent confirmation of the litigation settlement characterization; require disclosure of all post-closing ERP expenditure commitments.</w:t>
      </w:r>
    </w:p>
    <w:p>
      <w:r>
        <w:pict>
          <v:rect style="width:0;height:1.5pt" o:hralign="center" o:hrstd="t" o:hr="t"/>
        </w:pict>
      </w:r>
    </w:p>
    <w:bookmarkEnd w:id="23"/>
    <w:bookmarkStart w:id="24" w:name="X9445118cedfa63236e19dc2f71ba592dda5a942"/>
    <w:p>
      <w:pPr>
        <w:pStyle w:val="Heading3"/>
      </w:pPr>
      <w:r>
        <w:t xml:space="preserve">RF-03 | Reported EBITDA Declined 27% Year-Over-Year in FY2024</w:t>
      </w:r>
    </w:p>
    <w:p>
      <w:pPr>
        <w:pStyle w:val="FirstParagraph"/>
      </w:pPr>
      <w:r>
        <w:rPr>
          <w:b/>
          <w:bCs/>
        </w:rPr>
        <w:t xml:space="preserve">Severity: MEDIUM-HIGH</w:t>
      </w:r>
    </w:p>
    <w:p>
      <w:pPr>
        <w:pStyle w:val="BodyText"/>
      </w:pPr>
      <w:r>
        <w:t xml:space="preserve">The QoE P&amp;L tab shows FY2024 Reported EBITDA of $26.0M versus $25.2M in FY2023 on a gross basis — but management’s own presentation shows Reported EBITDA of $18.4M for FY2024, a</w:t>
      </w:r>
      <w:r>
        <w:t xml:space="preserve"> </w:t>
      </w:r>
      <w:r>
        <w:rPr>
          <w:b/>
          <w:bCs/>
        </w:rPr>
        <w:t xml:space="preserve">27% decline</w:t>
      </w:r>
      <w:r>
        <w:t xml:space="preserve"> </w:t>
      </w:r>
      <w:r>
        <w:t xml:space="preserve">from FY2023’s $25.2M. This dramatic decline is obscured in the CIM by the $5.4M adjustment package. The underlying business generated significantly less cash earnings in FY2024 than in FY2023, even as revenue grew 11%. Margin compression at the EBITDA level warrants detailed explanation.</w:t>
      </w:r>
    </w:p>
    <w:p>
      <w:pPr>
        <w:pStyle w:val="BodyText"/>
      </w:pPr>
      <w:r>
        <w:rPr>
          <w:b/>
          <w:bCs/>
        </w:rPr>
        <w:t xml:space="preserve">Action Required:</w:t>
      </w:r>
      <w:r>
        <w:t xml:space="preserve"> </w:t>
      </w:r>
      <w:r>
        <w:t xml:space="preserve">Obtain a full reconciliation of the FY2023-to-FY2024 EBITDA bridge on a reported (unadjusted) basis; understand the drivers of margin compression.</w:t>
      </w:r>
    </w:p>
    <w:p>
      <w:r>
        <w:pict>
          <v:rect style="width:0;height:1.5pt" o:hralign="center" o:hrstd="t" o:hr="t"/>
        </w:pict>
      </w:r>
    </w:p>
    <w:bookmarkEnd w:id="24"/>
    <w:bookmarkStart w:id="25" w:name="X2a35a8623d4fe16c200c417ebb6465e9e981d08"/>
    <w:p>
      <w:pPr>
        <w:pStyle w:val="Heading3"/>
      </w:pPr>
      <w:r>
        <w:t xml:space="preserve">RF-04 | Fleet Replacement Backlog — Understated Maintenance Capex</w:t>
      </w:r>
    </w:p>
    <w:p>
      <w:pPr>
        <w:pStyle w:val="FirstParagraph"/>
      </w:pPr>
      <w:r>
        <w:rPr>
          <w:b/>
          <w:bCs/>
        </w:rPr>
        <w:t xml:space="preserve">Severity: MEDIUM-HIGH</w:t>
      </w:r>
    </w:p>
    <w:p>
      <w:pPr>
        <w:pStyle w:val="BodyText"/>
      </w:pPr>
      <w:r>
        <w:t xml:space="preserve">The Fleet &amp; Equipment Schedule reveals that</w:t>
      </w:r>
      <w:r>
        <w:t xml:space="preserve"> </w:t>
      </w:r>
      <w:r>
        <w:rPr>
          <w:b/>
          <w:bCs/>
        </w:rPr>
        <w:t xml:space="preserve">38 of 85 fleet assets (44.7%) are at or past their stated useful life</w:t>
      </w:r>
      <w:r>
        <w:t xml:space="preserve">, with an average fleet age of 8.2 years against a 7.0-year useful life. The estimated replacement cost for past-useful-life units is</w:t>
      </w:r>
      <w:r>
        <w:t xml:space="preserve"> </w:t>
      </w:r>
      <w:r>
        <w:rPr>
          <w:b/>
          <w:bCs/>
        </w:rPr>
        <w:t xml:space="preserve">$9.8M</w:t>
      </w:r>
      <w:r>
        <w:t xml:space="preserve">. Management’s normalized maintenance capex estimate of $4.0–$4.5M per year is materially understated relative to the deferred replacement backlog. Spreading the $9.8M backlog over three years implies approximately $3.3M per year in catch-up capex above the stated run-rate, bringing true normalized maintenance capex to approximately $7.3–$7.8M annually. This has a direct impact on free cash flow and the implied purchase price multiple.</w:t>
      </w:r>
    </w:p>
    <w:p>
      <w:pPr>
        <w:pStyle w:val="BodyText"/>
      </w:pPr>
      <w:r>
        <w:rPr>
          <w:b/>
          <w:bCs/>
        </w:rPr>
        <w:t xml:space="preserve">Action Required:</w:t>
      </w:r>
      <w:r>
        <w:t xml:space="preserve"> </w:t>
      </w:r>
      <w:r>
        <w:t xml:space="preserve">Commission an independent fleet condition assessment; adjust the normalized maintenance capex assumption in the financial model; negotiate a purchase price reduction or escrow holdback to address the deferred replacement backlog.</w:t>
      </w:r>
    </w:p>
    <w:p>
      <w:r>
        <w:pict>
          <v:rect style="width:0;height:1.5pt" o:hralign="center" o:hrstd="t" o:hr="t"/>
        </w:pict>
      </w:r>
    </w:p>
    <w:bookmarkEnd w:id="25"/>
    <w:bookmarkStart w:id="26" w:name="X54c72286fd3bbba9578bf0895362e5f6d28a95e"/>
    <w:p>
      <w:pPr>
        <w:pStyle w:val="Heading3"/>
      </w:pPr>
      <w:r>
        <w:t xml:space="preserve">RF-05 | Financial Statements Not Audited for FY2024; Prior Auditor Change</w:t>
      </w:r>
    </w:p>
    <w:p>
      <w:pPr>
        <w:pStyle w:val="FirstParagraph"/>
      </w:pPr>
      <w:r>
        <w:rPr>
          <w:b/>
          <w:bCs/>
        </w:rPr>
        <w:t xml:space="preserve">Severity: MEDIUM</w:t>
      </w:r>
    </w:p>
    <w:p>
      <w:pPr>
        <w:pStyle w:val="BodyText"/>
      </w:pPr>
      <w:r>
        <w:t xml:space="preserve">The CIM discloses that financial statements are</w:t>
      </w:r>
      <w:r>
        <w:t xml:space="preserve"> </w:t>
      </w:r>
      <w:r>
        <w:t xml:space="preserve">“</w:t>
      </w:r>
      <w:r>
        <w:t xml:space="preserve">reviewed</w:t>
      </w:r>
      <w:r>
        <w:t xml:space="preserve">”</w:t>
      </w:r>
      <w:r>
        <w:t xml:space="preserve"> </w:t>
      </w:r>
      <w:r>
        <w:t xml:space="preserve">(not audited) by Hansen &amp; Whitfield, CPAs of Grand Junction. The QoE cover sheet confirms FY2024 is</w:t>
      </w:r>
      <w:r>
        <w:t xml:space="preserve"> </w:t>
      </w:r>
      <w:r>
        <w:t xml:space="preserve">“</w:t>
      </w:r>
      <w:r>
        <w:t xml:space="preserve">reviewed (unaudited).</w:t>
      </w:r>
      <w:r>
        <w:t xml:space="preserve">”</w:t>
      </w:r>
      <w:r>
        <w:t xml:space="preserve"> </w:t>
      </w:r>
      <w:r>
        <w:t xml:space="preserve">The LOI requires delivery of audited financial statements for FY2022, FY2023, and FY2024 as a closing condition. Additionally, the QoE cover sheet references Plante Moran PLLC as auditor for FY2020–FY2023, while the CIM references Hansen &amp; Whitfield — suggesting an auditor change occurred. Auditor changes mid-process can signal disagreements over accounting treatment.</w:t>
      </w:r>
    </w:p>
    <w:p>
      <w:pPr>
        <w:pStyle w:val="BodyText"/>
      </w:pPr>
      <w:r>
        <w:rPr>
          <w:b/>
          <w:bCs/>
        </w:rPr>
        <w:t xml:space="preserve">Action Required:</w:t>
      </w:r>
      <w:r>
        <w:t xml:space="preserve"> </w:t>
      </w:r>
      <w:r>
        <w:t xml:space="preserve">Confirm the auditor change and obtain the reason for the transition; require FY2024 audited financials (not merely reviewed) as a pre-signing condition, not merely a closing condition.</w:t>
      </w:r>
    </w:p>
    <w:p>
      <w:r>
        <w:pict>
          <v:rect style="width:0;height:1.5pt" o:hralign="center" o:hrstd="t" o:hr="t"/>
        </w:pict>
      </w:r>
    </w:p>
    <w:bookmarkEnd w:id="26"/>
    <w:bookmarkEnd w:id="27"/>
    <w:bookmarkStart w:id="33" w:name="X454e0c4e74486b444b45393db28c9ad90424fa8"/>
    <w:p>
      <w:pPr>
        <w:pStyle w:val="Heading2"/>
      </w:pPr>
      <w:r>
        <w:t xml:space="preserve">Section 2: Environmental &amp; Regulatory Red Flags</w:t>
      </w:r>
    </w:p>
    <w:bookmarkStart w:id="28" w:name="X0b283d0be6e54f264f5350bc395021cb57f5b73"/>
    <w:p>
      <w:pPr>
        <w:pStyle w:val="Heading3"/>
      </w:pPr>
      <w:r>
        <w:t xml:space="preserve">RF-06 | Grand Junction Phase II ESA Is Five Years Stale — Contamination Scope Likely Understated</w:t>
      </w:r>
    </w:p>
    <w:p>
      <w:pPr>
        <w:pStyle w:val="FirstParagraph"/>
      </w:pPr>
      <w:r>
        <w:rPr>
          <w:b/>
          <w:bCs/>
        </w:rPr>
        <w:t xml:space="preserve">Severity: HIGH</w:t>
      </w:r>
    </w:p>
    <w:p>
      <w:pPr>
        <w:pStyle w:val="BodyText"/>
      </w:pPr>
      <w:r>
        <w:t xml:space="preserve">The Phase II ESA was completed in</w:t>
      </w:r>
      <w:r>
        <w:t xml:space="preserve"> </w:t>
      </w:r>
      <w:r>
        <w:rPr>
          <w:b/>
          <w:bCs/>
        </w:rPr>
        <w:t xml:space="preserve">June 2019</w:t>
      </w:r>
      <w:r>
        <w:t xml:space="preserve"> </w:t>
      </w:r>
      <w:r>
        <w:t xml:space="preserve">— over five years ago. The ESA identified:</w:t>
      </w:r>
    </w:p>
    <w:p>
      <w:pPr>
        <w:pStyle w:val="Compact"/>
        <w:numPr>
          <w:ilvl w:val="0"/>
          <w:numId w:val="1002"/>
        </w:numPr>
      </w:pPr>
      <w:r>
        <w:rPr>
          <w:b/>
          <w:bCs/>
        </w:rPr>
        <w:t xml:space="preserve">Petroleum hydrocarbons</w:t>
      </w:r>
      <w:r>
        <w:t xml:space="preserve"> </w:t>
      </w:r>
      <w:r>
        <w:t xml:space="preserve">(TPH-diesel up to 4,200 mg/kg; benzene in groundwater at 12 µg/L, exceeding the 5 µg/L Colorado standard) in the former UST area</w:t>
      </w:r>
    </w:p>
    <w:p>
      <w:pPr>
        <w:pStyle w:val="Compact"/>
        <w:numPr>
          <w:ilvl w:val="0"/>
          <w:numId w:val="1002"/>
        </w:numPr>
      </w:pPr>
      <w:r>
        <w:rPr>
          <w:b/>
          <w:bCs/>
        </w:rPr>
        <w:t xml:space="preserve">Chlorinated solvents</w:t>
      </w:r>
      <w:r>
        <w:t xml:space="preserve"> </w:t>
      </w:r>
      <w:r>
        <w:t xml:space="preserve">(PCE up to 18 mg/kg in soil; PCE at 22 µg/L and TCE at 8.7 µg/L in groundwater, both exceeding Colorado standards) in the former degreasing area</w:t>
      </w:r>
    </w:p>
    <w:p>
      <w:pPr>
        <w:pStyle w:val="Compact"/>
        <w:numPr>
          <w:ilvl w:val="0"/>
          <w:numId w:val="1002"/>
        </w:numPr>
      </w:pPr>
      <w:r>
        <w:rPr>
          <w:b/>
          <w:bCs/>
        </w:rPr>
        <w:t xml:space="preserve">Vapor intrusion risk</w:t>
      </w:r>
      <w:r>
        <w:t xml:space="preserve"> </w:t>
      </w:r>
      <w:r>
        <w:t xml:space="preserve">at the eastern vehicle maintenance building (PCE at 450 µg/m³ and TCE at 120 µg/m³ in soil gas, both exceeding EPA RSLs) —</w:t>
      </w:r>
      <w:r>
        <w:t xml:space="preserve"> </w:t>
      </w:r>
      <w:r>
        <w:rPr>
          <w:b/>
          <w:bCs/>
        </w:rPr>
        <w:t xml:space="preserve">no vapor intrusion assessment has been performed</w:t>
      </w:r>
    </w:p>
    <w:p>
      <w:pPr>
        <w:pStyle w:val="Compact"/>
        <w:numPr>
          <w:ilvl w:val="0"/>
          <w:numId w:val="1002"/>
        </w:numPr>
      </w:pPr>
      <w:r>
        <w:rPr>
          <w:b/>
          <w:bCs/>
        </w:rPr>
        <w:t xml:space="preserve">Plume containment unconfirmed</w:t>
      </w:r>
      <w:r>
        <w:t xml:space="preserve"> </w:t>
      </w:r>
      <w:r>
        <w:t xml:space="preserve">— no off-site sentinel wells were installed; the ESA explicitly states the plume containment conclusion is</w:t>
      </w:r>
      <w:r>
        <w:t xml:space="preserve"> </w:t>
      </w:r>
      <w:r>
        <w:t xml:space="preserve">“</w:t>
      </w:r>
      <w:r>
        <w:t xml:space="preserve">preliminary</w:t>
      </w:r>
      <w:r>
        <w:t xml:space="preserve">”</w:t>
      </w:r>
    </w:p>
    <w:p>
      <w:pPr>
        <w:pStyle w:val="FirstParagraph"/>
      </w:pPr>
      <w:r>
        <w:t xml:space="preserve">The 2019 remediation cost estimate of</w:t>
      </w:r>
      <w:r>
        <w:t xml:space="preserve"> </w:t>
      </w:r>
      <w:r>
        <w:rPr>
          <w:b/>
          <w:bCs/>
        </w:rPr>
        <w:t xml:space="preserve">$1.8–$2.6M</w:t>
      </w:r>
      <w:r>
        <w:t xml:space="preserve"> </w:t>
      </w:r>
      <w:r>
        <w:t xml:space="preserve">explicitly excludes: (i) vapor intrusion assessment and mitigation, (ii) off-site remediation if plume migration is confirmed, (iii) natural resource damage claims, and (iv) inflation escalation. The ESA authors specifically recommended updating the assessment</w:t>
      </w:r>
      <w:r>
        <w:t xml:space="preserve"> </w:t>
      </w:r>
      <w:r>
        <w:t xml:space="preserve">“</w:t>
      </w:r>
      <w:r>
        <w:t xml:space="preserve">prior to any property transaction.</w:t>
      </w:r>
      <w:r>
        <w:t xml:space="preserve">”</w:t>
      </w:r>
      <w:r>
        <w:t xml:space="preserve"> </w:t>
      </w:r>
      <w:r>
        <w:t xml:space="preserve">No update has been performed. The Company’s balance sheet accrual of $2.2M for Grand Junction (within a $3.2M total) may be materially insufficient.</w:t>
      </w:r>
    </w:p>
    <w:p>
      <w:pPr>
        <w:pStyle w:val="BodyText"/>
      </w:pPr>
      <w:r>
        <w:t xml:space="preserve">The contamination is characterized as resulting from</w:t>
      </w:r>
      <w:r>
        <w:t xml:space="preserve"> </w:t>
      </w:r>
      <w:r>
        <w:rPr>
          <w:b/>
          <w:bCs/>
        </w:rPr>
        <w:t xml:space="preserve">gradual, long-term releases</w:t>
      </w:r>
      <w:r>
        <w:t xml:space="preserve"> </w:t>
      </w:r>
      <w:r>
        <w:t xml:space="preserve">— which is the precise exclusion trigger under the Pollution Legal Liability policy (which covers only sudden and accidental releases discovered within 72 hours). Accordingly,</w:t>
      </w:r>
      <w:r>
        <w:t xml:space="preserve"> </w:t>
      </w:r>
      <w:r>
        <w:rPr>
          <w:b/>
          <w:bCs/>
        </w:rPr>
        <w:t xml:space="preserve">insurance coverage for the Grand Junction remediation is effectively unavailable</w:t>
      </w:r>
      <w:r>
        <w:t xml:space="preserve">.</w:t>
      </w:r>
    </w:p>
    <w:p>
      <w:pPr>
        <w:pStyle w:val="BodyText"/>
      </w:pPr>
      <w:r>
        <w:rPr>
          <w:b/>
          <w:bCs/>
        </w:rPr>
        <w:t xml:space="preserve">Action Required:</w:t>
      </w:r>
      <w:r>
        <w:t xml:space="preserve"> </w:t>
      </w:r>
      <w:r>
        <w:t xml:space="preserve">Commission an updated Phase II ESA and vapor intrusion assessment immediately; obtain independent remediation cost estimate; negotiate a specific environmental escrow or indemnification carve-out with an extended survival period (the LOI contemplates 6-year survival for environmental reps, which is appropriate but may be insufficient given the DNAPL migration risk).</w:t>
      </w:r>
    </w:p>
    <w:p>
      <w:r>
        <w:pict>
          <v:rect style="width:0;height:1.5pt" o:hralign="center" o:hrstd="t" o:hr="t"/>
        </w:pict>
      </w:r>
    </w:p>
    <w:bookmarkEnd w:id="28"/>
    <w:bookmarkStart w:id="29" w:name="Xbabc9b13ab7863088dbae9c9565104e34e7de0b"/>
    <w:p>
      <w:pPr>
        <w:pStyle w:val="Heading3"/>
      </w:pPr>
      <w:r>
        <w:t xml:space="preserve">RF-07 | CDPHE Enforcement Action — Active RCRA Violation at Core Facility</w:t>
      </w:r>
    </w:p>
    <w:p>
      <w:pPr>
        <w:pStyle w:val="FirstParagraph"/>
      </w:pPr>
      <w:r>
        <w:rPr>
          <w:b/>
          <w:bCs/>
        </w:rPr>
        <w:t xml:space="preserve">Severity: MEDIUM-HIGH</w:t>
      </w:r>
    </w:p>
    <w:p>
      <w:pPr>
        <w:pStyle w:val="BodyText"/>
      </w:pPr>
      <w:r>
        <w:t xml:space="preserve">CDPHE issued a Notice of Violation (Docket No. CDPHE-HW-2024-0093) on July 18, 2024, alleging improper storage of approximately 14,000 gallons of F001/F002 listed hazardous waste at the Grand Junction facility. The parties dispute the violation period:</w:t>
      </w:r>
    </w:p>
    <w:p>
      <w:pPr>
        <w:pStyle w:val="Compact"/>
        <w:numPr>
          <w:ilvl w:val="0"/>
          <w:numId w:val="1003"/>
        </w:numPr>
      </w:pPr>
      <w:r>
        <w:rPr>
          <w:b/>
          <w:bCs/>
        </w:rPr>
        <w:t xml:space="preserve">Company position:</w:t>
      </w:r>
      <w:r>
        <w:t xml:space="preserve"> </w:t>
      </w:r>
      <w:r>
        <w:t xml:space="preserve">12 days → maximum penalty $450,000</w:t>
      </w:r>
    </w:p>
    <w:p>
      <w:pPr>
        <w:pStyle w:val="Compact"/>
        <w:numPr>
          <w:ilvl w:val="0"/>
          <w:numId w:val="1003"/>
        </w:numPr>
      </w:pPr>
      <w:r>
        <w:rPr>
          <w:b/>
          <w:bCs/>
        </w:rPr>
        <w:t xml:space="preserve">CDPHE position:</w:t>
      </w:r>
      <w:r>
        <w:t xml:space="preserve"> </w:t>
      </w:r>
      <w:r>
        <w:t xml:space="preserve">31 days → maximum penalty $1,162,500</w:t>
      </w:r>
    </w:p>
    <w:p>
      <w:pPr>
        <w:pStyle w:val="FirstParagraph"/>
      </w:pPr>
      <w:r>
        <w:t xml:space="preserve">No accrual has been recorded. The matter is in administrative negotiation with a settlement conference expected in Q1 2025. The RCRA Part B permit (COD-098-2761) expires December 31, 2026 — a violation finding could complicate renewal. Under the credit agreement, revocation or non-renewal of a material permit is an Event of Default.</w:t>
      </w:r>
    </w:p>
    <w:p>
      <w:pPr>
        <w:pStyle w:val="BodyText"/>
      </w:pPr>
      <w:r>
        <w:rPr>
          <w:b/>
          <w:bCs/>
        </w:rPr>
        <w:t xml:space="preserve">Action Required:</w:t>
      </w:r>
      <w:r>
        <w:t xml:space="preserve"> </w:t>
      </w:r>
      <w:r>
        <w:t xml:space="preserve">Require resolution of the CDPHE enforcement action prior to closing, or negotiate a specific indemnification escrow of at least $1.2M (CDPHE’s maximum position) with extended survival; confirm the enforcement action will not affect permit renewal.</w:t>
      </w:r>
    </w:p>
    <w:p>
      <w:r>
        <w:pict>
          <v:rect style="width:0;height:1.5pt" o:hralign="center" o:hrstd="t" o:hr="t"/>
        </w:pict>
      </w:r>
    </w:p>
    <w:bookmarkEnd w:id="29"/>
    <w:bookmarkStart w:id="30" w:name="X5b3dded1c2e4b4e13595788c3deea22e3e9d5d0"/>
    <w:p>
      <w:pPr>
        <w:pStyle w:val="Heading3"/>
      </w:pPr>
      <w:r>
        <w:t xml:space="preserve">RF-08 | Wyoming Casper Permit Expired — Operating Under Timely Renewal Provisions</w:t>
      </w:r>
    </w:p>
    <w:p>
      <w:pPr>
        <w:pStyle w:val="FirstParagraph"/>
      </w:pPr>
      <w:r>
        <w:rPr>
          <w:b/>
          <w:bCs/>
        </w:rPr>
        <w:t xml:space="preserve">Severity: MEDIUM</w:t>
      </w:r>
    </w:p>
    <w:p>
      <w:pPr>
        <w:pStyle w:val="BodyText"/>
      </w:pPr>
      <w:r>
        <w:t xml:space="preserve">Wyoming Permit WY-HW-2019-033 expired</w:t>
      </w:r>
      <w:r>
        <w:t xml:space="preserve"> </w:t>
      </w:r>
      <w:r>
        <w:rPr>
          <w:b/>
          <w:bCs/>
        </w:rPr>
        <w:t xml:space="preserve">November 30, 2024</w:t>
      </w:r>
      <w:r>
        <w:t xml:space="preserve">. The Company filed a renewal application on October 15, 2024, and is operating under Wyoming’s timely renewal provisions. While this is legally permissible, it creates risk: (i) if the renewal is denied or conditioned, operations at the Casper facility (68 employees; significant Wyoming revenue) could be disrupted; (ii) the credit agreement treats permit revocation or non-renewal as an Event of Default; and (iii) the LOI’s closing condition requires all governmental approvals to be obtained.</w:t>
      </w:r>
    </w:p>
    <w:p>
      <w:pPr>
        <w:pStyle w:val="BodyText"/>
      </w:pPr>
      <w:r>
        <w:rPr>
          <w:b/>
          <w:bCs/>
        </w:rPr>
        <w:t xml:space="preserve">Action Required:</w:t>
      </w:r>
      <w:r>
        <w:t xml:space="preserve"> </w:t>
      </w:r>
      <w:r>
        <w:t xml:space="preserve">Obtain written confirmation from Wyoming DEQ of the renewal timeline and absence of any deficiencies in the application; include permit renewal as a specific closing condition.</w:t>
      </w:r>
    </w:p>
    <w:p>
      <w:r>
        <w:pict>
          <v:rect style="width:0;height:1.5pt" o:hralign="center" o:hrstd="t" o:hr="t"/>
        </w:pict>
      </w:r>
    </w:p>
    <w:bookmarkEnd w:id="30"/>
    <w:bookmarkStart w:id="31" w:name="X3700a828c631884f0632d9f809eb038714513f9"/>
    <w:p>
      <w:pPr>
        <w:pStyle w:val="Heading3"/>
      </w:pPr>
      <w:r>
        <w:t xml:space="preserve">RF-09 | Utah SLC Permit Remains in Pinnacle’s Name — Transfer Pending Since 2022</w:t>
      </w:r>
    </w:p>
    <w:p>
      <w:pPr>
        <w:pStyle w:val="FirstParagraph"/>
      </w:pPr>
      <w:r>
        <w:rPr>
          <w:b/>
          <w:bCs/>
        </w:rPr>
        <w:t xml:space="preserve">Severity: MEDIUM-HIGH</w:t>
      </w:r>
    </w:p>
    <w:p>
      <w:pPr>
        <w:pStyle w:val="BodyText"/>
      </w:pPr>
      <w:r>
        <w:t xml:space="preserve">Utah Permit UTH-0441 for the Salt Lake City transfer station was issued to Pinnacle Waste Solutions, LLC and has not been transferred to RES despite the March 2022 acquisition. The Company has been operating the facility under Pinnacle’s permit for nearly three years. Under Utah Administrative Code R315-3, permit modifications reflecting changes in ownership require prior Division approval. The proposed Sycamore acquisition would constitute a further change in operational control, potentially requiring a new permit modification application. The Utah DEQ has not initiated enforcement, but the risk of a compliance finding or operational disruption is real.</w:t>
      </w:r>
    </w:p>
    <w:p>
      <w:pPr>
        <w:pStyle w:val="BodyText"/>
      </w:pPr>
      <w:r>
        <w:rPr>
          <w:b/>
          <w:bCs/>
        </w:rPr>
        <w:t xml:space="preserve">Action Required:</w:t>
      </w:r>
      <w:r>
        <w:t xml:space="preserve"> </w:t>
      </w:r>
      <w:r>
        <w:t xml:space="preserve">Require completion of the Utah permit transfer as a pre-closing condition; obtain written confirmation from Utah DEQ that current operations are compliant; assess whether the Sycamore acquisition requires a separate permit modification.</w:t>
      </w:r>
    </w:p>
    <w:p>
      <w:r>
        <w:pict>
          <v:rect style="width:0;height:1.5pt" o:hralign="center" o:hrstd="t" o:hr="t"/>
        </w:pict>
      </w:r>
    </w:p>
    <w:bookmarkEnd w:id="31"/>
    <w:bookmarkStart w:id="32" w:name="Xbeffabb3c5785d79bc1356462bea615ffa7d248"/>
    <w:p>
      <w:pPr>
        <w:pStyle w:val="Heading3"/>
      </w:pPr>
      <w:r>
        <w:t xml:space="preserve">RF-10 | Asbestos Long-Tail Exposure — Pre-2015 Work Not Covered by Current PLL Policy</w:t>
      </w:r>
    </w:p>
    <w:p>
      <w:pPr>
        <w:pStyle w:val="FirstParagraph"/>
      </w:pPr>
      <w:r>
        <w:rPr>
          <w:b/>
          <w:bCs/>
        </w:rPr>
        <w:t xml:space="preserve">Severity: MEDIUM</w:t>
      </w:r>
    </w:p>
    <w:p>
      <w:pPr>
        <w:pStyle w:val="BodyText"/>
      </w:pPr>
      <w:r>
        <w:t xml:space="preserve">RES operated an asbestos abatement service line from 2012 through September 30, 2023, generating approximately $31.2M in cumulative revenue across ~145 commercial and industrial sites in CO, UT, WY, and MT. The current Pollution Legal Liability policy has a</w:t>
      </w:r>
      <w:r>
        <w:t xml:space="preserve"> </w:t>
      </w:r>
      <w:r>
        <w:rPr>
          <w:b/>
          <w:bCs/>
        </w:rPr>
        <w:t xml:space="preserve">retroactive date of January 1, 2015</w:t>
      </w:r>
      <w:r>
        <w:t xml:space="preserve">, meaning work performed from 2012 through 2014 is not covered. Two workers’ compensation claims from former asbestos employees remain open. No reserve has been established for potential future asbestos-related personal injury claims. The CGL policy contains a</w:t>
      </w:r>
      <w:r>
        <w:t xml:space="preserve"> </w:t>
      </w:r>
      <w:r>
        <w:rPr>
          <w:b/>
          <w:bCs/>
        </w:rPr>
        <w:t xml:space="preserve">blanket asbestos exclusion</w:t>
      </w:r>
      <w:r>
        <w:t xml:space="preserve"> </w:t>
      </w:r>
      <w:r>
        <w:t xml:space="preserve">with no tail coverage procured for completed operations.</w:t>
      </w:r>
    </w:p>
    <w:p>
      <w:pPr>
        <w:pStyle w:val="BodyText"/>
      </w:pPr>
      <w:r>
        <w:rPr>
          <w:b/>
          <w:bCs/>
        </w:rPr>
        <w:t xml:space="preserve">Action Required:</w:t>
      </w:r>
      <w:r>
        <w:t xml:space="preserve"> </w:t>
      </w:r>
      <w:r>
        <w:t xml:space="preserve">Quantify the pre-2015 asbestos exposure; consider requiring the sellers to procure a standalone asbestos completed operations tail policy; negotiate a specific indemnification carve-out for asbestos-related claims with an extended survival period.</w:t>
      </w:r>
    </w:p>
    <w:p>
      <w:r>
        <w:pict>
          <v:rect style="width:0;height:1.5pt" o:hralign="center" o:hrstd="t" o:hr="t"/>
        </w:pict>
      </w:r>
    </w:p>
    <w:bookmarkEnd w:id="32"/>
    <w:bookmarkEnd w:id="33"/>
    <w:bookmarkStart w:id="39" w:name="Xb7ec6f63f8c3d7b7cf18b16aaf2c5587e66b4ae"/>
    <w:p>
      <w:pPr>
        <w:pStyle w:val="Heading2"/>
      </w:pPr>
      <w:r>
        <w:t xml:space="preserve">Section 3: Commercial Contracts &amp; Revenue Sustainability Red Flags</w:t>
      </w:r>
    </w:p>
    <w:bookmarkStart w:id="34" w:name="X287f4a0f00afb2fd18b6c5369e3db1560174db6"/>
    <w:p>
      <w:pPr>
        <w:pStyle w:val="Heading3"/>
      </w:pPr>
      <w:r>
        <w:t xml:space="preserve">RF-11 | DOE IDIQ Ceiling Exhaustion — $12.1M+ FY2025 Revenue Headwind</w:t>
      </w:r>
    </w:p>
    <w:p>
      <w:pPr>
        <w:pStyle w:val="FirstParagraph"/>
      </w:pPr>
      <w:r>
        <w:rPr>
          <w:b/>
          <w:bCs/>
        </w:rPr>
        <w:t xml:space="preserve">Severity: HIGH — CRITICAL</w:t>
      </w:r>
    </w:p>
    <w:p>
      <w:pPr>
        <w:pStyle w:val="BodyText"/>
      </w:pPr>
      <w:r>
        <w:t xml:space="preserve">The DOE IDIQ contract (DE-EM-0005523) is the Company’s largest customer at $24.4M (19.2% of TTM revenue). The contract has a $45.0M ceiling value, of which</w:t>
      </w:r>
      <w:r>
        <w:t xml:space="preserve"> </w:t>
      </w:r>
      <w:r>
        <w:rPr>
          <w:b/>
          <w:bCs/>
        </w:rPr>
        <w:t xml:space="preserve">$32.7M has been consumed</w:t>
      </w:r>
      <w:r>
        <w:t xml:space="preserve"> </w:t>
      </w:r>
      <w:r>
        <w:t xml:space="preserve">(72.7%) in 61.7% of the contract period. At the current run rate of ~$24.4M/year (~$2.03M/month), the remaining $12.3M ceiling will be</w:t>
      </w:r>
      <w:r>
        <w:t xml:space="preserve"> </w:t>
      </w:r>
      <w:r>
        <w:rPr>
          <w:b/>
          <w:bCs/>
        </w:rPr>
        <w:t xml:space="preserve">exhausted by approximately April–May 2025</w:t>
      </w:r>
      <w:r>
        <w:t xml:space="preserve"> </w:t>
      </w:r>
      <w:r>
        <w:t xml:space="preserve">— coinciding with the target closing date. The contract does not expire until August 31, 2026, leaving approximately 16 months of unfunded contract period.</w:t>
      </w:r>
    </w:p>
    <w:p>
      <w:pPr>
        <w:pStyle w:val="BodyText"/>
      </w:pPr>
      <w:r>
        <w:t xml:space="preserve">If the ceiling is not increased through a contract modification, FY2025 DOE revenue could decline from $24.4M to $12.3M or less — a</w:t>
      </w:r>
      <w:r>
        <w:t xml:space="preserve"> </w:t>
      </w:r>
      <w:r>
        <w:rPr>
          <w:b/>
          <w:bCs/>
        </w:rPr>
        <w:t xml:space="preserve">$12.1M revenue headwind representing 9.5% of current total revenue</w:t>
      </w:r>
      <w:r>
        <w:t xml:space="preserve">. This is not disclosed in the CIM’s revenue discussion, which presents the DOE relationship as providing</w:t>
      </w:r>
      <w:r>
        <w:t xml:space="preserve"> </w:t>
      </w:r>
      <w:r>
        <w:t xml:space="preserve">“</w:t>
      </w:r>
      <w:r>
        <w:t xml:space="preserve">substantial near-term revenue visibility.</w:t>
      </w:r>
      <w:r>
        <w:t xml:space="preserve">”</w:t>
      </w:r>
    </w:p>
    <w:p>
      <w:pPr>
        <w:pStyle w:val="BodyText"/>
      </w:pPr>
      <w:r>
        <w:t xml:space="preserve">The contract is also subject to the Anti-Assignment Act (41 U.S.C. § 6305) and FAR 42.12, requiring Contracting Officer notification and potential novation for any change in ownership exceeding 50%. Failure to provide timely notification could be grounds for termination for default.</w:t>
      </w:r>
    </w:p>
    <w:p>
      <w:pPr>
        <w:pStyle w:val="BodyText"/>
      </w:pPr>
      <w:r>
        <w:rPr>
          <w:b/>
          <w:bCs/>
        </w:rPr>
        <w:t xml:space="preserve">Action Required:</w:t>
      </w:r>
      <w:r>
        <w:t xml:space="preserve"> </w:t>
      </w:r>
      <w:r>
        <w:t xml:space="preserve">Require the Company to initiate a ceiling increase modification request with DOE immediately; obtain written confirmation from the DOE Contracting Officer regarding novation requirements; adjust the financial model to reflect the ceiling exhaustion risk; consider a purchase price adjustment mechanism tied to DOE revenue performance post-closing.</w:t>
      </w:r>
    </w:p>
    <w:p>
      <w:r>
        <w:pict>
          <v:rect style="width:0;height:1.5pt" o:hralign="center" o:hrstd="t" o:hr="t"/>
        </w:pict>
      </w:r>
    </w:p>
    <w:bookmarkEnd w:id="34"/>
    <w:bookmarkStart w:id="35" w:name="X3be28d2ed263378b2824535eba67beb5c0a15c9"/>
    <w:p>
      <w:pPr>
        <w:pStyle w:val="Heading3"/>
      </w:pPr>
      <w:r>
        <w:t xml:space="preserve">RF-12 | Salt Lake City Facility Lease — Unresolved Landlord Consent Creates Default Risk</w:t>
      </w:r>
    </w:p>
    <w:p>
      <w:pPr>
        <w:pStyle w:val="FirstParagraph"/>
      </w:pPr>
      <w:r>
        <w:rPr>
          <w:b/>
          <w:bCs/>
        </w:rPr>
        <w:t xml:space="preserve">Severity: HIGH</w:t>
      </w:r>
    </w:p>
    <w:p>
      <w:pPr>
        <w:pStyle w:val="BodyText"/>
      </w:pPr>
      <w:r>
        <w:t xml:space="preserve">The Salt Lake City transfer station lease (2100 West North Temple) was executed by Pinnacle Waste Solutions, LLC in 2019. Section 14 of the lease defines any</w:t>
      </w:r>
      <w:r>
        <w:t xml:space="preserve"> </w:t>
      </w:r>
      <w:r>
        <w:t xml:space="preserve">“</w:t>
      </w:r>
      <w:r>
        <w:t xml:space="preserve">change of control of Tenant</w:t>
      </w:r>
      <w:r>
        <w:t xml:space="preserve">”</w:t>
      </w:r>
      <w:r>
        <w:t xml:space="preserve"> </w:t>
      </w:r>
      <w:r>
        <w:t xml:space="preserve">as an assignment requiring landlord consent. RES requested consent on April 12, 2022, following the Pinnacle acquisition —</w:t>
      </w:r>
      <w:r>
        <w:t xml:space="preserve"> </w:t>
      </w:r>
      <w:r>
        <w:rPr>
          <w:b/>
          <w:bCs/>
        </w:rPr>
        <w:t xml:space="preserve">no consent has been received in over 2.5 years</w:t>
      </w:r>
      <w:r>
        <w:t xml:space="preserve">. The landlord (Wasatch Industrial Properties, LLC) sent a compliance inquiry in November 2024 specifically referencing the consent-to-assignment clause.</w:t>
      </w:r>
    </w:p>
    <w:p>
      <w:pPr>
        <w:pStyle w:val="BodyText"/>
      </w:pPr>
      <w:r>
        <w:t xml:space="preserve">The proposed Sycamore acquisition would constitute a</w:t>
      </w:r>
      <w:r>
        <w:t xml:space="preserve"> </w:t>
      </w:r>
      <w:r>
        <w:rPr>
          <w:b/>
          <w:bCs/>
        </w:rPr>
        <w:t xml:space="preserve">second change-of-control event</w:t>
      </w:r>
      <w:r>
        <w:t xml:space="preserve"> </w:t>
      </w:r>
      <w:r>
        <w:t xml:space="preserve">on top of the unresolved first. The facility serves approximately</w:t>
      </w:r>
      <w:r>
        <w:t xml:space="preserve"> </w:t>
      </w:r>
      <w:r>
        <w:rPr>
          <w:b/>
          <w:bCs/>
        </w:rPr>
        <w:t xml:space="preserve">$16.2M of annual revenue</w:t>
      </w:r>
      <w:r>
        <w:t xml:space="preserve"> </w:t>
      </w:r>
      <w:r>
        <w:t xml:space="preserve">(Wasatch Front Petroleum $6.4M, Silver Creek Mining $5.8M, Utah DEQ $4.6M, Summit County $2.9M, and others). Lease termination or disruption would be operationally catastrophic for the Utah business.</w:t>
      </w:r>
    </w:p>
    <w:p>
      <w:pPr>
        <w:pStyle w:val="BodyText"/>
      </w:pPr>
      <w:r>
        <w:rPr>
          <w:b/>
          <w:bCs/>
        </w:rPr>
        <w:t xml:space="preserve">Action Required:</w:t>
      </w:r>
      <w:r>
        <w:t xml:space="preserve"> </w:t>
      </w:r>
      <w:r>
        <w:t xml:space="preserve">Obtain landlord consent to both the 2022 Pinnacle-to-RES assignment and the proposed Sycamore acquisition as a</w:t>
      </w:r>
      <w:r>
        <w:t xml:space="preserve"> </w:t>
      </w:r>
      <w:r>
        <w:rPr>
          <w:b/>
          <w:bCs/>
        </w:rPr>
        <w:t xml:space="preserve">hard closing condition</w:t>
      </w:r>
      <w:r>
        <w:t xml:space="preserve">; engage directly with Wasatch Industrial Properties, LLC immediately; assess whether the absence of consent for 2.5 years constitutes a pre-existing default.</w:t>
      </w:r>
    </w:p>
    <w:p>
      <w:r>
        <w:pict>
          <v:rect style="width:0;height:1.5pt" o:hralign="center" o:hrstd="t" o:hr="t"/>
        </w:pict>
      </w:r>
    </w:p>
    <w:bookmarkEnd w:id="35"/>
    <w:bookmarkStart w:id="36" w:name="X3a094df3846eca94cbbe5c0e8a6eb9dfc30e33b"/>
    <w:p>
      <w:pPr>
        <w:pStyle w:val="Heading3"/>
      </w:pPr>
      <w:r>
        <w:t xml:space="preserve">RF-13 | Eight Top-20 Customer Contracts Contain Change-of-Control / Assignment Provisions</w:t>
      </w:r>
    </w:p>
    <w:p>
      <w:pPr>
        <w:pStyle w:val="FirstParagraph"/>
      </w:pPr>
      <w:r>
        <w:rPr>
          <w:b/>
          <w:bCs/>
        </w:rPr>
        <w:t xml:space="preserve">Severity: MEDIUM-HIGH</w:t>
      </w:r>
    </w:p>
    <w:p>
      <w:pPr>
        <w:pStyle w:val="BodyText"/>
      </w:pPr>
      <w:r>
        <w:t xml:space="preserve">Eight of the top 20 customer contracts (representing significant revenue) contain assignment, change-of-control, or notification provisions that may be triggered by the proposed acquisition: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Revenue</w:t>
            </w:r>
          </w:p>
        </w:tc>
        <w:tc>
          <w:tcPr/>
          <w:p>
            <w:pPr>
              <w:pStyle w:val="Compact"/>
              <w:jc w:val="left"/>
            </w:pPr>
            <w:r>
              <w:t xml:space="preserve">Provision</w:t>
            </w:r>
          </w:p>
        </w:tc>
      </w:tr>
      <w:tr>
        <w:tc>
          <w:tcPr/>
          <w:p>
            <w:pPr>
              <w:pStyle w:val="Compact"/>
              <w:jc w:val="left"/>
            </w:pPr>
            <w:r>
              <w:t xml:space="preserve">U.S. Department of Energy</w:t>
            </w:r>
          </w:p>
        </w:tc>
        <w:tc>
          <w:tcPr/>
          <w:p>
            <w:pPr>
              <w:pStyle w:val="Compact"/>
              <w:jc w:val="left"/>
            </w:pPr>
            <w:r>
              <w:t xml:space="preserve">$24.4M</w:t>
            </w:r>
          </w:p>
        </w:tc>
        <w:tc>
          <w:tcPr/>
          <w:p>
            <w:pPr>
              <w:pStyle w:val="Compact"/>
              <w:jc w:val="left"/>
            </w:pPr>
            <w:r>
              <w:t xml:space="preserve">Non-assignable per Anti-Assignment Act; novation may be required</w:t>
            </w:r>
          </w:p>
        </w:tc>
      </w:tr>
      <w:tr>
        <w:tc>
          <w:tcPr/>
          <w:p>
            <w:pPr>
              <w:pStyle w:val="Compact"/>
              <w:jc w:val="left"/>
            </w:pPr>
            <w:r>
              <w:t xml:space="preserve">Intermountain Health Systems</w:t>
            </w:r>
          </w:p>
        </w:tc>
        <w:tc>
          <w:tcPr/>
          <w:p>
            <w:pPr>
              <w:pStyle w:val="Compact"/>
              <w:jc w:val="left"/>
            </w:pPr>
            <w:r>
              <w:t xml:space="preserve">$7.1M</w:t>
            </w:r>
          </w:p>
        </w:tc>
        <w:tc>
          <w:tcPr/>
          <w:p>
            <w:pPr>
              <w:pStyle w:val="Compact"/>
              <w:jc w:val="left"/>
            </w:pPr>
            <w:r>
              <w:t xml:space="preserve">Assignment requires prior written consent; 60-day CoC notice required</w:t>
            </w:r>
          </w:p>
        </w:tc>
      </w:tr>
      <w:tr>
        <w:tc>
          <w:tcPr/>
          <w:p>
            <w:pPr>
              <w:pStyle w:val="Compact"/>
              <w:jc w:val="left"/>
            </w:pPr>
            <w:r>
              <w:t xml:space="preserve">Rocky Mountain Pipeline Systems</w:t>
            </w:r>
          </w:p>
        </w:tc>
        <w:tc>
          <w:tcPr/>
          <w:p>
            <w:pPr>
              <w:pStyle w:val="Compact"/>
              <w:jc w:val="left"/>
            </w:pPr>
            <w:r>
              <w:t xml:space="preserve">$4.2M</w:t>
            </w:r>
          </w:p>
        </w:tc>
        <w:tc>
          <w:tcPr/>
          <w:p>
            <w:pPr>
              <w:pStyle w:val="Compact"/>
              <w:jc w:val="left"/>
            </w:pPr>
            <w:r>
              <w:t xml:space="preserve">Assignment requires prior written consent; 30-day CoC consent period</w:t>
            </w:r>
          </w:p>
        </w:tc>
      </w:tr>
      <w:tr>
        <w:tc>
          <w:tcPr/>
          <w:p>
            <w:pPr>
              <w:pStyle w:val="Compact"/>
              <w:jc w:val="left"/>
            </w:pPr>
            <w:r>
              <w:t xml:space="preserve">Utah DEQ</w:t>
            </w:r>
          </w:p>
        </w:tc>
        <w:tc>
          <w:tcPr/>
          <w:p>
            <w:pPr>
              <w:pStyle w:val="Compact"/>
              <w:jc w:val="left"/>
            </w:pPr>
            <w:r>
              <w:t xml:space="preserve">$4.6M</w:t>
            </w:r>
          </w:p>
        </w:tc>
        <w:tc>
          <w:tcPr/>
          <w:p>
            <w:pPr>
              <w:pStyle w:val="Compact"/>
              <w:jc w:val="left"/>
            </w:pPr>
            <w:r>
              <w:t xml:space="preserve">State reserves right to terminate if CoC materially affects qualifications</w:t>
            </w:r>
          </w:p>
        </w:tc>
      </w:tr>
      <w:tr>
        <w:tc>
          <w:tcPr/>
          <w:p>
            <w:pPr>
              <w:pStyle w:val="Compact"/>
              <w:jc w:val="left"/>
            </w:pPr>
            <w:r>
              <w:t xml:space="preserve">Colorado DOT</w:t>
            </w:r>
          </w:p>
        </w:tc>
        <w:tc>
          <w:tcPr/>
          <w:p>
            <w:pPr>
              <w:pStyle w:val="Compact"/>
              <w:jc w:val="left"/>
            </w:pPr>
            <w:r>
              <w:t xml:space="preserve">$3.9M</w:t>
            </w:r>
          </w:p>
        </w:tc>
        <w:tc>
          <w:tcPr/>
          <w:p>
            <w:pPr>
              <w:pStyle w:val="Compact"/>
              <w:jc w:val="left"/>
            </w:pPr>
            <w:r>
              <w:t xml:space="preserve">Prior written consent of CDOT required for assignment</w:t>
            </w:r>
          </w:p>
        </w:tc>
      </w:tr>
      <w:tr>
        <w:tc>
          <w:tcPr/>
          <w:p>
            <w:pPr>
              <w:pStyle w:val="Compact"/>
              <w:jc w:val="left"/>
            </w:pPr>
            <w:r>
              <w:t xml:space="preserve">Bridger Valley Ranches</w:t>
            </w:r>
          </w:p>
        </w:tc>
        <w:tc>
          <w:tcPr/>
          <w:p>
            <w:pPr>
              <w:pStyle w:val="Compact"/>
              <w:jc w:val="left"/>
            </w:pPr>
            <w:r>
              <w:t xml:space="preserve">$4.1M</w:t>
            </w:r>
          </w:p>
        </w:tc>
        <w:tc>
          <w:tcPr/>
          <w:p>
            <w:pPr>
              <w:pStyle w:val="Compact"/>
              <w:jc w:val="left"/>
            </w:pPr>
            <w:r>
              <w:t xml:space="preserve">No assignment without prior written consent of both parties</w:t>
            </w:r>
          </w:p>
        </w:tc>
      </w:tr>
      <w:tr>
        <w:tc>
          <w:tcPr/>
          <w:p>
            <w:pPr>
              <w:pStyle w:val="Compact"/>
              <w:jc w:val="left"/>
            </w:pPr>
            <w:r>
              <w:t xml:space="preserve">Frontier E&amp;P</w:t>
            </w:r>
          </w:p>
        </w:tc>
        <w:tc>
          <w:tcPr/>
          <w:p>
            <w:pPr>
              <w:pStyle w:val="Compact"/>
              <w:jc w:val="left"/>
            </w:pPr>
            <w:r>
              <w:t xml:space="preserve">$2.6M</w:t>
            </w:r>
          </w:p>
        </w:tc>
        <w:tc>
          <w:tcPr/>
          <w:p>
            <w:pPr>
              <w:pStyle w:val="Compact"/>
              <w:jc w:val="left"/>
            </w:pPr>
            <w:r>
              <w:t xml:space="preserve">Assignment requires prior written consent; 30-day CoC notification</w:t>
            </w:r>
          </w:p>
        </w:tc>
      </w:tr>
      <w:tr>
        <w:tc>
          <w:tcPr/>
          <w:p>
            <w:pPr>
              <w:pStyle w:val="Compact"/>
              <w:jc w:val="left"/>
            </w:pPr>
            <w:r>
              <w:t xml:space="preserve">Teton Steel</w:t>
            </w:r>
          </w:p>
        </w:tc>
        <w:tc>
          <w:tcPr/>
          <w:p>
            <w:pPr>
              <w:pStyle w:val="Compact"/>
              <w:jc w:val="left"/>
            </w:pPr>
            <w:r>
              <w:t xml:space="preserve">$2.1M</w:t>
            </w:r>
          </w:p>
        </w:tc>
        <w:tc>
          <w:tcPr/>
          <w:p>
            <w:pPr>
              <w:pStyle w:val="Compact"/>
              <w:jc w:val="left"/>
            </w:pPr>
            <w:r>
              <w:t xml:space="preserve">No assignment without mutual written consent</w:t>
            </w:r>
          </w:p>
        </w:tc>
      </w:tr>
    </w:tbl>
    <w:p>
      <w:pPr>
        <w:pStyle w:val="BodyText"/>
      </w:pPr>
      <w:r>
        <w:rPr>
          <w:b/>
          <w:bCs/>
        </w:rPr>
        <w:t xml:space="preserve">Action Required:</w:t>
      </w:r>
      <w:r>
        <w:t xml:space="preserve"> </w:t>
      </w:r>
      <w:r>
        <w:t xml:space="preserve">Conduct a systematic consent solicitation process for all eight contracts; prioritize DOE novation and Intermountain Health consent given revenue magnitude; build consent receipt into the closing conditions.</w:t>
      </w:r>
    </w:p>
    <w:p>
      <w:r>
        <w:pict>
          <v:rect style="width:0;height:1.5pt" o:hralign="center" o:hrstd="t" o:hr="t"/>
        </w:pict>
      </w:r>
    </w:p>
    <w:bookmarkEnd w:id="36"/>
    <w:bookmarkStart w:id="37" w:name="X0f75c229ba8098d00a02bfae0f07c82d00bd8a7"/>
    <w:p>
      <w:pPr>
        <w:pStyle w:val="Heading3"/>
      </w:pPr>
      <w:r>
        <w:t xml:space="preserve">RF-14 | CMMC Master Services Agreement — 60-Day Termination for Convenience</w:t>
      </w:r>
    </w:p>
    <w:p>
      <w:pPr>
        <w:pStyle w:val="FirstParagraph"/>
      </w:pPr>
      <w:r>
        <w:rPr>
          <w:b/>
          <w:bCs/>
        </w:rPr>
        <w:t xml:space="preserve">Severity: MEDIUM</w:t>
      </w:r>
    </w:p>
    <w:p>
      <w:pPr>
        <w:pStyle w:val="BodyText"/>
      </w:pPr>
      <w:r>
        <w:t xml:space="preserve">Consolidated Mining &amp; Minerals Corp. (CMMC), the Company’s second-largest customer at $14.5M (11.4% of revenue), is governed by an MSA with</w:t>
      </w:r>
      <w:r>
        <w:t xml:space="preserve"> </w:t>
      </w:r>
      <w:r>
        <w:rPr>
          <w:b/>
          <w:bCs/>
        </w:rPr>
        <w:t xml:space="preserve">annual auto-renewal and 60-day termination for convenience</w:t>
      </w:r>
      <w:r>
        <w:t xml:space="preserve"> </w:t>
      </w:r>
      <w:r>
        <w:t xml:space="preserve">by either party. There are no minimum volume commitments. The relationship dates to 2014 and has grown consistently, but the absence of contractual protection means CMMC could exit with 60 days’ notice post-closing. The CIM characterizes this as a</w:t>
      </w:r>
      <w:r>
        <w:t xml:space="preserve"> </w:t>
      </w:r>
      <w:r>
        <w:t xml:space="preserve">“</w:t>
      </w:r>
      <w:r>
        <w:t xml:space="preserve">long-standing</w:t>
      </w:r>
      <w:r>
        <w:t xml:space="preserve">”</w:t>
      </w:r>
      <w:r>
        <w:t xml:space="preserve"> </w:t>
      </w:r>
      <w:r>
        <w:t xml:space="preserve">relationship without disclosing the termination-for-convenience risk.</w:t>
      </w:r>
    </w:p>
    <w:p>
      <w:pPr>
        <w:pStyle w:val="BodyText"/>
      </w:pPr>
      <w:r>
        <w:rPr>
          <w:b/>
          <w:bCs/>
        </w:rPr>
        <w:t xml:space="preserve">Action Required:</w:t>
      </w:r>
      <w:r>
        <w:t xml:space="preserve"> </w:t>
      </w:r>
      <w:r>
        <w:t xml:space="preserve">Seek a multi-year contract extension with CMMC prior to closing; assess CMMC’s financial condition and any competitive threats to the relationship.</w:t>
      </w:r>
    </w:p>
    <w:p>
      <w:r>
        <w:pict>
          <v:rect style="width:0;height:1.5pt" o:hralign="center" o:hrstd="t" o:hr="t"/>
        </w:pict>
      </w:r>
    </w:p>
    <w:bookmarkEnd w:id="37"/>
    <w:bookmarkStart w:id="38" w:name="X9354cae0693c474e2b5254dcccd0c8a53048b0f"/>
    <w:p>
      <w:pPr>
        <w:pStyle w:val="Heading3"/>
      </w:pPr>
      <w:r>
        <w:t xml:space="preserve">RF-15 | Customer List Discrepancy Between CIM and QoE Data Room</w:t>
      </w:r>
    </w:p>
    <w:p>
      <w:pPr>
        <w:pStyle w:val="FirstParagraph"/>
      </w:pPr>
      <w:r>
        <w:rPr>
          <w:b/>
          <w:bCs/>
        </w:rPr>
        <w:t xml:space="preserve">Severity: MEDIUM</w:t>
      </w:r>
    </w:p>
    <w:p>
      <w:pPr>
        <w:pStyle w:val="BodyText"/>
      </w:pPr>
      <w:r>
        <w:t xml:space="preserve">The CIM’s customer table and the Customer Contract Summary (xlsx) present materially different customer names than the QoE Revenue by Customer tab. For example:</w:t>
      </w:r>
      <w:r>
        <w:t xml:space="preserve"> </w:t>
      </w:r>
      <w:r>
        <w:t xml:space="preserve">- The CIM/contract summary lists</w:t>
      </w:r>
      <w:r>
        <w:t xml:space="preserve"> </w:t>
      </w:r>
      <w:r>
        <w:t xml:space="preserve">“</w:t>
      </w:r>
      <w:r>
        <w:t xml:space="preserve">Western Slope Municipal Water District</w:t>
      </w:r>
      <w:r>
        <w:t xml:space="preserve">”</w:t>
      </w:r>
      <w:r>
        <w:t xml:space="preserve"> </w:t>
      </w:r>
      <w:r>
        <w:t xml:space="preserve">as Customer 3 ($9.8M); the QoE lists</w:t>
      </w:r>
      <w:r>
        <w:t xml:space="preserve"> </w:t>
      </w:r>
      <w:r>
        <w:t xml:space="preserve">“</w:t>
      </w:r>
      <w:r>
        <w:t xml:space="preserve">Western Slope Energy Partners</w:t>
      </w:r>
      <w:r>
        <w:t xml:space="preserve">”</w:t>
      </w:r>
      <w:r>
        <w:t xml:space="preserve"> </w:t>
      </w:r>
      <w:r>
        <w:t xml:space="preserve">($8.9M) as Customer 3</w:t>
      </w:r>
      <w:r>
        <w:t xml:space="preserve"> </w:t>
      </w:r>
      <w:r>
        <w:t xml:space="preserve">- The CIM lists</w:t>
      </w:r>
      <w:r>
        <w:t xml:space="preserve"> </w:t>
      </w:r>
      <w:r>
        <w:t xml:space="preserve">“</w:t>
      </w:r>
      <w:r>
        <w:t xml:space="preserve">High Plains Energy Partners</w:t>
      </w:r>
      <w:r>
        <w:t xml:space="preserve">”</w:t>
      </w:r>
      <w:r>
        <w:t xml:space="preserve"> </w:t>
      </w:r>
      <w:r>
        <w:t xml:space="preserve">as Customer 4 ($8.3M); the QoE lists</w:t>
      </w:r>
      <w:r>
        <w:t xml:space="preserve"> </w:t>
      </w:r>
      <w:r>
        <w:t xml:space="preserve">“</w:t>
      </w:r>
      <w:r>
        <w:t xml:space="preserve">Rio Tinto Kennecott</w:t>
      </w:r>
      <w:r>
        <w:t xml:space="preserve">”</w:t>
      </w:r>
      <w:r>
        <w:t xml:space="preserve"> </w:t>
      </w:r>
      <w:r>
        <w:t xml:space="preserve">($7.6M)</w:t>
      </w:r>
      <w:r>
        <w:t xml:space="preserve"> </w:t>
      </w:r>
      <w:r>
        <w:t xml:space="preserve">- The CIM lists</w:t>
      </w:r>
      <w:r>
        <w:t xml:space="preserve"> </w:t>
      </w:r>
      <w:r>
        <w:t xml:space="preserve">“</w:t>
      </w:r>
      <w:r>
        <w:t xml:space="preserve">Intermountain Health Systems</w:t>
      </w:r>
      <w:r>
        <w:t xml:space="preserve">”</w:t>
      </w:r>
      <w:r>
        <w:t xml:space="preserve"> </w:t>
      </w:r>
      <w:r>
        <w:t xml:space="preserve">as Customer 5 ($7.1M); the QoE lists</w:t>
      </w:r>
      <w:r>
        <w:t xml:space="preserve"> </w:t>
      </w:r>
      <w:r>
        <w:t xml:space="preserve">“</w:t>
      </w:r>
      <w:r>
        <w:t xml:space="preserve">Suncor Energy</w:t>
      </w:r>
      <w:r>
        <w:t xml:space="preserve">”</w:t>
      </w:r>
      <w:r>
        <w:t xml:space="preserve"> </w:t>
      </w:r>
      <w:r>
        <w:t xml:space="preserve">($6.4M)</w:t>
      </w:r>
    </w:p>
    <w:p>
      <w:pPr>
        <w:pStyle w:val="BodyText"/>
      </w:pPr>
      <w:r>
        <w:t xml:space="preserve">These discrepancies suggest either (i) the data room documents were prepared at different points in time using different customer groupings, (ii) there are revenue recognition or customer attribution differences, or (iii) there are errors in one or more documents. The aggregate revenue figures reconcile, but the customer-level attribution does not.</w:t>
      </w:r>
    </w:p>
    <w:p>
      <w:pPr>
        <w:pStyle w:val="BodyText"/>
      </w:pPr>
      <w:r>
        <w:rPr>
          <w:b/>
          <w:bCs/>
        </w:rPr>
        <w:t xml:space="preserve">Action Required:</w:t>
      </w:r>
      <w:r>
        <w:t xml:space="preserve"> </w:t>
      </w:r>
      <w:r>
        <w:t xml:space="preserve">Require the Company to provide a single, reconciled customer revenue schedule signed by the CFO; confirm which customer names and revenue figures are accurate for purposes of the contract consent process.</w:t>
      </w:r>
    </w:p>
    <w:p>
      <w:r>
        <w:pict>
          <v:rect style="width:0;height:1.5pt" o:hralign="center" o:hrstd="t" o:hr="t"/>
        </w:pict>
      </w:r>
    </w:p>
    <w:bookmarkEnd w:id="38"/>
    <w:bookmarkEnd w:id="39"/>
    <w:bookmarkStart w:id="43" w:name="X8a196da1a2011add2398f86a37cde384a1799af"/>
    <w:p>
      <w:pPr>
        <w:pStyle w:val="Heading2"/>
      </w:pPr>
      <w:r>
        <w:t xml:space="preserve">Section 4: Debt &amp; Capital Structure Red Flags</w:t>
      </w:r>
    </w:p>
    <w:bookmarkStart w:id="40" w:name="Xa9f47362db95e512e9196995c48568c067d2436"/>
    <w:p>
      <w:pPr>
        <w:pStyle w:val="Heading3"/>
      </w:pPr>
      <w:r>
        <w:t xml:space="preserve">RF-16 | Mandatory Credit Facility Prepayment — $38.7M Due Within 5 Business Days of Closing</w:t>
      </w:r>
    </w:p>
    <w:p>
      <w:pPr>
        <w:pStyle w:val="FirstParagraph"/>
      </w:pPr>
      <w:r>
        <w:rPr>
          <w:b/>
          <w:bCs/>
        </w:rPr>
        <w:t xml:space="preserve">Severity: HIGH</w:t>
      </w:r>
    </w:p>
    <w:p>
      <w:pPr>
        <w:pStyle w:val="BodyText"/>
      </w:pPr>
      <w:r>
        <w:t xml:space="preserve">The senior secured credit agreement with High Plains National Bank contains a</w:t>
      </w:r>
      <w:r>
        <w:t xml:space="preserve"> </w:t>
      </w:r>
      <w:r>
        <w:rPr>
          <w:b/>
          <w:bCs/>
        </w:rPr>
        <w:t xml:space="preserve">Change of Control provision</w:t>
      </w:r>
      <w:r>
        <w:t xml:space="preserve"> </w:t>
      </w:r>
      <w:r>
        <w:t xml:space="preserve">(Section 8) that is triggered by the proposed acquisition. Upon a Change of Control, the Borrower must prepay all outstanding obligations within</w:t>
      </w:r>
      <w:r>
        <w:t xml:space="preserve"> </w:t>
      </w:r>
      <w:r>
        <w:rPr>
          <w:b/>
          <w:bCs/>
        </w:rPr>
        <w:t xml:space="preserve">five (5) business days</w:t>
      </w:r>
      <w:r>
        <w:t xml:space="preserve">. As of September 30, 2024, total funded debt is $38.7M ($12.4M revolver + $26.3M term loan). The term loan carries a</w:t>
      </w:r>
      <w:r>
        <w:t xml:space="preserve"> </w:t>
      </w:r>
      <w:r>
        <w:rPr>
          <w:b/>
          <w:bCs/>
        </w:rPr>
        <w:t xml:space="preserve">1.0% prepayment premium</w:t>
      </w:r>
      <w:r>
        <w:t xml:space="preserve"> </w:t>
      </w:r>
      <w:r>
        <w:t xml:space="preserve">(approximately $263K assuming closing in Year 3). The credit agreement provides</w:t>
      </w:r>
      <w:r>
        <w:t xml:space="preserve"> </w:t>
      </w:r>
      <w:r>
        <w:rPr>
          <w:b/>
          <w:bCs/>
        </w:rPr>
        <w:t xml:space="preserve">no waiver or consent mechanism</w:t>
      </w:r>
      <w:r>
        <w:t xml:space="preserve"> </w:t>
      </w:r>
      <w:r>
        <w:t xml:space="preserve">— the only alternatives are a payoff letter or refinancing.</w:t>
      </w:r>
    </w:p>
    <w:p>
      <w:pPr>
        <w:pStyle w:val="BodyText"/>
      </w:pPr>
      <w:r>
        <w:t xml:space="preserve">The LOI’s Net Debt adjustment accounts for the $38.7M principal, but the prepayment premium and accrued interest are additional costs that must be factored into the closing statement. The five-business-day prepayment window creates significant execution risk if financing is not arranged in advance.</w:t>
      </w:r>
    </w:p>
    <w:p>
      <w:pPr>
        <w:pStyle w:val="BodyText"/>
      </w:pPr>
      <w:r>
        <w:rPr>
          <w:b/>
          <w:bCs/>
        </w:rPr>
        <w:t xml:space="preserve">Action Required:</w:t>
      </w:r>
      <w:r>
        <w:t xml:space="preserve"> </w:t>
      </w:r>
      <w:r>
        <w:t xml:space="preserve">Arrange acquisition financing and payoff letter with High Plains National Bank well in advance of closing; confirm the prepayment premium calculation; include the premium and accrued interest in the Net Debt definition in the SPA.</w:t>
      </w:r>
    </w:p>
    <w:p>
      <w:r>
        <w:pict>
          <v:rect style="width:0;height:1.5pt" o:hralign="center" o:hrstd="t" o:hr="t"/>
        </w:pict>
      </w:r>
    </w:p>
    <w:bookmarkEnd w:id="40"/>
    <w:bookmarkStart w:id="41" w:name="X7e40c80a26c3ed726565d5f1d4487c0496dccac"/>
    <w:p>
      <w:pPr>
        <w:pStyle w:val="Heading3"/>
      </w:pPr>
      <w:r>
        <w:t xml:space="preserve">RF-17 | Bank EBITDA vs. Management EBITDA — 2.10x vs. 1.70x Leverage Discrepancy</w:t>
      </w:r>
    </w:p>
    <w:p>
      <w:pPr>
        <w:pStyle w:val="FirstParagraph"/>
      </w:pPr>
      <w:r>
        <w:rPr>
          <w:b/>
          <w:bCs/>
        </w:rPr>
        <w:t xml:space="preserve">Severity: MEDIUM</w:t>
      </w:r>
    </w:p>
    <w:p>
      <w:pPr>
        <w:pStyle w:val="BodyText"/>
      </w:pPr>
      <w:r>
        <w:t xml:space="preserve">The credit agreement’s Consolidated EBITDA definition excludes all five of management’s add-back categories (litigation settlement, owner comp normalization, ERP costs, integration costs, and asbestos wind-down). Bank Consolidated EBITDA is approximately $18.4M, yielding a leverage ratio of</w:t>
      </w:r>
      <w:r>
        <w:t xml:space="preserve"> </w:t>
      </w:r>
      <w:r>
        <w:rPr>
          <w:b/>
          <w:bCs/>
        </w:rPr>
        <w:t xml:space="preserve">2.10x</w:t>
      </w:r>
      <w:r>
        <w:t xml:space="preserve"> </w:t>
      </w:r>
      <w:r>
        <w:t xml:space="preserve">— not the 1.70x implied by management’s Adjusted EBITDA. While 2.10x is within the 3.50x covenant maximum, this discrepancy illustrates the gap between management’s presentation and the economic reality of the business. Buyer’s lenders will likely use a definition closer to the bank’s, affecting acquisition financing terms.</w:t>
      </w:r>
    </w:p>
    <w:p>
      <w:pPr>
        <w:pStyle w:val="BodyText"/>
      </w:pPr>
      <w:r>
        <w:rPr>
          <w:b/>
          <w:bCs/>
        </w:rPr>
        <w:t xml:space="preserve">Action Required:</w:t>
      </w:r>
      <w:r>
        <w:t xml:space="preserve"> </w:t>
      </w:r>
      <w:r>
        <w:t xml:space="preserve">Model acquisition financing using bank-definition EBITDA; confirm covenant compliance through closing date.</w:t>
      </w:r>
    </w:p>
    <w:p>
      <w:r>
        <w:pict>
          <v:rect style="width:0;height:1.5pt" o:hralign="center" o:hrstd="t" o:hr="t"/>
        </w:pict>
      </w:r>
    </w:p>
    <w:bookmarkEnd w:id="41"/>
    <w:bookmarkStart w:id="42" w:name="Xc0319859cd8dca88ae42e60b59a004783809820"/>
    <w:p>
      <w:pPr>
        <w:pStyle w:val="Heading3"/>
      </w:pPr>
      <w:r>
        <w:t xml:space="preserve">RF-18 | Derek Calloway</w:t>
      </w:r>
      <w:r>
        <w:t xml:space="preserve"> </w:t>
      </w:r>
      <w:r>
        <w:t xml:space="preserve">“</w:t>
      </w:r>
      <w:r>
        <w:t xml:space="preserve">Key Man</w:t>
      </w:r>
      <w:r>
        <w:t xml:space="preserve">”</w:t>
      </w:r>
      <w:r>
        <w:t xml:space="preserve"> </w:t>
      </w:r>
      <w:r>
        <w:t xml:space="preserve">Provision in Credit Agreement</w:t>
      </w:r>
    </w:p>
    <w:p>
      <w:pPr>
        <w:pStyle w:val="FirstParagraph"/>
      </w:pPr>
      <w:r>
        <w:rPr>
          <w:b/>
          <w:bCs/>
        </w:rPr>
        <w:t xml:space="preserve">Severity: MEDIUM</w:t>
      </w:r>
    </w:p>
    <w:p>
      <w:pPr>
        <w:pStyle w:val="BodyText"/>
      </w:pPr>
      <w:r>
        <w:t xml:space="preserve">The credit agreement contains a</w:t>
      </w:r>
      <w:r>
        <w:t xml:space="preserve"> </w:t>
      </w:r>
      <w:r>
        <w:rPr>
          <w:b/>
          <w:bCs/>
        </w:rPr>
        <w:t xml:space="preserve">Change of Management provision</w:t>
      </w:r>
      <w:r>
        <w:t xml:space="preserve"> </w:t>
      </w:r>
      <w:r>
        <w:t xml:space="preserve">(Section 7, Negative Covenants) stating that Derek Calloway’s departure as CEO without a Lender-approved successor constitutes an Event of Default. While this provision will be extinguished upon payoff of the credit facility at closing, it underscores the key-man dependency risk. If Derek Calloway departs post-closing (which his single-trigger CoC severance does not prevent), the business faces significant operational and relationship risk, particularly with the DOE contracting relationship.</w:t>
      </w:r>
    </w:p>
    <w:p>
      <w:pPr>
        <w:pStyle w:val="BodyText"/>
      </w:pPr>
      <w:r>
        <w:rPr>
          <w:b/>
          <w:bCs/>
        </w:rPr>
        <w:t xml:space="preserve">Action Required:</w:t>
      </w:r>
      <w:r>
        <w:t xml:space="preserve"> </w:t>
      </w:r>
      <w:r>
        <w:t xml:space="preserve">Negotiate robust post-closing retention arrangements with Derek Calloway; consider earnout or equity rollover structures to align incentives.</w:t>
      </w:r>
    </w:p>
    <w:p>
      <w:r>
        <w:pict>
          <v:rect style="width:0;height:1.5pt" o:hralign="center" o:hrstd="t" o:hr="t"/>
        </w:pict>
      </w:r>
    </w:p>
    <w:bookmarkEnd w:id="42"/>
    <w:bookmarkEnd w:id="43"/>
    <w:bookmarkStart w:id="46" w:name="X7403640dd08a82e7b3908d15fb527bfc58299ba"/>
    <w:p>
      <w:pPr>
        <w:pStyle w:val="Heading2"/>
      </w:pPr>
      <w:r>
        <w:t xml:space="preserve">Section 5: Real Property &amp; Permitting Red Flags</w:t>
      </w:r>
    </w:p>
    <w:bookmarkStart w:id="44" w:name="Xf35e666087b25b05ac11b3d3a0e4574afd58e4c"/>
    <w:p>
      <w:pPr>
        <w:pStyle w:val="Heading3"/>
      </w:pPr>
      <w:r>
        <w:t xml:space="preserve">RF-19 | Pueblo Storage Yard Lease Expires at Closing — No Renewal Secured</w:t>
      </w:r>
    </w:p>
    <w:p>
      <w:pPr>
        <w:pStyle w:val="FirstParagraph"/>
      </w:pPr>
      <w:r>
        <w:rPr>
          <w:b/>
          <w:bCs/>
        </w:rPr>
        <w:t xml:space="preserve">Severity: LOW-MEDIUM</w:t>
      </w:r>
    </w:p>
    <w:p>
      <w:pPr>
        <w:pStyle w:val="BodyText"/>
      </w:pPr>
      <w:r>
        <w:t xml:space="preserve">The Pueblo Storage Yard lease (2280 Santa Fe Avenue, Pueblo, CO) expires</w:t>
      </w:r>
      <w:r>
        <w:t xml:space="preserve"> </w:t>
      </w:r>
      <w:r>
        <w:rPr>
          <w:b/>
          <w:bCs/>
        </w:rPr>
        <w:t xml:space="preserve">April 30, 2025</w:t>
      </w:r>
      <w:r>
        <w:t xml:space="preserve"> </w:t>
      </w:r>
      <w:r>
        <w:t xml:space="preserve">— the same month as the target closing date. Renewal negotiations are described as</w:t>
      </w:r>
      <w:r>
        <w:t xml:space="preserve"> </w:t>
      </w:r>
      <w:r>
        <w:t xml:space="preserve">“</w:t>
      </w:r>
      <w:r>
        <w:t xml:space="preserve">underway</w:t>
      </w:r>
      <w:r>
        <w:t xml:space="preserve">”</w:t>
      </w:r>
      <w:r>
        <w:t xml:space="preserve"> </w:t>
      </w:r>
      <w:r>
        <w:t xml:space="preserve">but no terms have been agreed. The facility is used for equipment and vehicle storage. While not operationally critical, failure to renew could require relocation of equipment at additional cost and operational disruption.</w:t>
      </w:r>
    </w:p>
    <w:p>
      <w:pPr>
        <w:pStyle w:val="BodyText"/>
      </w:pPr>
      <w:r>
        <w:rPr>
          <w:b/>
          <w:bCs/>
        </w:rPr>
        <w:t xml:space="preserve">Action Required:</w:t>
      </w:r>
      <w:r>
        <w:t xml:space="preserve"> </w:t>
      </w:r>
      <w:r>
        <w:t xml:space="preserve">Require lease renewal as a pre-closing deliverable or confirm alternative storage arrangements.</w:t>
      </w:r>
    </w:p>
    <w:p>
      <w:r>
        <w:pict>
          <v:rect style="width:0;height:1.5pt" o:hralign="center" o:hrstd="t" o:hr="t"/>
        </w:pict>
      </w:r>
    </w:p>
    <w:bookmarkEnd w:id="44"/>
    <w:bookmarkStart w:id="45" w:name="X99f4b62572ba226033d15a941da5f321dddb77d"/>
    <w:p>
      <w:pPr>
        <w:pStyle w:val="Heading3"/>
      </w:pPr>
      <w:r>
        <w:t xml:space="preserve">RF-20 | Grand Junction Property Appraisal Is Three Years Stale</w:t>
      </w:r>
    </w:p>
    <w:p>
      <w:pPr>
        <w:pStyle w:val="FirstParagraph"/>
      </w:pPr>
      <w:r>
        <w:rPr>
          <w:b/>
          <w:bCs/>
        </w:rPr>
        <w:t xml:space="preserve">Severity: LOW-MEDIUM</w:t>
      </w:r>
    </w:p>
    <w:p>
      <w:pPr>
        <w:pStyle w:val="BodyText"/>
      </w:pPr>
      <w:r>
        <w:t xml:space="preserve">The Grand Junction owned property was appraised at $6.8M in March 2022. No updated appraisal has been commissioned. Given the environmental contamination disclosed in the Phase II ESA, the property’s market value may be materially impaired relative to the 2022 appraised value. The property serves as collateral for the High Plains National Bank credit facility.</w:t>
      </w:r>
    </w:p>
    <w:p>
      <w:pPr>
        <w:pStyle w:val="BodyText"/>
      </w:pPr>
      <w:r>
        <w:rPr>
          <w:b/>
          <w:bCs/>
        </w:rPr>
        <w:t xml:space="preserve">Action Required:</w:t>
      </w:r>
      <w:r>
        <w:t xml:space="preserve"> </w:t>
      </w:r>
      <w:r>
        <w:t xml:space="preserve">Commission an updated appraisal incorporating the environmental conditions; assess whether the contamination materially impairs collateral value for acquisition financing purposes.</w:t>
      </w:r>
    </w:p>
    <w:p>
      <w:r>
        <w:pict>
          <v:rect style="width:0;height:1.5pt" o:hralign="center" o:hrstd="t" o:hr="t"/>
        </w:pict>
      </w:r>
    </w:p>
    <w:bookmarkEnd w:id="45"/>
    <w:bookmarkEnd w:id="46"/>
    <w:bookmarkStart w:id="49" w:name="X5706880212b05c77d2983f2148c85d8ea3687ae"/>
    <w:p>
      <w:pPr>
        <w:pStyle w:val="Heading2"/>
      </w:pPr>
      <w:r>
        <w:t xml:space="preserve">Section 6: Human Capital &amp; Employment Red Flags</w:t>
      </w:r>
    </w:p>
    <w:bookmarkStart w:id="47" w:name="X97919723c9e9b1d23ec7621f18c7fb082aa401b"/>
    <w:p>
      <w:pPr>
        <w:pStyle w:val="Heading3"/>
      </w:pPr>
      <w:r>
        <w:t xml:space="preserve">RF-21 | NLRB Unionization Petition — 62 Field Technicians at Core Facilities</w:t>
      </w:r>
    </w:p>
    <w:p>
      <w:pPr>
        <w:pStyle w:val="FirstParagraph"/>
      </w:pPr>
      <w:r>
        <w:rPr>
          <w:b/>
          <w:bCs/>
        </w:rPr>
        <w:t xml:space="preserve">Severity: MEDIUM-HIGH</w:t>
      </w:r>
    </w:p>
    <w:p>
      <w:pPr>
        <w:pStyle w:val="BodyText"/>
      </w:pPr>
      <w:r>
        <w:t xml:space="preserve">A footnote in the Employee Benefits Summary discloses that on</w:t>
      </w:r>
      <w:r>
        <w:t xml:space="preserve"> </w:t>
      </w:r>
      <w:r>
        <w:rPr>
          <w:b/>
          <w:bCs/>
        </w:rPr>
        <w:t xml:space="preserve">November 4, 2024</w:t>
      </w:r>
      <w:r>
        <w:t xml:space="preserve">, the International Brotherhood of Teamsters Local 455 filed an NLRB election petition covering</w:t>
      </w:r>
      <w:r>
        <w:t xml:space="preserve"> </w:t>
      </w:r>
      <w:r>
        <w:rPr>
          <w:b/>
          <w:bCs/>
        </w:rPr>
        <w:t xml:space="preserve">62 field technicians at the Grand Junction and Casper facilities</w:t>
      </w:r>
      <w:r>
        <w:t xml:space="preserve"> </w:t>
      </w:r>
      <w:r>
        <w:t xml:space="preserve">— the Company’s two largest operational hubs. This is not disclosed in the CIM, which characterizes the workforce as</w:t>
      </w:r>
      <w:r>
        <w:t xml:space="preserve"> </w:t>
      </w:r>
      <w:r>
        <w:t xml:space="preserve">“</w:t>
      </w:r>
      <w:r>
        <w:t xml:space="preserve">entirely non-unionized</w:t>
      </w:r>
      <w:r>
        <w:t xml:space="preserve">”</w:t>
      </w:r>
      <w:r>
        <w:t xml:space="preserve"> </w:t>
      </w:r>
      <w:r>
        <w:t xml:space="preserve">and states management</w:t>
      </w:r>
      <w:r>
        <w:t xml:space="preserve"> </w:t>
      </w:r>
      <w:r>
        <w:t xml:space="preserve">“</w:t>
      </w:r>
      <w:r>
        <w:t xml:space="preserve">maintains positive and productive relations with employees.</w:t>
      </w:r>
      <w:r>
        <w:t xml:space="preserve">”</w:t>
      </w:r>
      <w:r>
        <w:t xml:space="preserve"> </w:t>
      </w:r>
      <w:r>
        <w:t xml:space="preserve">A successful union election could result in collective bargaining obligations, wage increases, work rule changes, and increased operational costs. The credit agreement treats a material labor dispute lasting more than 10 business days as an Event of Default.</w:t>
      </w:r>
    </w:p>
    <w:p>
      <w:pPr>
        <w:pStyle w:val="BodyText"/>
      </w:pPr>
      <w:r>
        <w:rPr>
          <w:b/>
          <w:bCs/>
        </w:rPr>
        <w:t xml:space="preserve">Action Required:</w:t>
      </w:r>
      <w:r>
        <w:t xml:space="preserve"> </w:t>
      </w:r>
      <w:r>
        <w:t xml:space="preserve">Obtain a full briefing on the NLRB petition status and the Company’s response strategy; assess the likelihood of a successful election; model the financial impact of potential collective bargaining outcomes; consider whether the petition constitutes a Material Adverse Change under the LOI.</w:t>
      </w:r>
    </w:p>
    <w:p>
      <w:r>
        <w:pict>
          <v:rect style="width:0;height:1.5pt" o:hralign="center" o:hrstd="t" o:hr="t"/>
        </w:pict>
      </w:r>
    </w:p>
    <w:bookmarkEnd w:id="47"/>
    <w:bookmarkStart w:id="48" w:name="X53313b7c7ccee2ba66608353724b22a04b1add5"/>
    <w:p>
      <w:pPr>
        <w:pStyle w:val="Heading3"/>
      </w:pPr>
      <w:r>
        <w:t xml:space="preserve">RF-22 | Single-Trigger CoC Severance — $2.625M Certain Cash Outflow at Closing</w:t>
      </w:r>
    </w:p>
    <w:p>
      <w:pPr>
        <w:pStyle w:val="FirstParagraph"/>
      </w:pPr>
      <w:r>
        <w:rPr>
          <w:b/>
          <w:bCs/>
        </w:rPr>
        <w:t xml:space="preserve">Severity: MEDIUM-HIGH</w:t>
      </w:r>
    </w:p>
    <w:p>
      <w:pPr>
        <w:pStyle w:val="BodyText"/>
      </w:pPr>
      <w:r>
        <w:t xml:space="preserve">The employment agreements for Derek Calloway (CEO) and Jason Calloway (COO) contain</w:t>
      </w:r>
      <w:r>
        <w:t xml:space="preserve"> </w:t>
      </w:r>
      <w:r>
        <w:rPr>
          <w:b/>
          <w:bCs/>
        </w:rPr>
        <w:t xml:space="preserve">single-trigger change-of-control severance</w:t>
      </w:r>
      <w:r>
        <w:t xml:space="preserve"> </w:t>
      </w:r>
      <w:r>
        <w:t xml:space="preserve">provisions requiring lump-sum payments of $1,312,500 each ($2,625,000 combined) within 30 days of closing, regardless of whether their employment continues. These payments are certain upon closing and must be treated as transaction expenses or purchase price adjustments. The LOI’s definition of</w:t>
      </w:r>
      <w:r>
        <w:t xml:space="preserve"> </w:t>
      </w:r>
      <w:r>
        <w:t xml:space="preserve">“</w:t>
      </w:r>
      <w:r>
        <w:t xml:space="preserve">Transaction Expenses</w:t>
      </w:r>
      <w:r>
        <w:t xml:space="preserve">”</w:t>
      </w:r>
      <w:r>
        <w:t xml:space="preserve"> </w:t>
      </w:r>
      <w:r>
        <w:t xml:space="preserve">does not expressly address CoC severance, creating ambiguity about whether these amounts reduce the purchase price or are borne by the Buyer.</w:t>
      </w:r>
    </w:p>
    <w:p>
      <w:pPr>
        <w:pStyle w:val="BodyText"/>
      </w:pPr>
      <w:r>
        <w:t xml:space="preserve">Additionally, the double-trigger provisions for Engel ($425K), Dillon ($375K), and Oakes ($350K) total $1,150,000 and could be triggered by post-closing organizational changes.</w:t>
      </w:r>
    </w:p>
    <w:p>
      <w:pPr>
        <w:pStyle w:val="BodyText"/>
      </w:pPr>
      <w:r>
        <w:rPr>
          <w:b/>
          <w:bCs/>
        </w:rPr>
        <w:t xml:space="preserve">Action Required:</w:t>
      </w:r>
      <w:r>
        <w:t xml:space="preserve"> </w:t>
      </w:r>
      <w:r>
        <w:t xml:space="preserve">Confirm treatment of CoC severance in the SPA’s Transaction Expenses definition; negotiate post-closing employment arrangements with the Calloways to ensure operational continuity; consider whether the single-trigger structure can be renegotiated to a double-trigger in exchange for enhanced retention packages.</w:t>
      </w:r>
    </w:p>
    <w:p>
      <w:r>
        <w:pict>
          <v:rect style="width:0;height:1.5pt" o:hralign="center" o:hrstd="t" o:hr="t"/>
        </w:pict>
      </w:r>
    </w:p>
    <w:bookmarkEnd w:id="48"/>
    <w:bookmarkEnd w:id="49"/>
    <w:bookmarkStart w:id="50" w:name="section-7-summary-risk-matrix"/>
    <w:p>
      <w:pPr>
        <w:pStyle w:val="Heading2"/>
      </w:pPr>
      <w:r>
        <w:t xml:space="preserve">Section 7: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Est. Financial Exposure</w:t>
            </w:r>
          </w:p>
        </w:tc>
      </w:tr>
      <w:tr>
        <w:tc>
          <w:tcPr/>
          <w:p>
            <w:pPr>
              <w:pStyle w:val="Compact"/>
              <w:jc w:val="left"/>
            </w:pPr>
            <w:r>
              <w:t xml:space="preserve">RF-01</w:t>
            </w:r>
          </w:p>
        </w:tc>
        <w:tc>
          <w:tcPr/>
          <w:p>
            <w:pPr>
              <w:pStyle w:val="Compact"/>
              <w:jc w:val="left"/>
            </w:pPr>
            <w:r>
              <w:t xml:space="preserve">EBITDA discrepancy ($1.0M gap; CIM vs. QoE)</w:t>
            </w:r>
          </w:p>
        </w:tc>
        <w:tc>
          <w:tcPr/>
          <w:p>
            <w:pPr>
              <w:pStyle w:val="Compact"/>
              <w:jc w:val="left"/>
            </w:pPr>
            <w:r>
              <w:t xml:space="preserve">Financial / QoE</w:t>
            </w:r>
          </w:p>
        </w:tc>
        <w:tc>
          <w:tcPr/>
          <w:p>
            <w:pPr>
              <w:pStyle w:val="Compact"/>
              <w:jc w:val="left"/>
            </w:pPr>
            <w:r>
              <w:t xml:space="preserve">HIGH</w:t>
            </w:r>
          </w:p>
        </w:tc>
        <w:tc>
          <w:tcPr/>
          <w:p>
            <w:pPr>
              <w:pStyle w:val="Compact"/>
              <w:jc w:val="left"/>
            </w:pPr>
            <w:r>
              <w:t xml:space="preserve">$8–9M valuation impact at 8–9x</w:t>
            </w:r>
          </w:p>
        </w:tc>
      </w:tr>
      <w:tr>
        <w:tc>
          <w:tcPr/>
          <w:p>
            <w:pPr>
              <w:pStyle w:val="Compact"/>
              <w:jc w:val="left"/>
            </w:pPr>
            <w:r>
              <w:t xml:space="preserve">RF-02</w:t>
            </w:r>
          </w:p>
        </w:tc>
        <w:tc>
          <w:tcPr/>
          <w:p>
            <w:pPr>
              <w:pStyle w:val="Compact"/>
              <w:jc w:val="left"/>
            </w:pPr>
            <w:r>
              <w:t xml:space="preserve">Aggressive EBITDA add-backs ($5.4M)</w:t>
            </w:r>
          </w:p>
        </w:tc>
        <w:tc>
          <w:tcPr/>
          <w:p>
            <w:pPr>
              <w:pStyle w:val="Compact"/>
              <w:jc w:val="left"/>
            </w:pPr>
            <w:r>
              <w:t xml:space="preserve">Financial / QoE</w:t>
            </w:r>
          </w:p>
        </w:tc>
        <w:tc>
          <w:tcPr/>
          <w:p>
            <w:pPr>
              <w:pStyle w:val="Compact"/>
              <w:jc w:val="left"/>
            </w:pPr>
            <w:r>
              <w:t xml:space="preserve">HIGH</w:t>
            </w:r>
          </w:p>
        </w:tc>
        <w:tc>
          <w:tcPr/>
          <w:p>
            <w:pPr>
              <w:pStyle w:val="Compact"/>
              <w:jc w:val="left"/>
            </w:pPr>
            <w:r>
              <w:t xml:space="preserve">Up to $5.4M × 8–9x = $43–49M</w:t>
            </w:r>
          </w:p>
        </w:tc>
      </w:tr>
      <w:tr>
        <w:tc>
          <w:tcPr/>
          <w:p>
            <w:pPr>
              <w:pStyle w:val="Compact"/>
              <w:jc w:val="left"/>
            </w:pPr>
            <w:r>
              <w:t xml:space="preserve">RF-03</w:t>
            </w:r>
          </w:p>
        </w:tc>
        <w:tc>
          <w:tcPr/>
          <w:p>
            <w:pPr>
              <w:pStyle w:val="Compact"/>
              <w:jc w:val="left"/>
            </w:pPr>
            <w:r>
              <w:t xml:space="preserve">Reported EBITDA declined 27% YoY</w:t>
            </w:r>
          </w:p>
        </w:tc>
        <w:tc>
          <w:tcPr/>
          <w:p>
            <w:pPr>
              <w:pStyle w:val="Compact"/>
              <w:jc w:val="left"/>
            </w:pPr>
            <w:r>
              <w:t xml:space="preserve">Financial / QoE</w:t>
            </w:r>
          </w:p>
        </w:tc>
        <w:tc>
          <w:tcPr/>
          <w:p>
            <w:pPr>
              <w:pStyle w:val="Compact"/>
              <w:jc w:val="left"/>
            </w:pPr>
            <w:r>
              <w:t xml:space="preserve">MEDIUM-HIGH</w:t>
            </w:r>
          </w:p>
        </w:tc>
        <w:tc>
          <w:tcPr/>
          <w:p>
            <w:pPr>
              <w:pStyle w:val="Compact"/>
              <w:jc w:val="left"/>
            </w:pPr>
            <w:r>
              <w:t xml:space="preserve">Qualitative / valuation</w:t>
            </w:r>
          </w:p>
        </w:tc>
      </w:tr>
      <w:tr>
        <w:tc>
          <w:tcPr/>
          <w:p>
            <w:pPr>
              <w:pStyle w:val="Compact"/>
              <w:jc w:val="left"/>
            </w:pPr>
            <w:r>
              <w:t xml:space="preserve">RF-04</w:t>
            </w:r>
          </w:p>
        </w:tc>
        <w:tc>
          <w:tcPr/>
          <w:p>
            <w:pPr>
              <w:pStyle w:val="Compact"/>
              <w:jc w:val="left"/>
            </w:pPr>
            <w:r>
              <w:t xml:space="preserve">Fleet replacement backlog ($9.8M deferred)</w:t>
            </w:r>
          </w:p>
        </w:tc>
        <w:tc>
          <w:tcPr/>
          <w:p>
            <w:pPr>
              <w:pStyle w:val="Compact"/>
              <w:jc w:val="left"/>
            </w:pPr>
            <w:r>
              <w:t xml:space="preserve">Financial / QoE</w:t>
            </w:r>
          </w:p>
        </w:tc>
        <w:tc>
          <w:tcPr/>
          <w:p>
            <w:pPr>
              <w:pStyle w:val="Compact"/>
              <w:jc w:val="left"/>
            </w:pPr>
            <w:r>
              <w:t xml:space="preserve">MEDIUM-HIGH</w:t>
            </w:r>
          </w:p>
        </w:tc>
        <w:tc>
          <w:tcPr/>
          <w:p>
            <w:pPr>
              <w:pStyle w:val="Compact"/>
              <w:jc w:val="left"/>
            </w:pPr>
            <w:r>
              <w:t xml:space="preserve">$9.8M capex; ~$3.3M/yr above stated run-rate</w:t>
            </w:r>
          </w:p>
        </w:tc>
      </w:tr>
      <w:tr>
        <w:tc>
          <w:tcPr/>
          <w:p>
            <w:pPr>
              <w:pStyle w:val="Compact"/>
              <w:jc w:val="left"/>
            </w:pPr>
            <w:r>
              <w:t xml:space="preserve">RF-05</w:t>
            </w:r>
          </w:p>
        </w:tc>
        <w:tc>
          <w:tcPr/>
          <w:p>
            <w:pPr>
              <w:pStyle w:val="Compact"/>
              <w:jc w:val="left"/>
            </w:pPr>
            <w:r>
              <w:t xml:space="preserve">FY2024 financials unaudited; auditor change</w:t>
            </w:r>
          </w:p>
        </w:tc>
        <w:tc>
          <w:tcPr/>
          <w:p>
            <w:pPr>
              <w:pStyle w:val="Compact"/>
              <w:jc w:val="left"/>
            </w:pPr>
            <w:r>
              <w:t xml:space="preserve">Financial / QoE</w:t>
            </w:r>
          </w:p>
        </w:tc>
        <w:tc>
          <w:tcPr/>
          <w:p>
            <w:pPr>
              <w:pStyle w:val="Compact"/>
              <w:jc w:val="left"/>
            </w:pPr>
            <w:r>
              <w:t xml:space="preserve">MEDIUM</w:t>
            </w:r>
          </w:p>
        </w:tc>
        <w:tc>
          <w:tcPr/>
          <w:p>
            <w:pPr>
              <w:pStyle w:val="Compact"/>
              <w:jc w:val="left"/>
            </w:pPr>
            <w:r>
              <w:t xml:space="preserve">Qualitative</w:t>
            </w:r>
          </w:p>
        </w:tc>
      </w:tr>
      <w:tr>
        <w:tc>
          <w:tcPr/>
          <w:p>
            <w:pPr>
              <w:pStyle w:val="Compact"/>
              <w:jc w:val="left"/>
            </w:pPr>
            <w:r>
              <w:t xml:space="preserve">RF-06</w:t>
            </w:r>
          </w:p>
        </w:tc>
        <w:tc>
          <w:tcPr/>
          <w:p>
            <w:pPr>
              <w:pStyle w:val="Compact"/>
              <w:jc w:val="left"/>
            </w:pPr>
            <w:r>
              <w:t xml:space="preserve">Grand Junction ESA stale; contamination understated</w:t>
            </w:r>
          </w:p>
        </w:tc>
        <w:tc>
          <w:tcPr/>
          <w:p>
            <w:pPr>
              <w:pStyle w:val="Compact"/>
              <w:jc w:val="left"/>
            </w:pPr>
            <w:r>
              <w:t xml:space="preserve">Environmental</w:t>
            </w:r>
          </w:p>
        </w:tc>
        <w:tc>
          <w:tcPr/>
          <w:p>
            <w:pPr>
              <w:pStyle w:val="Compact"/>
              <w:jc w:val="left"/>
            </w:pPr>
            <w:r>
              <w:t xml:space="preserve">HIGH</w:t>
            </w:r>
          </w:p>
        </w:tc>
        <w:tc>
          <w:tcPr/>
          <w:p>
            <w:pPr>
              <w:pStyle w:val="Compact"/>
              <w:jc w:val="left"/>
            </w:pPr>
            <w:r>
              <w:t xml:space="preserve">$2.6M+ (likely higher with vapor intrusion / off-site)</w:t>
            </w:r>
          </w:p>
        </w:tc>
      </w:tr>
      <w:tr>
        <w:tc>
          <w:tcPr/>
          <w:p>
            <w:pPr>
              <w:pStyle w:val="Compact"/>
              <w:jc w:val="left"/>
            </w:pPr>
            <w:r>
              <w:t xml:space="preserve">RF-07</w:t>
            </w:r>
          </w:p>
        </w:tc>
        <w:tc>
          <w:tcPr/>
          <w:p>
            <w:pPr>
              <w:pStyle w:val="Compact"/>
              <w:jc w:val="left"/>
            </w:pPr>
            <w:r>
              <w:t xml:space="preserve">CDPHE RCRA enforcement action pending</w:t>
            </w:r>
          </w:p>
        </w:tc>
        <w:tc>
          <w:tcPr/>
          <w:p>
            <w:pPr>
              <w:pStyle w:val="Compact"/>
              <w:jc w:val="left"/>
            </w:pPr>
            <w:r>
              <w:t xml:space="preserve">Environmental</w:t>
            </w:r>
          </w:p>
        </w:tc>
        <w:tc>
          <w:tcPr/>
          <w:p>
            <w:pPr>
              <w:pStyle w:val="Compact"/>
              <w:jc w:val="left"/>
            </w:pPr>
            <w:r>
              <w:t xml:space="preserve">MEDIUM-HIGH</w:t>
            </w:r>
          </w:p>
        </w:tc>
        <w:tc>
          <w:tcPr/>
          <w:p>
            <w:pPr>
              <w:pStyle w:val="Compact"/>
              <w:jc w:val="left"/>
            </w:pPr>
            <w:r>
              <w:t xml:space="preserve">$200K–$1.16M penalty</w:t>
            </w:r>
          </w:p>
        </w:tc>
      </w:tr>
      <w:tr>
        <w:tc>
          <w:tcPr/>
          <w:p>
            <w:pPr>
              <w:pStyle w:val="Compact"/>
              <w:jc w:val="left"/>
            </w:pPr>
            <w:r>
              <w:t xml:space="preserve">RF-08</w:t>
            </w:r>
          </w:p>
        </w:tc>
        <w:tc>
          <w:tcPr/>
          <w:p>
            <w:pPr>
              <w:pStyle w:val="Compact"/>
              <w:jc w:val="left"/>
            </w:pPr>
            <w:r>
              <w:t xml:space="preserve">Wyoming Casper permit expired</w:t>
            </w:r>
          </w:p>
        </w:tc>
        <w:tc>
          <w:tcPr/>
          <w:p>
            <w:pPr>
              <w:pStyle w:val="Compact"/>
              <w:jc w:val="left"/>
            </w:pPr>
            <w:r>
              <w:t xml:space="preserve">Environmental</w:t>
            </w:r>
          </w:p>
        </w:tc>
        <w:tc>
          <w:tcPr/>
          <w:p>
            <w:pPr>
              <w:pStyle w:val="Compact"/>
              <w:jc w:val="left"/>
            </w:pPr>
            <w:r>
              <w:t xml:space="preserve">MEDIUM</w:t>
            </w:r>
          </w:p>
        </w:tc>
        <w:tc>
          <w:tcPr/>
          <w:p>
            <w:pPr>
              <w:pStyle w:val="Compact"/>
              <w:jc w:val="left"/>
            </w:pPr>
            <w:r>
              <w:t xml:space="preserve">Operational disruption risk</w:t>
            </w:r>
          </w:p>
        </w:tc>
      </w:tr>
      <w:tr>
        <w:tc>
          <w:tcPr/>
          <w:p>
            <w:pPr>
              <w:pStyle w:val="Compact"/>
              <w:jc w:val="left"/>
            </w:pPr>
            <w:r>
              <w:t xml:space="preserve">RF-09</w:t>
            </w:r>
          </w:p>
        </w:tc>
        <w:tc>
          <w:tcPr/>
          <w:p>
            <w:pPr>
              <w:pStyle w:val="Compact"/>
              <w:jc w:val="left"/>
            </w:pPr>
            <w:r>
              <w:t xml:space="preserve">Utah SLC permit in Pinnacle’s name</w:t>
            </w:r>
          </w:p>
        </w:tc>
        <w:tc>
          <w:tcPr/>
          <w:p>
            <w:pPr>
              <w:pStyle w:val="Compact"/>
              <w:jc w:val="left"/>
            </w:pPr>
            <w:r>
              <w:t xml:space="preserve">Environmental</w:t>
            </w:r>
          </w:p>
        </w:tc>
        <w:tc>
          <w:tcPr/>
          <w:p>
            <w:pPr>
              <w:pStyle w:val="Compact"/>
              <w:jc w:val="left"/>
            </w:pPr>
            <w:r>
              <w:t xml:space="preserve">MEDIUM-HIGH</w:t>
            </w:r>
          </w:p>
        </w:tc>
        <w:tc>
          <w:tcPr/>
          <w:p>
            <w:pPr>
              <w:pStyle w:val="Compact"/>
              <w:jc w:val="left"/>
            </w:pPr>
            <w:r>
              <w:t xml:space="preserve">Operational disruption; $16.2M revenue at risk</w:t>
            </w:r>
          </w:p>
        </w:tc>
      </w:tr>
      <w:tr>
        <w:tc>
          <w:tcPr/>
          <w:p>
            <w:pPr>
              <w:pStyle w:val="Compact"/>
              <w:jc w:val="left"/>
            </w:pPr>
            <w:r>
              <w:t xml:space="preserve">RF-10</w:t>
            </w:r>
          </w:p>
        </w:tc>
        <w:tc>
          <w:tcPr/>
          <w:p>
            <w:pPr>
              <w:pStyle w:val="Compact"/>
              <w:jc w:val="left"/>
            </w:pPr>
            <w:r>
              <w:t xml:space="preserve">Asbestos long-tail; pre-2015 coverage gap</w:t>
            </w:r>
          </w:p>
        </w:tc>
        <w:tc>
          <w:tcPr/>
          <w:p>
            <w:pPr>
              <w:pStyle w:val="Compact"/>
              <w:jc w:val="left"/>
            </w:pPr>
            <w:r>
              <w:t xml:space="preserve">Environmental</w:t>
            </w:r>
          </w:p>
        </w:tc>
        <w:tc>
          <w:tcPr/>
          <w:p>
            <w:pPr>
              <w:pStyle w:val="Compact"/>
              <w:jc w:val="left"/>
            </w:pPr>
            <w:r>
              <w:t xml:space="preserve">MEDIUM</w:t>
            </w:r>
          </w:p>
        </w:tc>
        <w:tc>
          <w:tcPr/>
          <w:p>
            <w:pPr>
              <w:pStyle w:val="Compact"/>
              <w:jc w:val="left"/>
            </w:pPr>
            <w:r>
              <w:t xml:space="preserve">Unquantified; potentially material</w:t>
            </w:r>
          </w:p>
        </w:tc>
      </w:tr>
      <w:tr>
        <w:tc>
          <w:tcPr/>
          <w:p>
            <w:pPr>
              <w:pStyle w:val="Compact"/>
              <w:jc w:val="left"/>
            </w:pPr>
            <w:r>
              <w:t xml:space="preserve">RF-11</w:t>
            </w:r>
          </w:p>
        </w:tc>
        <w:tc>
          <w:tcPr/>
          <w:p>
            <w:pPr>
              <w:pStyle w:val="Compact"/>
              <w:jc w:val="left"/>
            </w:pPr>
            <w:r>
              <w:t xml:space="preserve">DOE IDIQ ceiling exhaustion (FY2025)</w:t>
            </w:r>
          </w:p>
        </w:tc>
        <w:tc>
          <w:tcPr/>
          <w:p>
            <w:pPr>
              <w:pStyle w:val="Compact"/>
              <w:jc w:val="left"/>
            </w:pPr>
            <w:r>
              <w:t xml:space="preserve">Commercial</w:t>
            </w:r>
          </w:p>
        </w:tc>
        <w:tc>
          <w:tcPr/>
          <w:p>
            <w:pPr>
              <w:pStyle w:val="Compact"/>
              <w:jc w:val="left"/>
            </w:pPr>
            <w:r>
              <w:t xml:space="preserve">HIGH</w:t>
            </w:r>
          </w:p>
        </w:tc>
        <w:tc>
          <w:tcPr/>
          <w:p>
            <w:pPr>
              <w:pStyle w:val="Compact"/>
              <w:jc w:val="left"/>
            </w:pPr>
            <w:r>
              <w:t xml:space="preserve">$12.1M+ revenue headwind</w:t>
            </w:r>
          </w:p>
        </w:tc>
      </w:tr>
      <w:tr>
        <w:tc>
          <w:tcPr/>
          <w:p>
            <w:pPr>
              <w:pStyle w:val="Compact"/>
              <w:jc w:val="left"/>
            </w:pPr>
            <w:r>
              <w:t xml:space="preserve">RF-12</w:t>
            </w:r>
          </w:p>
        </w:tc>
        <w:tc>
          <w:tcPr/>
          <w:p>
            <w:pPr>
              <w:pStyle w:val="Compact"/>
              <w:jc w:val="left"/>
            </w:pPr>
            <w:r>
              <w:t xml:space="preserve">SLC lease — unresolved landlord consent</w:t>
            </w:r>
          </w:p>
        </w:tc>
        <w:tc>
          <w:tcPr/>
          <w:p>
            <w:pPr>
              <w:pStyle w:val="Compact"/>
              <w:jc w:val="left"/>
            </w:pPr>
            <w:r>
              <w:t xml:space="preserve">Commercial</w:t>
            </w:r>
          </w:p>
        </w:tc>
        <w:tc>
          <w:tcPr/>
          <w:p>
            <w:pPr>
              <w:pStyle w:val="Compact"/>
              <w:jc w:val="left"/>
            </w:pPr>
            <w:r>
              <w:t xml:space="preserve">HIGH</w:t>
            </w:r>
          </w:p>
        </w:tc>
        <w:tc>
          <w:tcPr/>
          <w:p>
            <w:pPr>
              <w:pStyle w:val="Compact"/>
              <w:jc w:val="left"/>
            </w:pPr>
            <w:r>
              <w:t xml:space="preserve">$16.2M revenue at risk; lease termination</w:t>
            </w:r>
          </w:p>
        </w:tc>
      </w:tr>
      <w:tr>
        <w:tc>
          <w:tcPr/>
          <w:p>
            <w:pPr>
              <w:pStyle w:val="Compact"/>
              <w:jc w:val="left"/>
            </w:pPr>
            <w:r>
              <w:t xml:space="preserve">RF-13</w:t>
            </w:r>
          </w:p>
        </w:tc>
        <w:tc>
          <w:tcPr/>
          <w:p>
            <w:pPr>
              <w:pStyle w:val="Compact"/>
              <w:jc w:val="left"/>
            </w:pPr>
            <w:r>
              <w:t xml:space="preserve">8 customer contracts with CoC provisions</w:t>
            </w:r>
          </w:p>
        </w:tc>
        <w:tc>
          <w:tcPr/>
          <w:p>
            <w:pPr>
              <w:pStyle w:val="Compact"/>
              <w:jc w:val="left"/>
            </w:pPr>
            <w:r>
              <w:t xml:space="preserve">Commercial</w:t>
            </w:r>
          </w:p>
        </w:tc>
        <w:tc>
          <w:tcPr/>
          <w:p>
            <w:pPr>
              <w:pStyle w:val="Compact"/>
              <w:jc w:val="left"/>
            </w:pPr>
            <w:r>
              <w:t xml:space="preserve">MEDIUM-HIGH</w:t>
            </w:r>
          </w:p>
        </w:tc>
        <w:tc>
          <w:tcPr/>
          <w:p>
            <w:pPr>
              <w:pStyle w:val="Compact"/>
              <w:jc w:val="left"/>
            </w:pPr>
            <w:r>
              <w:t xml:space="preserve">Revenue at risk across multiple relationships</w:t>
            </w:r>
          </w:p>
        </w:tc>
      </w:tr>
      <w:tr>
        <w:tc>
          <w:tcPr/>
          <w:p>
            <w:pPr>
              <w:pStyle w:val="Compact"/>
              <w:jc w:val="left"/>
            </w:pPr>
            <w:r>
              <w:t xml:space="preserve">RF-14</w:t>
            </w:r>
          </w:p>
        </w:tc>
        <w:tc>
          <w:tcPr/>
          <w:p>
            <w:pPr>
              <w:pStyle w:val="Compact"/>
              <w:jc w:val="left"/>
            </w:pPr>
            <w:r>
              <w:t xml:space="preserve">CMMC 60-day termination for convenience</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$14.5M revenue at risk</w:t>
            </w:r>
          </w:p>
        </w:tc>
      </w:tr>
      <w:tr>
        <w:tc>
          <w:tcPr/>
          <w:p>
            <w:pPr>
              <w:pStyle w:val="Compact"/>
              <w:jc w:val="left"/>
            </w:pPr>
            <w:r>
              <w:t xml:space="preserve">RF-15</w:t>
            </w:r>
          </w:p>
        </w:tc>
        <w:tc>
          <w:tcPr/>
          <w:p>
            <w:pPr>
              <w:pStyle w:val="Compact"/>
              <w:jc w:val="left"/>
            </w:pPr>
            <w:r>
              <w:t xml:space="preserve">Customer list discrepancy (CIM vs. QoE)</w:t>
            </w:r>
          </w:p>
        </w:tc>
        <w:tc>
          <w:tcPr/>
          <w:p>
            <w:pPr>
              <w:pStyle w:val="Compact"/>
              <w:jc w:val="left"/>
            </w:pPr>
            <w:r>
              <w:t xml:space="preserve">Commercial</w:t>
            </w:r>
          </w:p>
        </w:tc>
        <w:tc>
          <w:tcPr/>
          <w:p>
            <w:pPr>
              <w:pStyle w:val="Compact"/>
              <w:jc w:val="left"/>
            </w:pPr>
            <w:r>
              <w:t xml:space="preserve">MEDIUM</w:t>
            </w:r>
          </w:p>
        </w:tc>
        <w:tc>
          <w:tcPr/>
          <w:p>
            <w:pPr>
              <w:pStyle w:val="Compact"/>
              <w:jc w:val="left"/>
            </w:pPr>
            <w:r>
              <w:t xml:space="preserve">Qualitative; data integrity concern</w:t>
            </w:r>
          </w:p>
        </w:tc>
      </w:tr>
      <w:tr>
        <w:tc>
          <w:tcPr/>
          <w:p>
            <w:pPr>
              <w:pStyle w:val="Compact"/>
              <w:jc w:val="left"/>
            </w:pPr>
            <w:r>
              <w:t xml:space="preserve">RF-16</w:t>
            </w:r>
          </w:p>
        </w:tc>
        <w:tc>
          <w:tcPr/>
          <w:p>
            <w:pPr>
              <w:pStyle w:val="Compact"/>
              <w:jc w:val="left"/>
            </w:pPr>
            <w:r>
              <w:t xml:space="preserve">Mandatory credit facility prepayment ($38.7M)</w:t>
            </w:r>
          </w:p>
        </w:tc>
        <w:tc>
          <w:tcPr/>
          <w:p>
            <w:pPr>
              <w:pStyle w:val="Compact"/>
              <w:jc w:val="left"/>
            </w:pPr>
            <w:r>
              <w:t xml:space="preserve">Debt / Capital</w:t>
            </w:r>
          </w:p>
        </w:tc>
        <w:tc>
          <w:tcPr/>
          <w:p>
            <w:pPr>
              <w:pStyle w:val="Compact"/>
              <w:jc w:val="left"/>
            </w:pPr>
            <w:r>
              <w:t xml:space="preserve">HIGH</w:t>
            </w:r>
          </w:p>
        </w:tc>
        <w:tc>
          <w:tcPr/>
          <w:p>
            <w:pPr>
              <w:pStyle w:val="Compact"/>
              <w:jc w:val="left"/>
            </w:pPr>
            <w:r>
              <w:t xml:space="preserve">$38.96M+ (principal + premium + interest)</w:t>
            </w:r>
          </w:p>
        </w:tc>
      </w:tr>
      <w:tr>
        <w:tc>
          <w:tcPr/>
          <w:p>
            <w:pPr>
              <w:pStyle w:val="Compact"/>
              <w:jc w:val="left"/>
            </w:pPr>
            <w:r>
              <w:t xml:space="preserve">RF-17</w:t>
            </w:r>
          </w:p>
        </w:tc>
        <w:tc>
          <w:tcPr/>
          <w:p>
            <w:pPr>
              <w:pStyle w:val="Compact"/>
              <w:jc w:val="left"/>
            </w:pPr>
            <w:r>
              <w:t xml:space="preserve">Bank EBITDA vs. management EBITDA gap</w:t>
            </w:r>
          </w:p>
        </w:tc>
        <w:tc>
          <w:tcPr/>
          <w:p>
            <w:pPr>
              <w:pStyle w:val="Compact"/>
              <w:jc w:val="left"/>
            </w:pPr>
            <w:r>
              <w:t xml:space="preserve">Debt / Capital</w:t>
            </w:r>
          </w:p>
        </w:tc>
        <w:tc>
          <w:tcPr/>
          <w:p>
            <w:pPr>
              <w:pStyle w:val="Compact"/>
              <w:jc w:val="left"/>
            </w:pPr>
            <w:r>
              <w:t xml:space="preserve">MEDIUM</w:t>
            </w:r>
          </w:p>
        </w:tc>
        <w:tc>
          <w:tcPr/>
          <w:p>
            <w:pPr>
              <w:pStyle w:val="Compact"/>
              <w:jc w:val="left"/>
            </w:pPr>
            <w:r>
              <w:t xml:space="preserve">Financing terms impact</w:t>
            </w:r>
          </w:p>
        </w:tc>
      </w:tr>
      <w:tr>
        <w:tc>
          <w:tcPr/>
          <w:p>
            <w:pPr>
              <w:pStyle w:val="Compact"/>
              <w:jc w:val="left"/>
            </w:pPr>
            <w:r>
              <w:t xml:space="preserve">RF-18</w:t>
            </w:r>
          </w:p>
        </w:tc>
        <w:tc>
          <w:tcPr/>
          <w:p>
            <w:pPr>
              <w:pStyle w:val="Compact"/>
              <w:jc w:val="left"/>
            </w:pPr>
            <w:r>
              <w:t xml:space="preserve">Derek Calloway key-man credit covenant</w:t>
            </w:r>
          </w:p>
        </w:tc>
        <w:tc>
          <w:tcPr/>
          <w:p>
            <w:pPr>
              <w:pStyle w:val="Compact"/>
              <w:jc w:val="left"/>
            </w:pPr>
            <w:r>
              <w:t xml:space="preserve">Debt / Capital</w:t>
            </w:r>
          </w:p>
        </w:tc>
        <w:tc>
          <w:tcPr/>
          <w:p>
            <w:pPr>
              <w:pStyle w:val="Compact"/>
              <w:jc w:val="left"/>
            </w:pPr>
            <w:r>
              <w:t xml:space="preserve">MEDIUM</w:t>
            </w:r>
          </w:p>
        </w:tc>
        <w:tc>
          <w:tcPr/>
          <w:p>
            <w:pPr>
              <w:pStyle w:val="Compact"/>
              <w:jc w:val="left"/>
            </w:pPr>
            <w:r>
              <w:t xml:space="preserve">Qualitative; operational risk</w:t>
            </w:r>
          </w:p>
        </w:tc>
      </w:tr>
      <w:tr>
        <w:tc>
          <w:tcPr/>
          <w:p>
            <w:pPr>
              <w:pStyle w:val="Compact"/>
              <w:jc w:val="left"/>
            </w:pPr>
            <w:r>
              <w:t xml:space="preserve">RF-19</w:t>
            </w:r>
          </w:p>
        </w:tc>
        <w:tc>
          <w:tcPr/>
          <w:p>
            <w:pPr>
              <w:pStyle w:val="Compact"/>
              <w:jc w:val="left"/>
            </w:pPr>
            <w:r>
              <w:t xml:space="preserve">Pueblo lease expires at closing</w:t>
            </w:r>
          </w:p>
        </w:tc>
        <w:tc>
          <w:tcPr/>
          <w:p>
            <w:pPr>
              <w:pStyle w:val="Compact"/>
              <w:jc w:val="left"/>
            </w:pPr>
            <w:r>
              <w:t xml:space="preserve">Real Property</w:t>
            </w:r>
          </w:p>
        </w:tc>
        <w:tc>
          <w:tcPr/>
          <w:p>
            <w:pPr>
              <w:pStyle w:val="Compact"/>
              <w:jc w:val="left"/>
            </w:pPr>
            <w:r>
              <w:t xml:space="preserve">LOW-MEDIUM</w:t>
            </w:r>
          </w:p>
        </w:tc>
        <w:tc>
          <w:tcPr/>
          <w:p>
            <w:pPr>
              <w:pStyle w:val="Compact"/>
              <w:jc w:val="left"/>
            </w:pPr>
            <w:r>
              <w:t xml:space="preserve">Relocation costs</w:t>
            </w:r>
          </w:p>
        </w:tc>
      </w:tr>
      <w:tr>
        <w:tc>
          <w:tcPr/>
          <w:p>
            <w:pPr>
              <w:pStyle w:val="Compact"/>
              <w:jc w:val="left"/>
            </w:pPr>
            <w:r>
              <w:t xml:space="preserve">RF-20</w:t>
            </w:r>
          </w:p>
        </w:tc>
        <w:tc>
          <w:tcPr/>
          <w:p>
            <w:pPr>
              <w:pStyle w:val="Compact"/>
              <w:jc w:val="left"/>
            </w:pPr>
            <w:r>
              <w:t xml:space="preserve">Grand Junction appraisal stale (3 years)</w:t>
            </w:r>
          </w:p>
        </w:tc>
        <w:tc>
          <w:tcPr/>
          <w:p>
            <w:pPr>
              <w:pStyle w:val="Compact"/>
              <w:jc w:val="left"/>
            </w:pPr>
            <w:r>
              <w:t xml:space="preserve">Real Property</w:t>
            </w:r>
          </w:p>
        </w:tc>
        <w:tc>
          <w:tcPr/>
          <w:p>
            <w:pPr>
              <w:pStyle w:val="Compact"/>
              <w:jc w:val="left"/>
            </w:pPr>
            <w:r>
              <w:t xml:space="preserve">LOW-MEDIUM</w:t>
            </w:r>
          </w:p>
        </w:tc>
        <w:tc>
          <w:tcPr/>
          <w:p>
            <w:pPr>
              <w:pStyle w:val="Compact"/>
              <w:jc w:val="left"/>
            </w:pPr>
            <w:r>
              <w:t xml:space="preserve">Collateral value uncertainty</w:t>
            </w:r>
          </w:p>
        </w:tc>
      </w:tr>
      <w:tr>
        <w:tc>
          <w:tcPr/>
          <w:p>
            <w:pPr>
              <w:pStyle w:val="Compact"/>
              <w:jc w:val="left"/>
            </w:pPr>
            <w:r>
              <w:t xml:space="preserve">RF-21</w:t>
            </w:r>
          </w:p>
        </w:tc>
        <w:tc>
          <w:tcPr/>
          <w:p>
            <w:pPr>
              <w:pStyle w:val="Compact"/>
              <w:jc w:val="left"/>
            </w:pPr>
            <w:r>
              <w:t xml:space="preserve">NLRB unionization petition (62 employees)</w:t>
            </w:r>
          </w:p>
        </w:tc>
        <w:tc>
          <w:tcPr/>
          <w:p>
            <w:pPr>
              <w:pStyle w:val="Compact"/>
              <w:jc w:val="left"/>
            </w:pPr>
            <w:r>
              <w:t xml:space="preserve">Human Capital</w:t>
            </w:r>
          </w:p>
        </w:tc>
        <w:tc>
          <w:tcPr/>
          <w:p>
            <w:pPr>
              <w:pStyle w:val="Compact"/>
              <w:jc w:val="left"/>
            </w:pPr>
            <w:r>
              <w:t xml:space="preserve">MEDIUM-HIGH</w:t>
            </w:r>
          </w:p>
        </w:tc>
        <w:tc>
          <w:tcPr/>
          <w:p>
            <w:pPr>
              <w:pStyle w:val="Compact"/>
              <w:jc w:val="left"/>
            </w:pPr>
            <w:r>
              <w:t xml:space="preserve">Labor cost increases; operational disruption</w:t>
            </w:r>
          </w:p>
        </w:tc>
      </w:tr>
      <w:tr>
        <w:tc>
          <w:tcPr/>
          <w:p>
            <w:pPr>
              <w:pStyle w:val="Compact"/>
              <w:jc w:val="left"/>
            </w:pPr>
            <w:r>
              <w:t xml:space="preserve">RF-22</w:t>
            </w:r>
          </w:p>
        </w:tc>
        <w:tc>
          <w:tcPr/>
          <w:p>
            <w:pPr>
              <w:pStyle w:val="Compact"/>
              <w:jc w:val="left"/>
            </w:pPr>
            <w:r>
              <w:t xml:space="preserve">Single-trigger CoC severance ($2.625M certain)</w:t>
            </w:r>
          </w:p>
        </w:tc>
        <w:tc>
          <w:tcPr/>
          <w:p>
            <w:pPr>
              <w:pStyle w:val="Compact"/>
              <w:jc w:val="left"/>
            </w:pPr>
            <w:r>
              <w:t xml:space="preserve">Human Capital</w:t>
            </w:r>
          </w:p>
        </w:tc>
        <w:tc>
          <w:tcPr/>
          <w:p>
            <w:pPr>
              <w:pStyle w:val="Compact"/>
              <w:jc w:val="left"/>
            </w:pPr>
            <w:r>
              <w:t xml:space="preserve">MEDIUM-HIGH</w:t>
            </w:r>
          </w:p>
        </w:tc>
        <w:tc>
          <w:tcPr/>
          <w:p>
            <w:pPr>
              <w:pStyle w:val="Compact"/>
              <w:jc w:val="left"/>
            </w:pPr>
            <w:r>
              <w:t xml:space="preserve">$2.625M certain; $1.15M contingent</w:t>
            </w:r>
          </w:p>
        </w:tc>
      </w:tr>
    </w:tbl>
    <w:p>
      <w:r>
        <w:pict>
          <v:rect style="width:0;height:1.5pt" o:hralign="center" o:hrstd="t" o:hr="t"/>
        </w:pict>
      </w:r>
    </w:p>
    <w:bookmarkEnd w:id="50"/>
    <w:bookmarkStart w:id="51" w:name="section-8-recommended-next-steps"/>
    <w:p>
      <w:pPr>
        <w:pStyle w:val="Heading2"/>
      </w:pPr>
      <w:r>
        <w:t xml:space="preserve">Section 8: Recommended Next Steps</w:t>
      </w:r>
    </w:p>
    <w:p>
      <w:pPr>
        <w:numPr>
          <w:ilvl w:val="0"/>
          <w:numId w:val="1004"/>
        </w:numPr>
      </w:pPr>
      <w:r>
        <w:rPr>
          <w:b/>
          <w:bCs/>
        </w:rPr>
        <w:t xml:space="preserve">Demand a reconciled EBITDA bridge</w:t>
      </w:r>
      <w:r>
        <w:t xml:space="preserve"> </w:t>
      </w:r>
      <w:r>
        <w:t xml:space="preserve">(RF-01, RF-02): Require Bridgewater Forsyth Group to deliver a final QoE report resolving the $1.0M discrepancy and independently validating each add-back category before any binding valuation is agreed.</w:t>
      </w:r>
    </w:p>
    <w:p>
      <w:pPr>
        <w:numPr>
          <w:ilvl w:val="0"/>
          <w:numId w:val="1004"/>
        </w:numPr>
      </w:pPr>
      <w:r>
        <w:rPr>
          <w:b/>
          <w:bCs/>
        </w:rPr>
        <w:t xml:space="preserve">Commission an updated Phase II ESA</w:t>
      </w:r>
      <w:r>
        <w:t xml:space="preserve"> </w:t>
      </w:r>
      <w:r>
        <w:t xml:space="preserve">(RF-06): Engage an independent environmental consultant to update the 2019 assessment, conduct a vapor intrusion assessment, and install off-site sentinel monitoring wells. Results should inform the environmental indemnification structure.</w:t>
      </w:r>
    </w:p>
    <w:p>
      <w:pPr>
        <w:numPr>
          <w:ilvl w:val="0"/>
          <w:numId w:val="1004"/>
        </w:numPr>
      </w:pPr>
      <w:r>
        <w:rPr>
          <w:b/>
          <w:bCs/>
        </w:rPr>
        <w:t xml:space="preserve">Initiate DOE ceiling modification and novation process</w:t>
      </w:r>
      <w:r>
        <w:t xml:space="preserve"> </w:t>
      </w:r>
      <w:r>
        <w:t xml:space="preserve">(RF-11): The Company should immediately request a ceiling increase modification from the DOE Contracting Officer and initiate the novation notification process. This is a long-lead-time item that cannot wait until post-signing.</w:t>
      </w:r>
    </w:p>
    <w:p>
      <w:pPr>
        <w:numPr>
          <w:ilvl w:val="0"/>
          <w:numId w:val="1004"/>
        </w:numPr>
      </w:pPr>
      <w:r>
        <w:rPr>
          <w:b/>
          <w:bCs/>
        </w:rPr>
        <w:t xml:space="preserve">Resolve SLC lease consent</w:t>
      </w:r>
      <w:r>
        <w:t xml:space="preserve"> </w:t>
      </w:r>
      <w:r>
        <w:t xml:space="preserve">(RF-12): Engage directly with Wasatch Industrial Properties, LLC to obtain written consent to both the 2022 Pinnacle assignment and the proposed Sycamore acquisition. Make this a hard closing condition.</w:t>
      </w:r>
    </w:p>
    <w:p>
      <w:pPr>
        <w:numPr>
          <w:ilvl w:val="0"/>
          <w:numId w:val="1004"/>
        </w:numPr>
      </w:pPr>
      <w:r>
        <w:rPr>
          <w:b/>
          <w:bCs/>
        </w:rPr>
        <w:t xml:space="preserve">Arrange credit facility payoff</w:t>
      </w:r>
      <w:r>
        <w:t xml:space="preserve"> </w:t>
      </w:r>
      <w:r>
        <w:t xml:space="preserve">(RF-16): Engage High Plains National Bank to obtain a payoff letter and arrange acquisition financing well in advance of the five-business-day mandatory prepayment window.</w:t>
      </w:r>
    </w:p>
    <w:p>
      <w:pPr>
        <w:numPr>
          <w:ilvl w:val="0"/>
          <w:numId w:val="1004"/>
        </w:numPr>
      </w:pPr>
      <w:r>
        <w:rPr>
          <w:b/>
          <w:bCs/>
        </w:rPr>
        <w:t xml:space="preserve">Assess NLRB petition</w:t>
      </w:r>
      <w:r>
        <w:t xml:space="preserve"> </w:t>
      </w:r>
      <w:r>
        <w:t xml:space="preserve">(RF-21): Obtain a full briefing from the Company’s labor counsel on the Teamsters petition; assess whether this constitutes a Material Adverse Change under the LOI.</w:t>
      </w:r>
    </w:p>
    <w:p>
      <w:pPr>
        <w:numPr>
          <w:ilvl w:val="0"/>
          <w:numId w:val="1004"/>
        </w:numPr>
      </w:pPr>
      <w:r>
        <w:rPr>
          <w:b/>
          <w:bCs/>
        </w:rPr>
        <w:t xml:space="preserve">Negotiate SPA indemnification structure</w:t>
      </w:r>
      <w:r>
        <w:t xml:space="preserve">: Given the concentration of environmental, regulatory, and commercial risks, the Buyer should negotiate: (i) a specific environmental escrow of at least $3–5M with a 6-year survival period; (ii) a specific CDPHE enforcement escrow of $1.2M; (iii) a DOE revenue protection mechanism (earnout or price adjustment); and (iv) express treatment of CoC severance as a seller transaction expense.</w:t>
      </w:r>
    </w:p>
    <w:p>
      <w:r>
        <w:pict>
          <v:rect style="width:0;height:1.5pt" o:hralign="center" o:hrstd="t" o:hr="t"/>
        </w:pict>
      </w:r>
    </w:p>
    <w:p>
      <w:pPr>
        <w:pStyle w:val="FirstParagraph"/>
      </w:pPr>
      <w:r>
        <w:rPr>
          <w:i/>
          <w:iCs/>
        </w:rPr>
        <w:t xml:space="preserve">This memorandum is prepared solely for the internal use of Sycamore Capital Partners, LP and its advisors in connection with the evaluation of the proposed acquisition of Ridgeline Environmental Services, Inc. It is based on a review of data room documents as of December 2024 and does not constitute legal advice. All findings are subject to further verification through ongoing due diligence.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2026-08-17T16:45:26Z</dcterms:created>
  <dcterms:modified xsi:type="dcterms:W3CDTF">2026-08-17T16:45:26Z</dcterms:modified>
</cp:coreProperties>
</file>

<file path=docProps/custom.xml><?xml version="1.0" encoding="utf-8"?>
<Properties xmlns="http://schemas.openxmlformats.org/officeDocument/2006/custom-properties" xmlns:vt="http://schemas.openxmlformats.org/officeDocument/2006/docPropsVTypes"/>
</file>