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3" w:name="due-diligence-red-flag-memorandum"/>
    <w:p>
      <w:pPr>
        <w:pStyle w:val="Heading1"/>
      </w:pPr>
      <w:r>
        <w:t xml:space="preserve">Due Diligence Red Flag Memorandum</w:t>
      </w:r>
    </w:p>
    <w:p>
      <w:pPr>
        <w:pStyle w:val="FirstParagraph"/>
      </w:pPr>
      <w:r>
        <w:rPr>
          <w:b/>
          <w:bCs/>
        </w:rPr>
        <w:t xml:space="preserve">Project Ridgeline — Proposed Acquisition of Ridgeline Environmental Services, Inc.</w:t>
      </w:r>
    </w:p>
    <w:p>
      <w:pPr>
        <w:pStyle w:val="BodyText"/>
      </w:pPr>
      <w:r>
        <w:rPr>
          <w:b/>
          <w:bCs/>
        </w:rPr>
        <w:t xml:space="preserve">Prepared for:</w:t>
      </w:r>
      <w:r>
        <w:t xml:space="preserve"> </w:t>
      </w:r>
      <w:r>
        <w:t xml:space="preserve">Sycamore Capital Partners, LP</w:t>
      </w:r>
      <w:r>
        <w:br/>
      </w:r>
      <w:r>
        <w:rPr>
          <w:b/>
          <w:bCs/>
        </w:rPr>
        <w:t xml:space="preserve">Prepared by:</w:t>
      </w:r>
      <w:r>
        <w:t xml:space="preserve"> </w:t>
      </w:r>
      <w:r>
        <w:t xml:space="preserve">Deal Team / Diligence Counsel</w:t>
      </w:r>
      <w:r>
        <w:br/>
      </w:r>
      <w:r>
        <w:rPr>
          <w:b/>
          <w:bCs/>
        </w:rPr>
        <w:t xml:space="preserve">Date:</w:t>
      </w:r>
      <w:r>
        <w:t xml:space="preserve"> </w:t>
      </w:r>
      <w:r>
        <w:t xml:space="preserve">December 2024</w:t>
      </w:r>
      <w:r>
        <w:br/>
      </w:r>
      <w:r>
        <w:rPr>
          <w:b/>
          <w:bCs/>
        </w:rPr>
        <w:t xml:space="preserve">Classification:</w:t>
      </w:r>
      <w:r>
        <w:t xml:space="preserve"> </w:t>
      </w:r>
      <w:r>
        <w:t xml:space="preserve">Confidential — For Internal Use Only</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summarizes material red flags and diligence concerns identified across thirteen data room documents reviewed in connection with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proposed transaction is structured as a 100% stock acquisition at an indicative enterprise value of $182–$205 million (8.0x–9.0x FY2024 Adjusted EBITDA of $22.8M per the CIM).</w:t>
      </w:r>
    </w:p>
    <w:p>
      <w:pPr>
        <w:pStyle w:val="BodyText"/>
      </w:pPr>
      <w:r>
        <w:t xml:space="preserve">Our review has identified</w:t>
      </w:r>
      <w:r>
        <w:t xml:space="preserve"> </w:t>
      </w:r>
      <w:r>
        <w:rPr>
          <w:b/>
          <w:bCs/>
        </w:rPr>
        <w:t xml:space="preserve">twenty-two (22) discrete red flags</w:t>
      </w:r>
      <w:r>
        <w:t xml:space="preserve"> </w:t>
      </w:r>
      <w:r>
        <w:t xml:space="preserve">spanning six risk categories: (1) Financial / Quality of Earnings, (2) Environmental &amp; Regulatory, (3) Contractual &amp; Customer, (4) Real Property &amp; Leases, (5) Labor &amp; Employment, and (6) Debt &amp; Capital Structure. Several of these issues are individually material and, in combination, could warrant a meaningful reduction to the purchase price, enhanced indemnification protections, or restructuring of the transaction.</w:t>
      </w:r>
    </w:p>
    <w:p>
      <w:pPr>
        <w:pStyle w:val="BodyText"/>
      </w:pPr>
      <w:r>
        <w:rPr>
          <w:b/>
          <w:bCs/>
        </w:rPr>
        <w:t xml:space="preserve">The three most critical issues requiring immediate attention are:</w:t>
      </w:r>
    </w:p>
    <w:p>
      <w:pPr>
        <w:pStyle w:val="Compact"/>
        <w:numPr>
          <w:ilvl w:val="0"/>
          <w:numId w:val="1001"/>
        </w:numPr>
      </w:pPr>
      <w:r>
        <w:rPr>
          <w:b/>
          <w:bCs/>
        </w:rPr>
        <w:t xml:space="preserve">DOE IDIQ Ceiling Exhaustion</w:t>
      </w:r>
      <w:r>
        <w:t xml:space="preserve"> </w:t>
      </w:r>
      <w:r>
        <w:t xml:space="preserve">— The Company’s largest customer (19.2% of revenue) is projected to exhaust its contract ceiling by April–May 2025, creating a potential $12.1M+ revenue headwind in FY2025 that is not reflected in the valuation.</w:t>
      </w:r>
    </w:p>
    <w:p>
      <w:pPr>
        <w:pStyle w:val="Compact"/>
        <w:numPr>
          <w:ilvl w:val="0"/>
          <w:numId w:val="1001"/>
        </w:numPr>
      </w:pPr>
      <w:r>
        <w:rPr>
          <w:b/>
          <w:bCs/>
        </w:rPr>
        <w:t xml:space="preserve">EBITDA Overstatement / QoE Discrepancy</w:t>
      </w:r>
      <w:r>
        <w:t xml:space="preserve"> </w:t>
      </w:r>
      <w:r>
        <w:t xml:space="preserve">— Management’s Adjusted EBITDA of $22.8M (CIM) conflicts with the QoE data room figure of $23.8M, and the $5.4M aggregate add-back package contains items that are recurring in nature, inflating the valuation basis by an estimated $2.5–$3.5M.</w:t>
      </w:r>
    </w:p>
    <w:p>
      <w:pPr>
        <w:pStyle w:val="Compact"/>
        <w:numPr>
          <w:ilvl w:val="0"/>
          <w:numId w:val="1001"/>
        </w:numPr>
      </w:pPr>
      <w:r>
        <w:rPr>
          <w:b/>
          <w:bCs/>
        </w:rPr>
        <w:t xml:space="preserve">Salt Lake City Lease / Permit Dual Default Risk</w:t>
      </w:r>
      <w:r>
        <w:t xml:space="preserve"> </w:t>
      </w:r>
      <w:r>
        <w:t xml:space="preserve">— The Company’s second-largest facility cluster (~$16.2M revenue) operates under an unresolved lease assignment and an untransferred environmental permit, creating a potential landlord default and regulatory compliance exposure that could disrupt operations.</w:t>
      </w:r>
    </w:p>
    <w:p>
      <w:r>
        <w:pict>
          <v:rect style="width:0;height:1.5pt" o:hralign="center" o:hrstd="t" o:hr="t"/>
        </w:pict>
      </w:r>
    </w:p>
    <w:bookmarkEnd w:id="21"/>
    <w:bookmarkStart w:id="50" w:name="red-flag-detail-by-category"/>
    <w:p>
      <w:pPr>
        <w:pStyle w:val="Heading2"/>
      </w:pPr>
      <w:r>
        <w:t xml:space="preserve">Red Flag Detail by Category</w:t>
      </w:r>
    </w:p>
    <w:p>
      <w:r>
        <w:pict>
          <v:rect style="width:0;height:1.5pt" o:hralign="center" o:hrstd="t" o:hr="t"/>
        </w:pict>
      </w:r>
    </w:p>
    <w:bookmarkStart w:id="28" w:name="category-1-financial-quality-of-earnings"/>
    <w:p>
      <w:pPr>
        <w:pStyle w:val="Heading3"/>
      </w:pPr>
      <w:r>
        <w:t xml:space="preserve">CATEGORY 1: FINANCIAL / QUALITY OF EARNINGS</w:t>
      </w:r>
    </w:p>
    <w:p>
      <w:r>
        <w:pict>
          <v:rect style="width:0;height:1.5pt" o:hralign="center" o:hrstd="t" o:hr="t"/>
        </w:pict>
      </w:r>
    </w:p>
    <w:bookmarkStart w:id="22" w:name="Xfab31e801605d69831887374a6c4368328baeb4"/>
    <w:p>
      <w:pPr>
        <w:pStyle w:val="Heading4"/>
      </w:pPr>
      <w:r>
        <w:t xml:space="preserve">RF-01 | EBITDA Discrepancy Between CIM and QoE Data Package — HIGH SEVERITY</w:t>
      </w:r>
    </w:p>
    <w:p>
      <w:pPr>
        <w:pStyle w:val="FirstParagraph"/>
      </w:pPr>
      <w:r>
        <w:rPr>
          <w:b/>
          <w:bCs/>
        </w:rPr>
        <w:t xml:space="preserve">Source Documents:</w:t>
      </w:r>
      <w:r>
        <w:t xml:space="preserve"> </w:t>
      </w:r>
      <w:r>
        <w:t xml:space="preserve">CIM (Section VI.B); QoE Data Request Response (EBITDA Bridge Tab)</w:t>
      </w:r>
    </w:p>
    <w:p>
      <w:pPr>
        <w:pStyle w:val="BodyText"/>
      </w:pPr>
      <w:r>
        <w:rPr>
          <w:b/>
          <w:bCs/>
        </w:rPr>
        <w:t xml:space="preserve">Finding:</w:t>
      </w:r>
      <w:r>
        <w:t xml:space="preserve"> </w:t>
      </w:r>
      <w:r>
        <w:t xml:space="preserve">The CIM presents FY2024 Adjusted EBITDA of</w:t>
      </w:r>
      <w:r>
        <w:t xml:space="preserve"> </w:t>
      </w:r>
      <w:r>
        <w:rPr>
          <w:b/>
          <w:bCs/>
        </w:rPr>
        <w:t xml:space="preserve">$22.8M</w:t>
      </w:r>
      <w:r>
        <w:t xml:space="preserve">, while the QoE data package EBITDA Bridge tab shows Management Adjusted EBITDA of</w:t>
      </w:r>
      <w:r>
        <w:t xml:space="preserve"> </w:t>
      </w:r>
      <w:r>
        <w:rPr>
          <w:b/>
          <w:bCs/>
        </w:rPr>
        <w:t xml:space="preserve">$23.8M</w:t>
      </w:r>
      <w:r>
        <w:t xml:space="preserve"> </w:t>
      </w:r>
      <w:r>
        <w:t xml:space="preserve">— a $1.0M discrepancy. The QoE data package itself acknowledges this gap and states that</w:t>
      </w:r>
      <w:r>
        <w:t xml:space="preserve"> </w:t>
      </w:r>
      <w:r>
        <w:t xml:space="preserve">“</w:t>
      </w:r>
      <w:r>
        <w:t xml:space="preserve">the specific adjustment category causing the discrepancy has not been identified.</w:t>
      </w:r>
      <w:r>
        <w:t xml:space="preserve">”</w:t>
      </w:r>
      <w:r>
        <w:t xml:space="preserve"> </w:t>
      </w:r>
      <w:r>
        <w:t xml:space="preserve">This unresolved reconciliation gap is a significant quality-of-earnings concern. The valuation is anchored to Adjusted EBITDA; a $1.0M discrepancy at an 8.0x–9.0x multiple implies a $8–9M swing in enterprise value.</w:t>
      </w:r>
    </w:p>
    <w:p>
      <w:pPr>
        <w:pStyle w:val="BodyText"/>
      </w:pPr>
      <w:r>
        <w:rPr>
          <w:b/>
          <w:bCs/>
        </w:rPr>
        <w:t xml:space="preserve">Recommended Action:</w:t>
      </w:r>
      <w:r>
        <w:t xml:space="preserve"> </w:t>
      </w:r>
      <w:r>
        <w:t xml:space="preserve">Require management to provide a fully reconciled EBITDA bridge with line-item support before finalizing the purchase price. The QoE firm (Bridgewater Forsyth Group) should resolve this discrepancy as a priority deliverable.</w:t>
      </w:r>
    </w:p>
    <w:p>
      <w:r>
        <w:pict>
          <v:rect style="width:0;height:1.5pt" o:hralign="center" o:hrstd="t" o:hr="t"/>
        </w:pict>
      </w:r>
    </w:p>
    <w:bookmarkEnd w:id="22"/>
    <w:bookmarkStart w:id="23" w:name="X40dd9b1a74637448cf908abda3f1741a2221e42"/>
    <w:p>
      <w:pPr>
        <w:pStyle w:val="Heading4"/>
      </w:pPr>
      <w:r>
        <w:t xml:space="preserve">RF-02 | Aggressive / Recurring Nature of EBITDA Add-Backs — HIGH SEVERITY</w:t>
      </w:r>
    </w:p>
    <w:p>
      <w:pPr>
        <w:pStyle w:val="FirstParagraph"/>
      </w:pPr>
      <w:r>
        <w:rPr>
          <w:b/>
          <w:bCs/>
        </w:rPr>
        <w:t xml:space="preserve">Source Documents:</w:t>
      </w:r>
      <w:r>
        <w:t xml:space="preserve"> </w:t>
      </w:r>
      <w:r>
        <w:t xml:space="preserve">CIM (Section VI.B); QoE Data Request Response (EBITDA Bridge Tab); Credit Agreement Summary (Section 4)</w:t>
      </w:r>
    </w:p>
    <w:p>
      <w:pPr>
        <w:pStyle w:val="BodyText"/>
      </w:pPr>
      <w:r>
        <w:rPr>
          <w:b/>
          <w:bCs/>
        </w:rPr>
        <w:t xml:space="preserve">Finding:</w:t>
      </w:r>
      <w:r>
        <w:t xml:space="preserve"> </w:t>
      </w:r>
      <w:r>
        <w:t xml:space="preserve">The $5.4M aggregate add-back package (per QoE data) includes items that are arguably recurring or that have appeared across multiple fiscal years:</w:t>
      </w:r>
    </w:p>
    <w:p>
      <w:pPr>
        <w:pStyle w:val="Compact"/>
        <w:numPr>
          <w:ilvl w:val="0"/>
          <w:numId w:val="1002"/>
        </w:numPr>
      </w:pPr>
      <w:r>
        <w:rPr>
          <w:b/>
          <w:bCs/>
        </w:rPr>
        <w:t xml:space="preserve">Acquisition &amp; Integration Costs ($800K in FY2024; $620K in FY2023; $1,240K in FY2022):</w:t>
      </w:r>
      <w:r>
        <w:t xml:space="preserve"> </w:t>
      </w:r>
      <w:r>
        <w:t xml:space="preserve">Integration costs have appeared in three consecutive years. The Pinnacle acquisition closed in March 2022;</w:t>
      </w:r>
      <w:r>
        <w:t xml:space="preserve"> </w:t>
      </w:r>
      <w:r>
        <w:t xml:space="preserve">“</w:t>
      </w:r>
      <w:r>
        <w:t xml:space="preserve">substantially complete</w:t>
      </w:r>
      <w:r>
        <w:t xml:space="preserve">”</w:t>
      </w:r>
      <w:r>
        <w:t xml:space="preserve"> </w:t>
      </w:r>
      <w:r>
        <w:t xml:space="preserve">integration in FY2024 is questionable given ongoing permit transfer issues and the unresolved SLC lease assignment. These costs appear semi-recurring.</w:t>
      </w:r>
    </w:p>
    <w:p>
      <w:pPr>
        <w:pStyle w:val="Compact"/>
        <w:numPr>
          <w:ilvl w:val="0"/>
          <w:numId w:val="1002"/>
        </w:numPr>
      </w:pPr>
      <w:r>
        <w:rPr>
          <w:b/>
          <w:bCs/>
        </w:rPr>
        <w:t xml:space="preserve">ERP Implementation ($650K in FY2024; $385K in FY2023):</w:t>
      </w:r>
      <w:r>
        <w:t xml:space="preserve"> </w:t>
      </w:r>
      <w:r>
        <w:t xml:space="preserve">The QoE data notes Phase 2 is expected to complete in Q2 FY2025, meaning additional ERP costs will likely be incurred post-closing. This is not a clean one-time item.</w:t>
      </w:r>
    </w:p>
    <w:p>
      <w:pPr>
        <w:pStyle w:val="Compact"/>
        <w:numPr>
          <w:ilvl w:val="0"/>
          <w:numId w:val="1002"/>
        </w:numPr>
      </w:pPr>
      <w:r>
        <w:rPr>
          <w:b/>
          <w:bCs/>
        </w:rPr>
        <w:t xml:space="preserve">Owner Compensation Normalization ($950K):</w:t>
      </w:r>
      <w:r>
        <w:t xml:space="preserve"> </w:t>
      </w:r>
      <w:r>
        <w:t xml:space="preserve">While a standard add-back, the Calloways’ combined base salary of $1.75M is being normalized to $800K. Post-closing, if both founders remain (as contemplated), the buyer will need to negotiate new employment terms. The $950K add-back assumes replacement executives at $400K each — a figure that may understate market rates for a $127M revenue environmental services platform.</w:t>
      </w:r>
    </w:p>
    <w:p>
      <w:pPr>
        <w:pStyle w:val="Compact"/>
        <w:numPr>
          <w:ilvl w:val="0"/>
          <w:numId w:val="1002"/>
        </w:numPr>
      </w:pPr>
      <w:r>
        <w:rPr>
          <w:b/>
          <w:bCs/>
        </w:rPr>
        <w:t xml:space="preserve">Asbestos Wind-Down ($1.8M):</w:t>
      </w:r>
      <w:r>
        <w:t xml:space="preserve"> </w:t>
      </w:r>
      <w:r>
        <w:t xml:space="preserve">This is a legitimate one-time item, but the service line generated losses in FY2023 ($686K negative contribution) and FY2024 wind-down costs of $1.8M. The CIM’s characterization of this as purely non-recurring ignores the multi-year margin drag.</w:t>
      </w:r>
    </w:p>
    <w:p>
      <w:pPr>
        <w:pStyle w:val="Compact"/>
        <w:numPr>
          <w:ilvl w:val="0"/>
          <w:numId w:val="1002"/>
        </w:numPr>
      </w:pPr>
      <w:r>
        <w:rPr>
          <w:b/>
          <w:bCs/>
        </w:rPr>
        <w:t xml:space="preserve">Litigation Settlement ($1.2M):</w:t>
      </w:r>
      <w:r>
        <w:t xml:space="preserve"> </w:t>
      </w:r>
      <w:r>
        <w:t xml:space="preserve">The QoE data labels this as the</w:t>
      </w:r>
      <w:r>
        <w:t xml:space="preserve"> </w:t>
      </w:r>
      <w:r>
        <w:t xml:space="preserve">“</w:t>
      </w:r>
      <w:r>
        <w:t xml:space="preserve">Harper Environmental</w:t>
      </w:r>
      <w:r>
        <w:t xml:space="preserve">”</w:t>
      </w:r>
      <w:r>
        <w:t xml:space="preserve"> </w:t>
      </w:r>
      <w:r>
        <w:t xml:space="preserve">settlement. However, the Litigation Summary (Section IV.A) clarifies this was the</w:t>
      </w:r>
      <w:r>
        <w:t xml:space="preserve"> </w:t>
      </w:r>
      <w:r>
        <w:rPr>
          <w:b/>
          <w:bCs/>
        </w:rPr>
        <w:t xml:space="preserve">Clearwater Logistics</w:t>
      </w:r>
      <w:r>
        <w:t xml:space="preserve"> </w:t>
      </w:r>
      <w:r>
        <w:t xml:space="preserve">settlement — a</w:t>
      </w:r>
      <w:r>
        <w:t xml:space="preserve"> </w:t>
      </w:r>
      <w:r>
        <w:rPr>
          <w:b/>
          <w:bCs/>
        </w:rPr>
        <w:t xml:space="preserve">receipt</w:t>
      </w:r>
      <w:r>
        <w:t xml:space="preserve"> </w:t>
      </w:r>
      <w:r>
        <w:t xml:space="preserve">of $1.2M, not a payment. Adding back a cash receipt as a non-recurring item inflates EBITDA. This add-back should be scrutinized: if it is a one-time receipt, it should be removed from EBITDA, not added back.</w:t>
      </w:r>
    </w:p>
    <w:p>
      <w:pPr>
        <w:pStyle w:val="FirstParagraph"/>
      </w:pPr>
      <w:r>
        <w:rPr>
          <w:b/>
          <w:bCs/>
        </w:rPr>
        <w:t xml:space="preserve">Recommended Action:</w:t>
      </w:r>
      <w:r>
        <w:t xml:space="preserve"> </w:t>
      </w:r>
      <w:r>
        <w:t xml:space="preserve">Buyer’s QoE team should challenge each add-back category. Estimated sustainable Adjusted EBITDA, after removing questionable items, may be $19.5–$21.0M, implying a valuation of $156–$189M at 8.0x–9.0x — materially below the $182–$205M indicative range.</w:t>
      </w:r>
    </w:p>
    <w:p>
      <w:r>
        <w:pict>
          <v:rect style="width:0;height:1.5pt" o:hralign="center" o:hrstd="t" o:hr="t"/>
        </w:pict>
      </w:r>
    </w:p>
    <w:bookmarkEnd w:id="23"/>
    <w:bookmarkStart w:id="24" w:name="X8f1b01444b2f40055ba59d3b8f299efcd88c931"/>
    <w:p>
      <w:pPr>
        <w:pStyle w:val="Heading4"/>
      </w:pPr>
      <w:r>
        <w:t xml:space="preserve">RF-03 | Bank EBITDA vs. Management EBITDA Divergence — MEDIUM SEVERITY</w:t>
      </w:r>
    </w:p>
    <w:p>
      <w:pPr>
        <w:pStyle w:val="FirstParagraph"/>
      </w:pPr>
      <w:r>
        <w:rPr>
          <w:b/>
          <w:bCs/>
        </w:rPr>
        <w:t xml:space="preserve">Source Documents:</w:t>
      </w:r>
      <w:r>
        <w:t xml:space="preserve"> </w:t>
      </w:r>
      <w:r>
        <w:t xml:space="preserve">Credit Agreement Summary (Section 4); CIM (Section VI.B)</w:t>
      </w:r>
    </w:p>
    <w:p>
      <w:pPr>
        <w:pStyle w:val="BodyText"/>
      </w:pPr>
      <w:r>
        <w:rPr>
          <w:b/>
          <w:bCs/>
        </w:rPr>
        <w:t xml:space="preserve">Finding:</w:t>
      </w:r>
      <w:r>
        <w:t xml:space="preserve"> </w:t>
      </w:r>
      <w:r>
        <w:t xml:space="preserve">The Credit Agreement defines</w:t>
      </w:r>
      <w:r>
        <w:t xml:space="preserve"> </w:t>
      </w:r>
      <w:r>
        <w:t xml:space="preserve">“</w:t>
      </w:r>
      <w:r>
        <w:t xml:space="preserve">Consolidated EBITDA</w:t>
      </w:r>
      <w:r>
        <w:t xml:space="preserve">”</w:t>
      </w:r>
      <w:r>
        <w:t xml:space="preserve"> </w:t>
      </w:r>
      <w:r>
        <w:t xml:space="preserve">with a cap of $500K on non-recurring add-backs. Under the bank definition, Consolidated EBITDA for FY2024 is approximately</w:t>
      </w:r>
      <w:r>
        <w:t xml:space="preserve"> </w:t>
      </w:r>
      <w:r>
        <w:rPr>
          <w:b/>
          <w:bCs/>
        </w:rPr>
        <w:t xml:space="preserve">$18.4M</w:t>
      </w:r>
      <w:r>
        <w:t xml:space="preserve"> </w:t>
      </w:r>
      <w:r>
        <w:t xml:space="preserve">— $4.4M below management’s $22.8M figure. The bank’s leverage ratio is therefore 2.10x ($38.7M / $18.4M), not the 1.70x implied by management’s adjusted figure. This divergence is material for two reasons: (1) it confirms that a significant portion of the add-back package is not independently validated; and (2) it means the Company’s true leverage profile is higher than presented.</w:t>
      </w:r>
    </w:p>
    <w:p>
      <w:pPr>
        <w:pStyle w:val="BodyText"/>
      </w:pPr>
      <w:r>
        <w:rPr>
          <w:b/>
          <w:bCs/>
        </w:rPr>
        <w:t xml:space="preserve">Recommended Action:</w:t>
      </w:r>
      <w:r>
        <w:t xml:space="preserve"> </w:t>
      </w:r>
      <w:r>
        <w:t xml:space="preserve">Use the bank’s $18.4M Consolidated EBITDA as a cross-check on management’s adjustments. Require Bridgewater Forsyth to independently validate each add-back against the bank definition.</w:t>
      </w:r>
    </w:p>
    <w:p>
      <w:r>
        <w:pict>
          <v:rect style="width:0;height:1.5pt" o:hralign="center" o:hrstd="t" o:hr="t"/>
        </w:pict>
      </w:r>
    </w:p>
    <w:bookmarkEnd w:id="24"/>
    <w:bookmarkStart w:id="25" w:name="Xe45a34bc17bb3c76ca6fb9a6bde17f79e725287"/>
    <w:p>
      <w:pPr>
        <w:pStyle w:val="Heading4"/>
      </w:pPr>
      <w:r>
        <w:t xml:space="preserve">RF-04 | Reported EBITDA Decline in FY2024 — MEDIUM SEVERITY</w:t>
      </w:r>
    </w:p>
    <w:p>
      <w:pPr>
        <w:pStyle w:val="FirstParagraph"/>
      </w:pPr>
      <w:r>
        <w:rPr>
          <w:b/>
          <w:bCs/>
        </w:rPr>
        <w:t xml:space="preserve">Source Documents:</w:t>
      </w:r>
      <w:r>
        <w:t xml:space="preserve"> </w:t>
      </w:r>
      <w:r>
        <w:t xml:space="preserve">QoE Data Request Response (Historical P&amp;L Tab)</w:t>
      </w:r>
    </w:p>
    <w:p>
      <w:pPr>
        <w:pStyle w:val="BodyText"/>
      </w:pPr>
      <w:r>
        <w:rPr>
          <w:b/>
          <w:bCs/>
        </w:rPr>
        <w:t xml:space="preserve">Finding:</w:t>
      </w:r>
      <w:r>
        <w:t xml:space="preserve"> </w:t>
      </w:r>
      <w:r>
        <w:t xml:space="preserve">The QoE P&amp;L data shows FY2024 Reported EBITDA of</w:t>
      </w:r>
      <w:r>
        <w:t xml:space="preserve"> </w:t>
      </w:r>
      <w:r>
        <w:rPr>
          <w:b/>
          <w:bCs/>
        </w:rPr>
        <w:t xml:space="preserve">$26.0M</w:t>
      </w:r>
      <w:r>
        <w:t xml:space="preserve"> </w:t>
      </w:r>
      <w:r>
        <w:t xml:space="preserve">(including D&amp;A add-back), but management presents Reported EBITDA of</w:t>
      </w:r>
      <w:r>
        <w:t xml:space="preserve"> </w:t>
      </w:r>
      <w:r>
        <w:rPr>
          <w:b/>
          <w:bCs/>
        </w:rPr>
        <w:t xml:space="preserve">$18.4M</w:t>
      </w:r>
      <w:r>
        <w:t xml:space="preserve"> </w:t>
      </w:r>
      <w:r>
        <w:t xml:space="preserve">as the bridge starting point — a $7.6M difference attributable to D&amp;A treatment. More importantly, Reported EBITDA (per management’s presentation) declined</w:t>
      </w:r>
      <w:r>
        <w:t xml:space="preserve"> </w:t>
      </w:r>
      <w:r>
        <w:rPr>
          <w:b/>
          <w:bCs/>
        </w:rPr>
        <w:t xml:space="preserve">27.0% year-over-year</w:t>
      </w:r>
      <w:r>
        <w:t xml:space="preserve"> </w:t>
      </w:r>
      <w:r>
        <w:t xml:space="preserve">from FY2023 ($25.2M) to FY2024 ($18.4M), while revenue grew 11.1%. This is a significant margin compression signal. The decline is partially explained by the $5.4M in add-backs, but even on an adjusted basis, the FY2024 Adjusted EBITDA margin of 18.7% (per QoE) is below FY2023’s 24.5% adjusted margin — a 580 basis point compression. The CIM does not present historical Adjusted EBITDA for prior years, making trend analysis difficult.</w:t>
      </w:r>
    </w:p>
    <w:p>
      <w:pPr>
        <w:pStyle w:val="BodyText"/>
      </w:pPr>
      <w:r>
        <w:rPr>
          <w:b/>
          <w:bCs/>
        </w:rPr>
        <w:t xml:space="preserve">Recommended Action:</w:t>
      </w:r>
      <w:r>
        <w:t xml:space="preserve"> </w:t>
      </w:r>
      <w:r>
        <w:t xml:space="preserve">Require management to provide a full multi-year Adjusted EBITDA bridge (FY2020–FY2024) to assess whether margin compression is structural or temporary.</w:t>
      </w:r>
    </w:p>
    <w:p>
      <w:r>
        <w:pict>
          <v:rect style="width:0;height:1.5pt" o:hralign="center" o:hrstd="t" o:hr="t"/>
        </w:pict>
      </w:r>
    </w:p>
    <w:bookmarkEnd w:id="25"/>
    <w:bookmarkStart w:id="26" w:name="X4be6ae4e8c4db794ac0ef6703ae797c960cbaaf"/>
    <w:p>
      <w:pPr>
        <w:pStyle w:val="Heading4"/>
      </w:pPr>
      <w:r>
        <w:t xml:space="preserve">RF-05 | Fleet Replacement Backlog — Understated Maintenance CapEx — MEDIUM SEVERITY</w:t>
      </w:r>
    </w:p>
    <w:p>
      <w:pPr>
        <w:pStyle w:val="FirstParagraph"/>
      </w:pPr>
      <w:r>
        <w:rPr>
          <w:b/>
          <w:bCs/>
        </w:rPr>
        <w:t xml:space="preserve">Source Documents:</w:t>
      </w:r>
      <w:r>
        <w:t xml:space="preserve"> </w:t>
      </w:r>
      <w:r>
        <w:t xml:space="preserve">QoE Data Request Response (Fleet &amp; Equipment Schedule; CapEx Detail Tab)</w:t>
      </w:r>
    </w:p>
    <w:p>
      <w:pPr>
        <w:pStyle w:val="BodyText"/>
      </w:pPr>
      <w:r>
        <w:rPr>
          <w:b/>
          <w:bCs/>
        </w:rPr>
        <w:t xml:space="preserve">Finding:</w:t>
      </w:r>
      <w:r>
        <w:t xml:space="preserve"> </w:t>
      </w:r>
      <w:r>
        <w:t xml:space="preserve">The Fleet &amp; Equipment Schedule reveals that</w:t>
      </w:r>
      <w:r>
        <w:t xml:space="preserve"> </w:t>
      </w:r>
      <w:r>
        <w:rPr>
          <w:b/>
          <w:bCs/>
        </w:rPr>
        <w:t xml:space="preserve">38 of 85 fleet assets (44.7%) are at or past their stated useful life</w:t>
      </w:r>
      <w:r>
        <w:t xml:space="preserve">, with an average fleet age of 8.2 years against a 7.0-year weighted average useful life. The estimated replacement cost for past-useful-life units is</w:t>
      </w:r>
      <w:r>
        <w:t xml:space="preserve"> </w:t>
      </w:r>
      <w:r>
        <w:rPr>
          <w:b/>
          <w:bCs/>
        </w:rPr>
        <w:t xml:space="preserve">$9.8M</w:t>
      </w:r>
      <w:r>
        <w:t xml:space="preserve">. Management’s normalized maintenance CapEx estimate of $4.0–$4.5M per year appears understated given this backlog. Spreading the $9.8M replacement backlog over three years implies approximately $3.3M per year in catch-up CapEx above the current run-rate, suggesting true normalized maintenance CapEx of $7.3–$7.8M annually — nearly double management’s estimate. This has a direct impact on free cash flow and the implied valuation.</w:t>
      </w:r>
    </w:p>
    <w:p>
      <w:pPr>
        <w:pStyle w:val="BodyText"/>
      </w:pPr>
      <w:r>
        <w:rPr>
          <w:b/>
          <w:bCs/>
        </w:rPr>
        <w:t xml:space="preserve">Recommended Action:</w:t>
      </w:r>
      <w:r>
        <w:t xml:space="preserve"> </w:t>
      </w:r>
      <w:r>
        <w:t xml:space="preserve">Conduct an independent fleet condition assessment. Adjust the CapEx model to reflect the deferred replacement backlog. Reduce free cash flow projections accordingly.</w:t>
      </w:r>
    </w:p>
    <w:p>
      <w:r>
        <w:pict>
          <v:rect style="width:0;height:1.5pt" o:hralign="center" o:hrstd="t" o:hr="t"/>
        </w:pict>
      </w:r>
    </w:p>
    <w:bookmarkEnd w:id="26"/>
    <w:bookmarkStart w:id="27" w:name="X0c1a89aa064e3d6afa4bbe2beb4083d2e5a102f"/>
    <w:p>
      <w:pPr>
        <w:pStyle w:val="Heading4"/>
      </w:pPr>
      <w:r>
        <w:t xml:space="preserve">RF-06 | Financial Statements Not Audited for FY2024 — MEDIUM SEVERITY</w:t>
      </w:r>
    </w:p>
    <w:p>
      <w:pPr>
        <w:pStyle w:val="FirstParagraph"/>
      </w:pPr>
      <w:r>
        <w:rPr>
          <w:b/>
          <w:bCs/>
        </w:rPr>
        <w:t xml:space="preserve">Source Documents:</w:t>
      </w:r>
      <w:r>
        <w:t xml:space="preserve"> </w:t>
      </w:r>
      <w:r>
        <w:t xml:space="preserve">QoE Data Request Response (Cover Tab); CIM (Section VI.A); LOI (Section 8(i))</w:t>
      </w:r>
    </w:p>
    <w:p>
      <w:pPr>
        <w:pStyle w:val="BodyText"/>
      </w:pPr>
      <w:r>
        <w:rPr>
          <w:b/>
          <w:bCs/>
        </w:rPr>
        <w:t xml:space="preserve">Finding:</w:t>
      </w:r>
      <w:r>
        <w:t xml:space="preserve"> </w:t>
      </w:r>
      <w:r>
        <w:t xml:space="preserve">The QoE data package confirms that FY2024 (TTM 9/30/24) financials are</w:t>
      </w:r>
      <w:r>
        <w:t xml:space="preserve"> </w:t>
      </w:r>
      <w:r>
        <w:rPr>
          <w:b/>
          <w:bCs/>
        </w:rPr>
        <w:t xml:space="preserve">reviewed but unaudited</w:t>
      </w:r>
      <w:r>
        <w:t xml:space="preserve">. The CIM notes that financial statements are</w:t>
      </w:r>
      <w:r>
        <w:t xml:space="preserve"> </w:t>
      </w:r>
      <w:r>
        <w:t xml:space="preserve">“</w:t>
      </w:r>
      <w:r>
        <w:t xml:space="preserve">reviewed by the Company’s independent accountants, Hansen &amp; Whitfield, CPAs</w:t>
      </w:r>
      <w:r>
        <w:t xml:space="preserve">”</w:t>
      </w:r>
      <w:r>
        <w:t xml:space="preserve"> </w:t>
      </w:r>
      <w:r>
        <w:t xml:space="preserve">— a local Grand Junction firm, not a national or regional firm. The LOI requires delivery of audited financial statements for FY2022, FY2023, and FY2024 as a closing condition. The QoE data also notes a change in auditors: FY2020–FY2023 were audited by Plante Moran PLLC, while FY2024 is only reviewed by Hansen &amp; Whitfield. This auditor downgrade is a red flag. Additionally, the CIM’s statement that financials are</w:t>
      </w:r>
      <w:r>
        <w:t xml:space="preserve"> </w:t>
      </w:r>
      <w:r>
        <w:t xml:space="preserve">“</w:t>
      </w:r>
      <w:r>
        <w:t xml:space="preserve">reviewed</w:t>
      </w:r>
      <w:r>
        <w:t xml:space="preserve">”</w:t>
      </w:r>
      <w:r>
        <w:t xml:space="preserve"> </w:t>
      </w:r>
      <w:r>
        <w:t xml:space="preserve">(not audited) for FY2024 means the Buyer is relying on unaudited numbers for the primary valuation period.</w:t>
      </w:r>
    </w:p>
    <w:p>
      <w:pPr>
        <w:pStyle w:val="BodyText"/>
      </w:pPr>
      <w:r>
        <w:rPr>
          <w:b/>
          <w:bCs/>
        </w:rPr>
        <w:t xml:space="preserve">Recommended Action:</w:t>
      </w:r>
      <w:r>
        <w:t xml:space="preserve"> </w:t>
      </w:r>
      <w:r>
        <w:t xml:space="preserve">Require delivery of FY2024 audited financials (by a nationally recognized firm) before signing. Investigate the reason for the auditor change from Plante Moran to Hansen &amp; Whitfield.</w:t>
      </w:r>
    </w:p>
    <w:p>
      <w:r>
        <w:pict>
          <v:rect style="width:0;height:1.5pt" o:hralign="center" o:hrstd="t" o:hr="t"/>
        </w:pict>
      </w:r>
    </w:p>
    <w:bookmarkEnd w:id="27"/>
    <w:bookmarkEnd w:id="28"/>
    <w:bookmarkStart w:id="34" w:name="category-2-environmental-regulatory"/>
    <w:p>
      <w:pPr>
        <w:pStyle w:val="Heading3"/>
      </w:pPr>
      <w:r>
        <w:t xml:space="preserve">CATEGORY 2: ENVIRONMENTAL &amp; REGULATORY</w:t>
      </w:r>
    </w:p>
    <w:p>
      <w:r>
        <w:pict>
          <v:rect style="width:0;height:1.5pt" o:hralign="center" o:hrstd="t" o:hr="t"/>
        </w:pict>
      </w:r>
    </w:p>
    <w:bookmarkStart w:id="29" w:name="Xe16f13f7c02b7a30c948d85ab91f9e969b1735a"/>
    <w:p>
      <w:pPr>
        <w:pStyle w:val="Heading4"/>
      </w:pPr>
      <w:r>
        <w:t xml:space="preserve">RF-07 | Grand Junction Facility — Stale Phase II ESA, Unquantified Remediation Exposure — HIGH SEVERITY</w:t>
      </w:r>
    </w:p>
    <w:p>
      <w:pPr>
        <w:pStyle w:val="FirstParagraph"/>
      </w:pPr>
      <w:r>
        <w:rPr>
          <w:b/>
          <w:bCs/>
        </w:rPr>
        <w:t xml:space="preserve">Source Documents:</w:t>
      </w:r>
      <w:r>
        <w:t xml:space="preserve"> </w:t>
      </w:r>
      <w:r>
        <w:t xml:space="preserve">Phase II ESA Executive Summary; Environmental Permit Schedule (Section 2.1); Litigation Summary (Section VI.A); Real Property Lease Schedule (Section 2.1)</w:t>
      </w:r>
    </w:p>
    <w:p>
      <w:pPr>
        <w:pStyle w:val="BodyText"/>
      </w:pPr>
      <w:r>
        <w:rPr>
          <w:b/>
          <w:bCs/>
        </w:rPr>
        <w:t xml:space="preserve">Finding:</w:t>
      </w:r>
      <w:r>
        <w:t xml:space="preserve"> </w:t>
      </w:r>
      <w:r>
        <w:t xml:space="preserve">The Phase II ESA was completed in</w:t>
      </w:r>
      <w:r>
        <w:t xml:space="preserve"> </w:t>
      </w:r>
      <w:r>
        <w:rPr>
          <w:b/>
          <w:bCs/>
        </w:rPr>
        <w:t xml:space="preserve">June 2019</w:t>
      </w:r>
      <w:r>
        <w:t xml:space="preserve"> </w:t>
      </w:r>
      <w:r>
        <w:t xml:space="preserve">— over five years ago. The ESA identified:</w:t>
      </w:r>
      <w:r>
        <w:t xml:space="preserve"> </w:t>
      </w:r>
      <w:r>
        <w:t xml:space="preserve">- Petroleum hydrocarbon contamination (TPH-diesel up to 4,200 mg/kg; benzene in groundwater at 12 µg/L, exceeding the 5 µg/L Colorado standard)</w:t>
      </w:r>
      <w:r>
        <w:t xml:space="preserve"> </w:t>
      </w:r>
      <w:r>
        <w:t xml:space="preserve">- Chlorinated solvent contamination (PCE up to 18 mg/kg in soil; PCE at 22 µg/L and TCE at 8.7 µg/L in groundwater, both exceeding Colorado standards)</w:t>
      </w:r>
      <w:r>
        <w:t xml:space="preserve"> </w:t>
      </w:r>
      <w:r>
        <w:t xml:space="preserve">- Potential vapor intrusion pathway into the occupied 28,000 sq. ft. vehicle maintenance building (PCE at 450 µg/m³, exceeding EPA RSL of 240 µg/m³)</w:t>
      </w:r>
      <w:r>
        <w:t xml:space="preserve"> </w:t>
      </w:r>
      <w:r>
        <w:t xml:space="preserve">- Potential off-site plume migration — no off-site sentinel wells installed</w:t>
      </w:r>
    </w:p>
    <w:p>
      <w:pPr>
        <w:pStyle w:val="BodyText"/>
      </w:pPr>
      <w:r>
        <w:t xml:space="preserve">The 2019 cost estimate of</w:t>
      </w:r>
      <w:r>
        <w:t xml:space="preserve"> </w:t>
      </w:r>
      <w:r>
        <w:rPr>
          <w:b/>
          <w:bCs/>
        </w:rPr>
        <w:t xml:space="preserve">$1.8–$2.6M</w:t>
      </w:r>
      <w:r>
        <w:t xml:space="preserve"> </w:t>
      </w:r>
      <w:r>
        <w:t xml:space="preserve">is now five years stale and explicitly noted by Elkhorn as requiring update before any transaction. The Company has accrued only $2.2M for Grand Junction remediation. Critically:</w:t>
      </w:r>
      <w:r>
        <w:t xml:space="preserve"> </w:t>
      </w:r>
      <w:r>
        <w:t xml:space="preserve">-</w:t>
      </w:r>
      <w:r>
        <w:t xml:space="preserve"> </w:t>
      </w:r>
      <w:r>
        <w:rPr>
          <w:b/>
          <w:bCs/>
        </w:rPr>
        <w:t xml:space="preserve">No updated Phase II ESA has been commissioned</w:t>
      </w:r>
      <w:r>
        <w:t xml:space="preserve"> </w:t>
      </w:r>
      <w:r>
        <w:t xml:space="preserve">despite the ESA’s explicit recommendation to update before any transaction.</w:t>
      </w:r>
      <w:r>
        <w:t xml:space="preserve"> </w:t>
      </w:r>
      <w:r>
        <w:t xml:space="preserve">-</w:t>
      </w:r>
      <w:r>
        <w:t xml:space="preserve"> </w:t>
      </w:r>
      <w:r>
        <w:rPr>
          <w:b/>
          <w:bCs/>
        </w:rPr>
        <w:t xml:space="preserve">Vapor intrusion assessment has not been conducted</w:t>
      </w:r>
      <w:r>
        <w:t xml:space="preserve">, leaving occupational health risk to employees unquantified.</w:t>
      </w:r>
      <w:r>
        <w:t xml:space="preserve"> </w:t>
      </w:r>
      <w:r>
        <w:t xml:space="preserve">-</w:t>
      </w:r>
      <w:r>
        <w:t xml:space="preserve"> </w:t>
      </w:r>
      <w:r>
        <w:rPr>
          <w:b/>
          <w:bCs/>
        </w:rPr>
        <w:t xml:space="preserve">Off-site migration has not been confirmed or ruled out.</w:t>
      </w:r>
      <w:r>
        <w:t xml:space="preserve"> </w:t>
      </w:r>
      <w:r>
        <w:t xml:space="preserve">If off-site migration is confirmed, remediation costs could increase materially and additional regulatory notification requirements under Colorado Regulation No. 41 would be triggered.</w:t>
      </w:r>
      <w:r>
        <w:t xml:space="preserve"> </w:t>
      </w:r>
      <w:r>
        <w:t xml:space="preserve">- The contamination is characterized as</w:t>
      </w:r>
      <w:r>
        <w:t xml:space="preserve"> </w:t>
      </w:r>
      <w:r>
        <w:rPr>
          <w:b/>
          <w:bCs/>
        </w:rPr>
        <w:t xml:space="preserve">gradual releases</w:t>
      </w:r>
      <w:r>
        <w:t xml:space="preserve"> </w:t>
      </w:r>
      <w:r>
        <w:t xml:space="preserve">— meaning the Pollution Legal Liability policy’s</w:t>
      </w:r>
      <w:r>
        <w:t xml:space="preserve"> </w:t>
      </w:r>
      <w:r>
        <w:rPr>
          <w:b/>
          <w:bCs/>
        </w:rPr>
        <w:t xml:space="preserve">gradual contamination exclusion applies</w:t>
      </w:r>
      <w:r>
        <w:t xml:space="preserve">, leaving this exposure uninsured.</w:t>
      </w:r>
      <w:r>
        <w:t xml:space="preserve"> </w:t>
      </w:r>
      <w:r>
        <w:t xml:space="preserve">- The ESA recommends DNAPL (dense non-aqueous phase liquid) assessment for chlorinated solvents, which could substantially increase remediation scope and cost.</w:t>
      </w:r>
    </w:p>
    <w:p>
      <w:pPr>
        <w:pStyle w:val="BodyText"/>
      </w:pPr>
      <w:r>
        <w:rPr>
          <w:b/>
          <w:bCs/>
        </w:rPr>
        <w:t xml:space="preserve">Recommended Action:</w:t>
      </w:r>
      <w:r>
        <w:t xml:space="preserve"> </w:t>
      </w:r>
      <w:r>
        <w:t xml:space="preserve">Commission an updated Phase II ESA and vapor intrusion assessment immediately. Obtain independent remediation cost estimate. Negotiate a specific environmental indemnity with a separate escrow (above the general 10% holdback) sized to cover the upper end of the updated cost range plus contingency. The LOI already contemplates special indemnification treatment for environmental matters.</w:t>
      </w:r>
    </w:p>
    <w:p>
      <w:r>
        <w:pict>
          <v:rect style="width:0;height:1.5pt" o:hralign="center" o:hrstd="t" o:hr="t"/>
        </w:pict>
      </w:r>
    </w:p>
    <w:bookmarkEnd w:id="29"/>
    <w:bookmarkStart w:id="30" w:name="Xf1b4f9a0691c28244d403fd75330c7990ac9f26"/>
    <w:p>
      <w:pPr>
        <w:pStyle w:val="Heading4"/>
      </w:pPr>
      <w:r>
        <w:t xml:space="preserve">RF-08 | CDPHE Enforcement Action — Active RCRA Violation — HIGH SEVERITY</w:t>
      </w:r>
    </w:p>
    <w:p>
      <w:pPr>
        <w:pStyle w:val="FirstParagraph"/>
      </w:pPr>
      <w:r>
        <w:rPr>
          <w:b/>
          <w:bCs/>
        </w:rPr>
        <w:t xml:space="preserve">Source Documents:</w:t>
      </w:r>
      <w:r>
        <w:t xml:space="preserve"> </w:t>
      </w:r>
      <w:r>
        <w:t xml:space="preserve">Litigation Summary (Section III.A); Environmental Permit Schedule (Section 2.1); LOI (Section 5.5)</w:t>
      </w:r>
    </w:p>
    <w:p>
      <w:pPr>
        <w:pStyle w:val="BodyText"/>
      </w:pPr>
      <w:r>
        <w:rPr>
          <w:b/>
          <w:bCs/>
        </w:rPr>
        <w:t xml:space="preserve">Finding:</w:t>
      </w:r>
      <w:r>
        <w:t xml:space="preserve"> </w:t>
      </w:r>
      <w:r>
        <w:t xml:space="preserve">CDPHE issued a Notice of Violation (Docket No. CDPHE-HW-2024-0093) on July 18, 2024, alleging improper storage of approximately 14,000 gallons of F001/F002 listed hazardous waste at the Grand Junction facility. Key issues:</w:t>
      </w:r>
      <w:r>
        <w:t xml:space="preserve"> </w:t>
      </w:r>
      <w:r>
        <w:t xml:space="preserve">-</w:t>
      </w:r>
      <w:r>
        <w:t xml:space="preserve"> </w:t>
      </w:r>
      <w:r>
        <w:rPr>
          <w:b/>
          <w:bCs/>
        </w:rPr>
        <w:t xml:space="preserve">Penalty exposure:</w:t>
      </w:r>
      <w:r>
        <w:t xml:space="preserve"> </w:t>
      </w:r>
      <w:r>
        <w:t xml:space="preserve">Company’s position = 12-day violation = max $450K; CDPHE’s position = 31-day violation = max $1,162,500. Settlement range per management: $200K–$450K.</w:t>
      </w:r>
      <w:r>
        <w:t xml:space="preserve"> </w:t>
      </w:r>
      <w:r>
        <w:t xml:space="preserve">-</w:t>
      </w:r>
      <w:r>
        <w:t xml:space="preserve"> </w:t>
      </w:r>
      <w:r>
        <w:rPr>
          <w:b/>
          <w:bCs/>
        </w:rPr>
        <w:t xml:space="preserve">No accrual has been recorded</w:t>
      </w:r>
      <w:r>
        <w:t xml:space="preserve"> </w:t>
      </w:r>
      <w:r>
        <w:t xml:space="preserve">as of September 30, 2024, despite management assessing penalty as</w:t>
      </w:r>
      <w:r>
        <w:t xml:space="preserve"> </w:t>
      </w:r>
      <w:r>
        <w:t xml:space="preserve">“</w:t>
      </w:r>
      <w:r>
        <w:t xml:space="preserve">Probable.</w:t>
      </w:r>
      <w:r>
        <w:t xml:space="preserve">”</w:t>
      </w:r>
      <w:r>
        <w:t xml:space="preserve"> </w:t>
      </w:r>
      <w:r>
        <w:t xml:space="preserve">- The violation involves the Company’s</w:t>
      </w:r>
      <w:r>
        <w:t xml:space="preserve"> </w:t>
      </w:r>
      <w:r>
        <w:rPr>
          <w:b/>
          <w:bCs/>
        </w:rPr>
        <w:t xml:space="preserve">primary RCRA Part B permit</w:t>
      </w:r>
      <w:r>
        <w:t xml:space="preserve"> </w:t>
      </w:r>
      <w:r>
        <w:t xml:space="preserve">(COD-098-2761), which expires December 31, 2026. A serious enforcement action could complicate the 2026 renewal.</w:t>
      </w:r>
      <w:r>
        <w:t xml:space="preserve"> </w:t>
      </w:r>
      <w:r>
        <w:t xml:space="preserve">- Under the Credit Agreement, a material environmental event or governmental order requiring remediation in excess of $1M constitutes an</w:t>
      </w:r>
      <w:r>
        <w:t xml:space="preserve"> </w:t>
      </w:r>
      <w:r>
        <w:rPr>
          <w:b/>
          <w:bCs/>
        </w:rPr>
        <w:t xml:space="preserve">Event of Default</w:t>
      </w:r>
      <w:r>
        <w:t xml:space="preserve">. While the current penalty estimate is below $1M, CDPHE’s maximum position of $1.16M approaches this threshold.</w:t>
      </w:r>
      <w:r>
        <w:t xml:space="preserve"> </w:t>
      </w:r>
      <w:r>
        <w:t xml:space="preserve">- The LOI specifically calls out this matter for special indemnification treatment.</w:t>
      </w:r>
    </w:p>
    <w:p>
      <w:pPr>
        <w:pStyle w:val="BodyText"/>
      </w:pPr>
      <w:r>
        <w:rPr>
          <w:b/>
          <w:bCs/>
        </w:rPr>
        <w:t xml:space="preserve">Recommended Action:</w:t>
      </w:r>
      <w:r>
        <w:t xml:space="preserve"> </w:t>
      </w:r>
      <w:r>
        <w:t xml:space="preserve">Require resolution of the CDPHE enforcement action before closing, or negotiate a specific indemnity with a separate escrow. Obtain CDPHE’s current negotiating position. Assess impact on the 2026 RCRA permit renewal.</w:t>
      </w:r>
    </w:p>
    <w:p>
      <w:r>
        <w:pict>
          <v:rect style="width:0;height:1.5pt" o:hralign="center" o:hrstd="t" o:hr="t"/>
        </w:pict>
      </w:r>
    </w:p>
    <w:bookmarkEnd w:id="30"/>
    <w:bookmarkStart w:id="31" w:name="X3989ffa5c8de1e52b334012a04389cadfcdeac3"/>
    <w:p>
      <w:pPr>
        <w:pStyle w:val="Heading4"/>
      </w:pPr>
      <w:r>
        <w:t xml:space="preserve">RF-09 | Wyoming Permit Expired — Operating Under Timely Renewal Provisions — MEDIUM SEVERITY</w:t>
      </w:r>
    </w:p>
    <w:p>
      <w:pPr>
        <w:pStyle w:val="FirstParagraph"/>
      </w:pPr>
      <w:r>
        <w:rPr>
          <w:b/>
          <w:bCs/>
        </w:rPr>
        <w:t xml:space="preserve">Source Documents:</w:t>
      </w:r>
      <w:r>
        <w:t xml:space="preserve"> </w:t>
      </w:r>
      <w:r>
        <w:t xml:space="preserve">Environmental Permit Schedule (Section 2.4); CIM (Section V.C)</w:t>
      </w:r>
    </w:p>
    <w:p>
      <w:pPr>
        <w:pStyle w:val="BodyText"/>
      </w:pPr>
      <w:r>
        <w:rPr>
          <w:b/>
          <w:bCs/>
        </w:rPr>
        <w:t xml:space="preserve">Finding:</w:t>
      </w:r>
      <w:r>
        <w:t xml:space="preserve"> </w:t>
      </w:r>
      <w:r>
        <w:t xml:space="preserve">Wyoming Hazardous Waste Permit WY-HW-2019-033 for the Casper facility</w:t>
      </w:r>
      <w:r>
        <w:t xml:space="preserve"> </w:t>
      </w:r>
      <w:r>
        <w:rPr>
          <w:b/>
          <w:bCs/>
        </w:rPr>
        <w:t xml:space="preserve">expired November 30, 2024</w:t>
      </w:r>
      <w:r>
        <w:t xml:space="preserve">. The Company filed a renewal application on October 15, 2024 (46 days before expiration) and is operating under Wyoming’s timely renewal provisions. While this is legally permissible, it creates risk:</w:t>
      </w:r>
      <w:r>
        <w:t xml:space="preserve"> </w:t>
      </w:r>
      <w:r>
        <w:t xml:space="preserve">- The Casper facility serves approximately $30.2M of Wyoming-based revenue (23.7% of total).</w:t>
      </w:r>
      <w:r>
        <w:t xml:space="preserve"> </w:t>
      </w:r>
      <w:r>
        <w:t xml:space="preserve">- If the Wyoming DEQ raises issues during the renewal review, operations could be disrupted.</w:t>
      </w:r>
      <w:r>
        <w:t xml:space="preserve"> </w:t>
      </w:r>
      <w:r>
        <w:t xml:space="preserve">- The Credit Agreement requires maintenance of all material permits and treats permit revocation as an Event of Default.</w:t>
      </w:r>
      <w:r>
        <w:t xml:space="preserve"> </w:t>
      </w:r>
      <w:r>
        <w:t xml:space="preserve">- The renewal is expected in Q1 2025 — potentially concurrent with the signing timeline.</w:t>
      </w:r>
    </w:p>
    <w:p>
      <w:pPr>
        <w:pStyle w:val="BodyText"/>
      </w:pPr>
      <w:r>
        <w:rPr>
          <w:b/>
          <w:bCs/>
        </w:rPr>
        <w:t xml:space="preserve">Recommended Action:</w:t>
      </w:r>
      <w:r>
        <w:t xml:space="preserve"> </w:t>
      </w:r>
      <w:r>
        <w:t xml:space="preserve">Obtain written confirmation from Wyoming DEQ of the renewal timeline and any outstanding issues. Make permit renewal a closing condition or obtain a representation that no material issues have been raised by Wyoming DEQ.</w:t>
      </w:r>
    </w:p>
    <w:p>
      <w:r>
        <w:pict>
          <v:rect style="width:0;height:1.5pt" o:hralign="center" o:hrstd="t" o:hr="t"/>
        </w:pict>
      </w:r>
    </w:p>
    <w:bookmarkEnd w:id="31"/>
    <w:bookmarkStart w:id="32" w:name="X4107ace9d64b6e1cfe1d4bd12454e45c08f1f4e"/>
    <w:p>
      <w:pPr>
        <w:pStyle w:val="Heading4"/>
      </w:pPr>
      <w:r>
        <w:t xml:space="preserve">RF-10 | Salt Lake City Permit Not Transferred — Operating Under Subsidiary’s Permit — HIGH SEVERITY</w:t>
      </w:r>
    </w:p>
    <w:p>
      <w:pPr>
        <w:pStyle w:val="FirstParagraph"/>
      </w:pPr>
      <w:r>
        <w:rPr>
          <w:b/>
          <w:bCs/>
        </w:rPr>
        <w:t xml:space="preserve">Source Documents:</w:t>
      </w:r>
      <w:r>
        <w:t xml:space="preserve"> </w:t>
      </w:r>
      <w:r>
        <w:t xml:space="preserve">Environmental Permit Schedule (Section 2.2); Litigation Summary (Section III.C); Real Property Lease Schedule (Section 4.1)</w:t>
      </w:r>
    </w:p>
    <w:p>
      <w:pPr>
        <w:pStyle w:val="BodyText"/>
      </w:pPr>
      <w:r>
        <w:rPr>
          <w:b/>
          <w:bCs/>
        </w:rPr>
        <w:t xml:space="preserve">Finding:</w:t>
      </w:r>
      <w:r>
        <w:t xml:space="preserve"> </w:t>
      </w:r>
      <w:r>
        <w:t xml:space="preserve">Utah Hazardous Waste Transfer Station Permit UTH-0441 for the Salt Lake City facility remains in the name of</w:t>
      </w:r>
      <w:r>
        <w:t xml:space="preserve"> </w:t>
      </w:r>
      <w:r>
        <w:rPr>
          <w:b/>
          <w:bCs/>
        </w:rPr>
        <w:t xml:space="preserve">Pinnacle Waste Solutions, LLC</w:t>
      </w:r>
      <w:r>
        <w:t xml:space="preserve"> </w:t>
      </w:r>
      <w:r>
        <w:t xml:space="preserve">— not RES — more than 2.5 years after the Pinnacle acquisition closed in March 2022. The permit transfer application has been pending with the Utah Division of Waste Management since 2022 and remains incomplete. The facility is operated by RES personnel under Pinnacle’s permit. Under Utah Administrative Code R315-3, permit modifications reflecting changes in ownership require Division approval before becoming effective. This creates:</w:t>
      </w:r>
      <w:r>
        <w:t xml:space="preserve"> </w:t>
      </w:r>
      <w:r>
        <w:t xml:space="preserve">- A potential regulatory compliance issue if the Division determines that RES is operating without proper authorization.</w:t>
      </w:r>
      <w:r>
        <w:t xml:space="preserve"> </w:t>
      </w:r>
      <w:r>
        <w:t xml:space="preserve">- A risk that the proposed Sycamore acquisition could trigger additional scrutiny of the pending transfer application.</w:t>
      </w:r>
      <w:r>
        <w:t xml:space="preserve"> </w:t>
      </w:r>
      <w:r>
        <w:t xml:space="preserve">- Compounded risk with the unresolved SLC lease assignment (see RF-11).</w:t>
      </w:r>
    </w:p>
    <w:p>
      <w:pPr>
        <w:pStyle w:val="BodyText"/>
      </w:pPr>
      <w:r>
        <w:rPr>
          <w:b/>
          <w:bCs/>
        </w:rPr>
        <w:t xml:space="preserve">Recommended Action:</w:t>
      </w:r>
      <w:r>
        <w:t xml:space="preserve"> </w:t>
      </w:r>
      <w:r>
        <w:t xml:space="preserve">Require completion of the permit transfer as a pre-closing condition. Engage directly with the Utah Division of Waste Management to assess the status and timeline. Evaluate whether the proposed transaction will require a new permit application rather than a transfer.</w:t>
      </w:r>
    </w:p>
    <w:p>
      <w:r>
        <w:pict>
          <v:rect style="width:0;height:1.5pt" o:hralign="center" o:hrstd="t" o:hr="t"/>
        </w:pict>
      </w:r>
    </w:p>
    <w:bookmarkEnd w:id="32"/>
    <w:bookmarkStart w:id="33" w:name="Xa35e8a65b0360bdf76f5d5f5a5b7c7964671bb9"/>
    <w:p>
      <w:pPr>
        <w:pStyle w:val="Heading4"/>
      </w:pPr>
      <w:r>
        <w:t xml:space="preserve">RF-11 | Asbestos Long-Tail Liability — Uninsured Pre-2015 Exposure — MEDIUM SEVERITY</w:t>
      </w:r>
    </w:p>
    <w:p>
      <w:pPr>
        <w:pStyle w:val="FirstParagraph"/>
      </w:pPr>
      <w:r>
        <w:rPr>
          <w:b/>
          <w:bCs/>
        </w:rPr>
        <w:t xml:space="preserve">Source Documents:</w:t>
      </w:r>
      <w:r>
        <w:t xml:space="preserve"> </w:t>
      </w:r>
      <w:r>
        <w:t xml:space="preserve">Litigation Summary (Section VI.B); Insurance Program Summary (Section 4); QoE Data Request Response (Service Line Detail Tab)</w:t>
      </w:r>
    </w:p>
    <w:p>
      <w:pPr>
        <w:pStyle w:val="BodyText"/>
      </w:pPr>
      <w:r>
        <w:rPr>
          <w:b/>
          <w:bCs/>
        </w:rPr>
        <w:t xml:space="preserve">Finding:</w:t>
      </w:r>
      <w:r>
        <w:t xml:space="preserve"> </w:t>
      </w:r>
      <w:r>
        <w:t xml:space="preserve">RES operated an asbestos abatement service line from 2012 through September 30, 2023, generating approximately $31.2M in cumulative revenue across ~145 commercial and industrial sites in CO, UT, WY, and MT. The current Pollution Legal Liability policy has a</w:t>
      </w:r>
      <w:r>
        <w:t xml:space="preserve"> </w:t>
      </w:r>
      <w:r>
        <w:rPr>
          <w:b/>
          <w:bCs/>
        </w:rPr>
        <w:t xml:space="preserve">retroactive date of January 1, 2015</w:t>
      </w:r>
      <w:r>
        <w:t xml:space="preserve">, meaning work performed from 2012–2014 is</w:t>
      </w:r>
      <w:r>
        <w:t xml:space="preserve"> </w:t>
      </w:r>
      <w:r>
        <w:rPr>
          <w:b/>
          <w:bCs/>
        </w:rPr>
        <w:t xml:space="preserve">not covered</w:t>
      </w:r>
      <w:r>
        <w:t xml:space="preserve"> </w:t>
      </w:r>
      <w:r>
        <w:t xml:space="preserve">by the current policy. Additionally:</w:t>
      </w:r>
      <w:r>
        <w:t xml:space="preserve"> </w:t>
      </w:r>
      <w:r>
        <w:t xml:space="preserve">- The CGL policy contains a</w:t>
      </w:r>
      <w:r>
        <w:t xml:space="preserve"> </w:t>
      </w:r>
      <w:r>
        <w:rPr>
          <w:b/>
          <w:bCs/>
        </w:rPr>
        <w:t xml:space="preserve">blanket asbestos exclusion</w:t>
      </w:r>
      <w:r>
        <w:t xml:space="preserve"> </w:t>
      </w:r>
      <w:r>
        <w:t xml:space="preserve">with no tail coverage for completed operations.</w:t>
      </w:r>
      <w:r>
        <w:t xml:space="preserve"> </w:t>
      </w:r>
      <w:r>
        <w:t xml:space="preserve">- Two workers’ compensation claims from former asbestos abatement employees remain open (filed 2021 and 2022), alleging occupational respiratory exposure.</w:t>
      </w:r>
      <w:r>
        <w:t xml:space="preserve"> </w:t>
      </w:r>
      <w:r>
        <w:t xml:space="preserve">- No reserve has been established for potential future asbestos-related personal injury claims.</w:t>
      </w:r>
      <w:r>
        <w:t xml:space="preserve"> </w:t>
      </w:r>
      <w:r>
        <w:t xml:space="preserve">- The QoE data confirms the service line generated losses in FY2023 and FY2024 wind-down costs of $1.8M — suggesting the decision to discontinue was driven by deteriorating economics, not purely strategic choice.</w:t>
      </w:r>
    </w:p>
    <w:p>
      <w:pPr>
        <w:pStyle w:val="BodyText"/>
      </w:pPr>
      <w:r>
        <w:rPr>
          <w:b/>
          <w:bCs/>
        </w:rPr>
        <w:t xml:space="preserve">Recommended Action:</w:t>
      </w:r>
      <w:r>
        <w:t xml:space="preserve"> </w:t>
      </w:r>
      <w:r>
        <w:t xml:space="preserve">Obtain a specific asbestos indemnity from sellers with a longer survival period (minimum 10 years). Evaluate procurement of an asbestos-specific tail policy. Conduct a site-by-site review of the 145 abatement projects for high-risk exposures.</w:t>
      </w:r>
    </w:p>
    <w:p>
      <w:r>
        <w:pict>
          <v:rect style="width:0;height:1.5pt" o:hralign="center" o:hrstd="t" o:hr="t"/>
        </w:pict>
      </w:r>
    </w:p>
    <w:bookmarkEnd w:id="33"/>
    <w:bookmarkEnd w:id="34"/>
    <w:bookmarkStart w:id="40" w:name="category-3-contractual-customer"/>
    <w:p>
      <w:pPr>
        <w:pStyle w:val="Heading3"/>
      </w:pPr>
      <w:r>
        <w:t xml:space="preserve">CATEGORY 3: CONTRACTUAL &amp; CUSTOMER</w:t>
      </w:r>
    </w:p>
    <w:p>
      <w:r>
        <w:pict>
          <v:rect style="width:0;height:1.5pt" o:hralign="center" o:hrstd="t" o:hr="t"/>
        </w:pict>
      </w:r>
    </w:p>
    <w:bookmarkStart w:id="35" w:name="Xebf5277eb446bfd2d9e3a575b30bea89fb3bb2a"/>
    <w:p>
      <w:pPr>
        <w:pStyle w:val="Heading4"/>
      </w:pPr>
      <w:r>
        <w:t xml:space="preserve">RF-12 | DOE IDIQ Ceiling Exhaustion — Imminent Revenue Cliff — CRITICAL SEVERITY</w:t>
      </w:r>
    </w:p>
    <w:p>
      <w:pPr>
        <w:pStyle w:val="FirstParagraph"/>
      </w:pPr>
      <w:r>
        <w:rPr>
          <w:b/>
          <w:bCs/>
        </w:rPr>
        <w:t xml:space="preserve">Source Documents:</w:t>
      </w:r>
      <w:r>
        <w:t xml:space="preserve"> </w:t>
      </w:r>
      <w:r>
        <w:t xml:space="preserve">Customer Contract Summary (DOE IDIQ Utilization Analysis Tab; Customer Concentration Summary Tab); CIM (Section VI.D); QoE Data Request Response (Revenue by Customer Tab)</w:t>
      </w:r>
    </w:p>
    <w:p>
      <w:pPr>
        <w:pStyle w:val="BodyText"/>
      </w:pPr>
      <w:r>
        <w:rPr>
          <w:b/>
          <w:bCs/>
        </w:rPr>
        <w:t xml:space="preserve">Finding:</w:t>
      </w:r>
      <w:r>
        <w:t xml:space="preserve"> </w:t>
      </w:r>
      <w:r>
        <w:t xml:space="preserve">This is the single most significant near-term revenue risk in the transaction. The DOE IDIQ contract (DE-EM-0005523) represents</w:t>
      </w:r>
      <w:r>
        <w:t xml:space="preserve"> </w:t>
      </w:r>
      <w:r>
        <w:rPr>
          <w:b/>
          <w:bCs/>
        </w:rPr>
        <w:t xml:space="preserve">19.2% of TTM revenue ($24.4M)</w:t>
      </w:r>
      <w:r>
        <w:t xml:space="preserve">. Key facts:</w:t>
      </w:r>
      <w:r>
        <w:t xml:space="preserve"> </w:t>
      </w:r>
      <w:r>
        <w:t xml:space="preserve">-</w:t>
      </w:r>
      <w:r>
        <w:t xml:space="preserve"> </w:t>
      </w:r>
      <w:r>
        <w:rPr>
          <w:b/>
          <w:bCs/>
        </w:rPr>
        <w:t xml:space="preserve">Remaining ceiling:</w:t>
      </w:r>
      <w:r>
        <w:t xml:space="preserve"> </w:t>
      </w:r>
      <w:r>
        <w:t xml:space="preserve">Only $12.3M of the $45.0M ceiling remains available for new task orders.</w:t>
      </w:r>
      <w:r>
        <w:t xml:space="preserve"> </w:t>
      </w:r>
      <w:r>
        <w:t xml:space="preserve">-</w:t>
      </w:r>
      <w:r>
        <w:t xml:space="preserve"> </w:t>
      </w:r>
      <w:r>
        <w:rPr>
          <w:b/>
          <w:bCs/>
        </w:rPr>
        <w:t xml:space="preserve">Current run rate:</w:t>
      </w:r>
      <w:r>
        <w:t xml:space="preserve"> </w:t>
      </w:r>
      <w:r>
        <w:t xml:space="preserve">~$24.4M/year (~$2.03M/month).</w:t>
      </w:r>
      <w:r>
        <w:t xml:space="preserve"> </w:t>
      </w:r>
      <w:r>
        <w:t xml:space="preserve">-</w:t>
      </w:r>
      <w:r>
        <w:t xml:space="preserve"> </w:t>
      </w:r>
      <w:r>
        <w:rPr>
          <w:b/>
          <w:bCs/>
        </w:rPr>
        <w:t xml:space="preserve">Projected ceiling exhaustion:</w:t>
      </w:r>
      <w:r>
        <w:t xml:space="preserve"> </w:t>
      </w:r>
      <w:r>
        <w:t xml:space="preserve">April–May 2025 — approximately at or before the target closing date.</w:t>
      </w:r>
      <w:r>
        <w:t xml:space="preserve"> </w:t>
      </w:r>
      <w:r>
        <w:t xml:space="preserve">-</w:t>
      </w:r>
      <w:r>
        <w:t xml:space="preserve"> </w:t>
      </w:r>
      <w:r>
        <w:rPr>
          <w:b/>
          <w:bCs/>
        </w:rPr>
        <w:t xml:space="preserve">Contract expiration:</w:t>
      </w:r>
      <w:r>
        <w:t xml:space="preserve"> </w:t>
      </w:r>
      <w:r>
        <w:t xml:space="preserve">August 31, 2026 — meaning there are approximately 16 months of unfunded contract period after ceiling exhaustion.</w:t>
      </w:r>
      <w:r>
        <w:t xml:space="preserve"> </w:t>
      </w:r>
      <w:r>
        <w:t xml:space="preserve">-</w:t>
      </w:r>
      <w:r>
        <w:t xml:space="preserve"> </w:t>
      </w:r>
      <w:r>
        <w:rPr>
          <w:b/>
          <w:bCs/>
        </w:rPr>
        <w:t xml:space="preserve">Revenue at risk:</w:t>
      </w:r>
      <w:r>
        <w:t xml:space="preserve"> </w:t>
      </w:r>
      <w:r>
        <w:t xml:space="preserve">If the ceiling is not increased, FY2025 DOE revenue could decline from $24.4M to ≤$12.3M — a</w:t>
      </w:r>
      <w:r>
        <w:t xml:space="preserve"> </w:t>
      </w:r>
      <w:r>
        <w:rPr>
          <w:b/>
          <w:bCs/>
        </w:rPr>
        <w:t xml:space="preserve">$12.1M revenue headwind</w:t>
      </w:r>
      <w:r>
        <w:t xml:space="preserve"> </w:t>
      </w:r>
      <w:r>
        <w:t xml:space="preserve">representing 9.5% of current total revenue.</w:t>
      </w:r>
      <w:r>
        <w:t xml:space="preserve"> </w:t>
      </w:r>
      <w:r>
        <w:t xml:space="preserve">-</w:t>
      </w:r>
      <w:r>
        <w:t xml:space="preserve"> </w:t>
      </w:r>
      <w:r>
        <w:rPr>
          <w:b/>
          <w:bCs/>
        </w:rPr>
        <w:t xml:space="preserve">Anti-Assignment Act:</w:t>
      </w:r>
      <w:r>
        <w:t xml:space="preserve"> </w:t>
      </w:r>
      <w:r>
        <w:t xml:space="preserve">The contract is non-assignable without Contracting Officer consent. While a stock acquisition may not technically constitute an assignment, the contract requires notification within 30 days of any change in ownership exceeding 50%, and failure to notify may be grounds for termination for default.</w:t>
      </w:r>
      <w:r>
        <w:t xml:space="preserve"> </w:t>
      </w:r>
      <w:r>
        <w:t xml:space="preserve">- The CIM presents the DOE relationship as a</w:t>
      </w:r>
      <w:r>
        <w:t xml:space="preserve"> </w:t>
      </w:r>
      <w:r>
        <w:t xml:space="preserve">“</w:t>
      </w:r>
      <w:r>
        <w:t xml:space="preserve">cornerstone</w:t>
      </w:r>
      <w:r>
        <w:t xml:space="preserve">”</w:t>
      </w:r>
      <w:r>
        <w:t xml:space="preserve"> </w:t>
      </w:r>
      <w:r>
        <w:t xml:space="preserve">of the business without disclosing the ceiling exhaustion risk.</w:t>
      </w:r>
    </w:p>
    <w:p>
      <w:pPr>
        <w:pStyle w:val="BodyText"/>
      </w:pPr>
      <w:r>
        <w:rPr>
          <w:b/>
          <w:bCs/>
        </w:rPr>
        <w:t xml:space="preserve">Recommended Action:</w:t>
      </w:r>
      <w:r>
        <w:t xml:space="preserve"> </w:t>
      </w:r>
      <w:r>
        <w:t xml:space="preserve">Immediately engage with the DOE Contracting Officer regarding: (1) ceiling modification or new contract award; (2) novation requirements for the proposed transaction; and (3) the notification obligation under Section H, Clause H-12. Adjust the valuation model to reflect a conservative DOE revenue scenario of $12.3M for FY2025. Consider a purchase price adjustment mechanism tied to DOE contract renewal/ceiling modification.</w:t>
      </w:r>
    </w:p>
    <w:p>
      <w:r>
        <w:pict>
          <v:rect style="width:0;height:1.5pt" o:hralign="center" o:hrstd="t" o:hr="t"/>
        </w:pict>
      </w:r>
    </w:p>
    <w:bookmarkEnd w:id="35"/>
    <w:bookmarkStart w:id="36" w:name="X306f6d679d9add8f1ecf8301623592441a70ca9"/>
    <w:p>
      <w:pPr>
        <w:pStyle w:val="Heading4"/>
      </w:pPr>
      <w:r>
        <w:t xml:space="preserve">RF-13 | Change-of-Control Provisions in 8 of Top 20 Customer Contracts — MEDIUM SEVERITY</w:t>
      </w:r>
    </w:p>
    <w:p>
      <w:pPr>
        <w:pStyle w:val="FirstParagraph"/>
      </w:pPr>
      <w:r>
        <w:rPr>
          <w:b/>
          <w:bCs/>
        </w:rPr>
        <w:t xml:space="preserve">Source Documents:</w:t>
      </w:r>
      <w:r>
        <w:t xml:space="preserve"> </w:t>
      </w:r>
      <w:r>
        <w:t xml:space="preserve">Customer Contract Summary (Top 20 Customers Tab; Customer Concentration Summary Tab)</w:t>
      </w:r>
    </w:p>
    <w:p>
      <w:pPr>
        <w:pStyle w:val="BodyText"/>
      </w:pPr>
      <w:r>
        <w:rPr>
          <w:b/>
          <w:bCs/>
        </w:rPr>
        <w:t xml:space="preserve">Finding:</w:t>
      </w:r>
      <w:r>
        <w:t xml:space="preserve"> </w:t>
      </w:r>
      <w:r>
        <w:t xml:space="preserve">Eight of the top 20 customer contracts contain assignment, change-of-control, or notification provisions that may be triggered by the proposed acquisition:</w:t>
      </w:r>
      <w:r>
        <w:t xml:space="preserve"> </w:t>
      </w:r>
      <w:r>
        <w:t xml:space="preserve">-</w:t>
      </w:r>
      <w:r>
        <w:t xml:space="preserve"> </w:t>
      </w:r>
      <w:r>
        <w:rPr>
          <w:b/>
          <w:bCs/>
        </w:rPr>
        <w:t xml:space="preserve">DOE (19.2% of revenue):</w:t>
      </w:r>
      <w:r>
        <w:t xml:space="preserve"> </w:t>
      </w:r>
      <w:r>
        <w:t xml:space="preserve">Non-assignable per Anti-Assignment Act; novation may be required.</w:t>
      </w:r>
      <w:r>
        <w:t xml:space="preserve"> </w:t>
      </w:r>
      <w:r>
        <w:t xml:space="preserve">-</w:t>
      </w:r>
      <w:r>
        <w:t xml:space="preserve"> </w:t>
      </w:r>
      <w:r>
        <w:rPr>
          <w:b/>
          <w:bCs/>
        </w:rPr>
        <w:t xml:space="preserve">Intermountain Health Systems (5.6%):</w:t>
      </w:r>
      <w:r>
        <w:t xml:space="preserve"> </w:t>
      </w:r>
      <w:r>
        <w:t xml:space="preserve">Assignment requires prior written consent; 60-day advance notice of change of control required.</w:t>
      </w:r>
      <w:r>
        <w:t xml:space="preserve"> </w:t>
      </w:r>
      <w:r>
        <w:t xml:space="preserve">-</w:t>
      </w:r>
      <w:r>
        <w:t xml:space="preserve"> </w:t>
      </w:r>
      <w:r>
        <w:rPr>
          <w:b/>
          <w:bCs/>
        </w:rPr>
        <w:t xml:space="preserve">Rocky Mountain Pipeline Systems (3.3%):</w:t>
      </w:r>
      <w:r>
        <w:t xml:space="preserve"> </w:t>
      </w:r>
      <w:r>
        <w:t xml:space="preserve">Assignment requires prior written consent; 30-day notification and consent period.</w:t>
      </w:r>
      <w:r>
        <w:t xml:space="preserve"> </w:t>
      </w:r>
      <w:r>
        <w:t xml:space="preserve">-</w:t>
      </w:r>
      <w:r>
        <w:t xml:space="preserve"> </w:t>
      </w:r>
      <w:r>
        <w:rPr>
          <w:b/>
          <w:bCs/>
        </w:rPr>
        <w:t xml:space="preserve">Colorado DOT (3.1%):</w:t>
      </w:r>
      <w:r>
        <w:t xml:space="preserve"> </w:t>
      </w:r>
      <w:r>
        <w:t xml:space="preserve">Prior written consent of CDOT required for assignment; notification required for change in ownership.</w:t>
      </w:r>
      <w:r>
        <w:t xml:space="preserve"> </w:t>
      </w:r>
      <w:r>
        <w:t xml:space="preserve">-</w:t>
      </w:r>
      <w:r>
        <w:t xml:space="preserve"> </w:t>
      </w:r>
      <w:r>
        <w:rPr>
          <w:b/>
          <w:bCs/>
        </w:rPr>
        <w:t xml:space="preserve">Utah DEQ (3.6%):</w:t>
      </w:r>
      <w:r>
        <w:t xml:space="preserve"> </w:t>
      </w:r>
      <w:r>
        <w:t xml:space="preserve">State reserves right to terminate if change materially affects contractor qualifications.</w:t>
      </w:r>
      <w:r>
        <w:t xml:space="preserve"> </w:t>
      </w:r>
      <w:r>
        <w:t xml:space="preserve">-</w:t>
      </w:r>
      <w:r>
        <w:t xml:space="preserve"> </w:t>
      </w:r>
      <w:r>
        <w:rPr>
          <w:b/>
          <w:bCs/>
        </w:rPr>
        <w:t xml:space="preserve">Bridger Valley Ranches (3.2%):</w:t>
      </w:r>
      <w:r>
        <w:t xml:space="preserve"> </w:t>
      </w:r>
      <w:r>
        <w:t xml:space="preserve">No assignment without prior written consent of both parties.</w:t>
      </w:r>
      <w:r>
        <w:t xml:space="preserve"> </w:t>
      </w:r>
      <w:r>
        <w:t xml:space="preserve">-</w:t>
      </w:r>
      <w:r>
        <w:t xml:space="preserve"> </w:t>
      </w:r>
      <w:r>
        <w:rPr>
          <w:b/>
          <w:bCs/>
        </w:rPr>
        <w:t xml:space="preserve">Frontier E&amp;P (2.0%):</w:t>
      </w:r>
      <w:r>
        <w:t xml:space="preserve"> </w:t>
      </w:r>
      <w:r>
        <w:t xml:space="preserve">Assignment requires prior written consent; 30-day notification required.</w:t>
      </w:r>
      <w:r>
        <w:t xml:space="preserve"> </w:t>
      </w:r>
      <w:r>
        <w:t xml:space="preserve">-</w:t>
      </w:r>
      <w:r>
        <w:t xml:space="preserve"> </w:t>
      </w:r>
      <w:r>
        <w:rPr>
          <w:b/>
          <w:bCs/>
        </w:rPr>
        <w:t xml:space="preserve">Teton Steel (1.6%):</w:t>
      </w:r>
      <w:r>
        <w:t xml:space="preserve"> </w:t>
      </w:r>
      <w:r>
        <w:t xml:space="preserve">No assignment without mutual written consent.</w:t>
      </w:r>
    </w:p>
    <w:p>
      <w:pPr>
        <w:pStyle w:val="BodyText"/>
      </w:pPr>
      <w:r>
        <w:t xml:space="preserve">Collectively, these eight customers represent approximately</w:t>
      </w:r>
      <w:r>
        <w:t xml:space="preserve"> </w:t>
      </w:r>
      <w:r>
        <w:rPr>
          <w:b/>
          <w:bCs/>
        </w:rPr>
        <w:t xml:space="preserve">41.6% of TTM revenue</w:t>
      </w:r>
      <w:r>
        <w:t xml:space="preserve">. While not all consent requirements will necessarily result in termination, the process of obtaining consents is time-consuming and creates closing risk.</w:t>
      </w:r>
    </w:p>
    <w:p>
      <w:pPr>
        <w:pStyle w:val="BodyText"/>
      </w:pPr>
      <w:r>
        <w:rPr>
          <w:b/>
          <w:bCs/>
        </w:rPr>
        <w:t xml:space="preserve">Recommended Action:</w:t>
      </w:r>
      <w:r>
        <w:t xml:space="preserve"> </w:t>
      </w:r>
      <w:r>
        <w:t xml:space="preserve">Initiate customer consent process immediately upon signing. Prioritize DOE, Intermountain Health, and Rocky Mountain Pipeline. Make receipt of material customer consents a closing condition.</w:t>
      </w:r>
    </w:p>
    <w:p>
      <w:r>
        <w:pict>
          <v:rect style="width:0;height:1.5pt" o:hralign="center" o:hrstd="t" o:hr="t"/>
        </w:pict>
      </w:r>
    </w:p>
    <w:bookmarkEnd w:id="36"/>
    <w:bookmarkStart w:id="37" w:name="Xbc6645a3259c5a2ef17945f90adac4338887046"/>
    <w:p>
      <w:pPr>
        <w:pStyle w:val="Heading4"/>
      </w:pPr>
      <w:r>
        <w:t xml:space="preserve">RF-14 | CMMC Master Services Agreement — No Minimum Volume Commitments — MEDIUM SEVERITY</w:t>
      </w:r>
    </w:p>
    <w:p>
      <w:pPr>
        <w:pStyle w:val="FirstParagraph"/>
      </w:pPr>
      <w:r>
        <w:rPr>
          <w:b/>
          <w:bCs/>
        </w:rPr>
        <w:t xml:space="preserve">Source Documents:</w:t>
      </w:r>
      <w:r>
        <w:t xml:space="preserve"> </w:t>
      </w:r>
      <w:r>
        <w:t xml:space="preserve">Customer Contract Summary (Top 20 Customers Tab); CIM (Section VI.D)</w:t>
      </w:r>
    </w:p>
    <w:p>
      <w:pPr>
        <w:pStyle w:val="BodyText"/>
      </w:pPr>
      <w:r>
        <w:rPr>
          <w:b/>
          <w:bCs/>
        </w:rPr>
        <w:t xml:space="preserve">Finding:</w:t>
      </w:r>
      <w:r>
        <w:t xml:space="preserve"> </w:t>
      </w:r>
      <w:r>
        <w:t xml:space="preserve">Consolidated Mining &amp; Minerals Corp. (CMMC), the Company’s second-largest customer at $14.5M (11.4% of revenue), is governed by an MSA with</w:t>
      </w:r>
      <w:r>
        <w:t xml:space="preserve"> </w:t>
      </w:r>
      <w:r>
        <w:rPr>
          <w:b/>
          <w:bCs/>
        </w:rPr>
        <w:t xml:space="preserve">no guaranteed minimum volume commitments</w:t>
      </w:r>
      <w:r>
        <w:t xml:space="preserve"> </w:t>
      </w:r>
      <w:r>
        <w:t xml:space="preserve">and a</w:t>
      </w:r>
      <w:r>
        <w:t xml:space="preserve"> </w:t>
      </w:r>
      <w:r>
        <w:rPr>
          <w:b/>
          <w:bCs/>
        </w:rPr>
        <w:t xml:space="preserve">60-day termination for convenience</w:t>
      </w:r>
      <w:r>
        <w:t xml:space="preserve"> </w:t>
      </w:r>
      <w:r>
        <w:t xml:space="preserve">provision. The relationship dates to 2014 and has grown consistently, but the absence of contractual volume protection means the entire $14.5M revenue stream could be terminated with 60 days’ notice. The CIM presents this as a</w:t>
      </w:r>
      <w:r>
        <w:t xml:space="preserve"> </w:t>
      </w:r>
      <w:r>
        <w:t xml:space="preserve">“</w:t>
      </w:r>
      <w:r>
        <w:t xml:space="preserve">long-standing</w:t>
      </w:r>
      <w:r>
        <w:t xml:space="preserve">”</w:t>
      </w:r>
      <w:r>
        <w:t xml:space="preserve"> </w:t>
      </w:r>
      <w:r>
        <w:t xml:space="preserve">relationship without disclosing the termination-for-convenience risk.</w:t>
      </w:r>
    </w:p>
    <w:p>
      <w:pPr>
        <w:pStyle w:val="BodyText"/>
      </w:pPr>
      <w:r>
        <w:rPr>
          <w:b/>
          <w:bCs/>
        </w:rPr>
        <w:t xml:space="preserve">Recommended Action:</w:t>
      </w:r>
      <w:r>
        <w:t xml:space="preserve"> </w:t>
      </w:r>
      <w:r>
        <w:t xml:space="preserve">Seek a multi-year contract with minimum volume commitments from CMMC as a pre-closing deliverable. At minimum, obtain a representation from CMMC that it has no current intention to terminate or reduce the relationship.</w:t>
      </w:r>
    </w:p>
    <w:p>
      <w:r>
        <w:pict>
          <v:rect style="width:0;height:1.5pt" o:hralign="center" o:hrstd="t" o:hr="t"/>
        </w:pict>
      </w:r>
    </w:p>
    <w:bookmarkEnd w:id="37"/>
    <w:bookmarkStart w:id="38" w:name="X3875cb8b0a7604a033d20879dd0dfabd9242c97"/>
    <w:p>
      <w:pPr>
        <w:pStyle w:val="Heading4"/>
      </w:pPr>
      <w:r>
        <w:t xml:space="preserve">RF-15 | Intermountain Health Systems Contract Renewal — Imminent Decision — MEDIUM SEVERITY</w:t>
      </w:r>
    </w:p>
    <w:p>
      <w:pPr>
        <w:pStyle w:val="FirstParagraph"/>
      </w:pPr>
      <w:r>
        <w:rPr>
          <w:b/>
          <w:bCs/>
        </w:rPr>
        <w:t xml:space="preserve">Source Documents:</w:t>
      </w:r>
      <w:r>
        <w:t xml:space="preserve"> </w:t>
      </w:r>
      <w:r>
        <w:t xml:space="preserve">Customer Contract Summary (Top 20 Customers Tab)</w:t>
      </w:r>
    </w:p>
    <w:p>
      <w:pPr>
        <w:pStyle w:val="BodyText"/>
      </w:pPr>
      <w:r>
        <w:rPr>
          <w:b/>
          <w:bCs/>
        </w:rPr>
        <w:t xml:space="preserve">Finding:</w:t>
      </w:r>
      <w:r>
        <w:t xml:space="preserve"> </w:t>
      </w:r>
      <w:r>
        <w:t xml:space="preserve">The Intermountain Health Systems fixed-price service agreement (7.1% of revenue, $7.1M) expires</w:t>
      </w:r>
      <w:r>
        <w:t xml:space="preserve"> </w:t>
      </w:r>
      <w:r>
        <w:rPr>
          <w:b/>
          <w:bCs/>
        </w:rPr>
        <w:t xml:space="preserve">June 30, 2025</w:t>
      </w:r>
      <w:r>
        <w:t xml:space="preserve"> </w:t>
      </w:r>
      <w:r>
        <w:t xml:space="preserve">— approximately two months after the target closing date. The renewal option requires 120-day advance notice, meaning the renewal decision must be made by</w:t>
      </w:r>
      <w:r>
        <w:t xml:space="preserve"> </w:t>
      </w:r>
      <w:r>
        <w:rPr>
          <w:b/>
          <w:bCs/>
        </w:rPr>
        <w:t xml:space="preserve">approximately March 1, 2025</w:t>
      </w:r>
      <w:r>
        <w:t xml:space="preserve"> </w:t>
      </w:r>
      <w:r>
        <w:t xml:space="preserve">— before the target signing date of February 14, 2025. If the renewal option is not exercised, the contract expires at closing, eliminating $7.1M of revenue. The contract also requires prior written consent for assignment and 60-day advance notice of change of control.</w:t>
      </w:r>
    </w:p>
    <w:p>
      <w:pPr>
        <w:pStyle w:val="BodyText"/>
      </w:pPr>
      <w:r>
        <w:rPr>
          <w:b/>
          <w:bCs/>
        </w:rPr>
        <w:t xml:space="preserve">Recommended Action:</w:t>
      </w:r>
      <w:r>
        <w:t xml:space="preserve"> </w:t>
      </w:r>
      <w:r>
        <w:t xml:space="preserve">Confirm immediately whether Intermountain Health has been notified of the renewal option and whether they intend to exercise it. Make renewal confirmation a signing condition.</w:t>
      </w:r>
    </w:p>
    <w:p>
      <w:r>
        <w:pict>
          <v:rect style="width:0;height:1.5pt" o:hralign="center" o:hrstd="t" o:hr="t"/>
        </w:pict>
      </w:r>
    </w:p>
    <w:bookmarkEnd w:id="38"/>
    <w:bookmarkStart w:id="39" w:name="Xe788ebc4e1068b0b97de23b1539ab0c9268a07e"/>
    <w:p>
      <w:pPr>
        <w:pStyle w:val="Heading4"/>
      </w:pPr>
      <w:r>
        <w:t xml:space="preserve">RF-16 | Customer List Discrepancy Between CIM and QoE Data — MEDIUM SEVERITY</w:t>
      </w:r>
    </w:p>
    <w:p>
      <w:pPr>
        <w:pStyle w:val="FirstParagraph"/>
      </w:pPr>
      <w:r>
        <w:rPr>
          <w:b/>
          <w:bCs/>
        </w:rPr>
        <w:t xml:space="preserve">Source Documents:</w:t>
      </w:r>
      <w:r>
        <w:t xml:space="preserve"> </w:t>
      </w:r>
      <w:r>
        <w:t xml:space="preserve">CIM (Section VI.D); Customer Contract Summary (Top 20 Customers Tab); QoE Data Request Response (Revenue by Customer Tab)</w:t>
      </w:r>
    </w:p>
    <w:p>
      <w:pPr>
        <w:pStyle w:val="BodyText"/>
      </w:pPr>
      <w:r>
        <w:rPr>
          <w:b/>
          <w:bCs/>
        </w:rPr>
        <w:t xml:space="preserve">Finding:</w:t>
      </w:r>
      <w:r>
        <w:t xml:space="preserve"> </w:t>
      </w:r>
      <w:r>
        <w:t xml:space="preserve">The top 10 customer lists in the CIM, the Customer Contract Summary, and the QoE data package are materially inconsistent. For example:</w:t>
      </w:r>
      <w:r>
        <w:t xml:space="preserve"> </w:t>
      </w:r>
      <w:r>
        <w:t xml:space="preserve">- The CIM lists</w:t>
      </w:r>
      <w:r>
        <w:t xml:space="preserve"> </w:t>
      </w:r>
      <w:r>
        <w:t xml:space="preserve">“</w:t>
      </w:r>
      <w:r>
        <w:t xml:space="preserve">Customer C</w:t>
      </w:r>
      <w:r>
        <w:t xml:space="preserve">”</w:t>
      </w:r>
      <w:r>
        <w:t xml:space="preserve"> </w:t>
      </w:r>
      <w:r>
        <w:t xml:space="preserve">at $10.2M (8.0%) and</w:t>
      </w:r>
      <w:r>
        <w:t xml:space="preserve"> </w:t>
      </w:r>
      <w:r>
        <w:t xml:space="preserve">“</w:t>
      </w:r>
      <w:r>
        <w:t xml:space="preserve">Customer D</w:t>
      </w:r>
      <w:r>
        <w:t xml:space="preserve">”</w:t>
      </w:r>
      <w:r>
        <w:t xml:space="preserve"> </w:t>
      </w:r>
      <w:r>
        <w:t xml:space="preserve">at $7.6M (6.0%) without naming them.</w:t>
      </w:r>
      <w:r>
        <w:t xml:space="preserve"> </w:t>
      </w:r>
      <w:r>
        <w:t xml:space="preserve">- The Customer Contract Summary names Western Slope Municipal Water District ($9.8M, 7.7%) and High Plains Energy Partners ($8.3M, 6.5%) as #3 and #4.</w:t>
      </w:r>
      <w:r>
        <w:t xml:space="preserve"> </w:t>
      </w:r>
      <w:r>
        <w:t xml:space="preserve">- The QoE Revenue by Customer tab lists Western Slope Energy Partners ($8.9M, 7.0%) and Rio Tinto Kennecott ($7.6M, 6.0%) as #3 and #4.</w:t>
      </w:r>
    </w:p>
    <w:p>
      <w:pPr>
        <w:pStyle w:val="BodyText"/>
      </w:pPr>
      <w:r>
        <w:t xml:space="preserve">These are three different customer lists for the same period. The discrepancies suggest either (a) the data room documents were prepared at different times using different data cuts, or (b) there are errors in one or more of the schedules. This undermines confidence in the revenue data.</w:t>
      </w:r>
    </w:p>
    <w:p>
      <w:pPr>
        <w:pStyle w:val="BodyText"/>
      </w:pPr>
      <w:r>
        <w:rPr>
          <w:b/>
          <w:bCs/>
        </w:rPr>
        <w:t xml:space="preserve">Recommended Action:</w:t>
      </w:r>
      <w:r>
        <w:t xml:space="preserve"> </w:t>
      </w:r>
      <w:r>
        <w:t xml:space="preserve">Require management to provide a single, reconciled customer revenue schedule with supporting documentation (invoices, contracts) for the top 20 customers. The QoE firm should independently verify customer revenue from source systems.</w:t>
      </w:r>
    </w:p>
    <w:p>
      <w:r>
        <w:pict>
          <v:rect style="width:0;height:1.5pt" o:hralign="center" o:hrstd="t" o:hr="t"/>
        </w:pict>
      </w:r>
    </w:p>
    <w:bookmarkEnd w:id="39"/>
    <w:bookmarkEnd w:id="40"/>
    <w:bookmarkStart w:id="43" w:name="category-4-real-property-leases"/>
    <w:p>
      <w:pPr>
        <w:pStyle w:val="Heading3"/>
      </w:pPr>
      <w:r>
        <w:t xml:space="preserve">CATEGORY 4: REAL PROPERTY &amp; LEASES</w:t>
      </w:r>
    </w:p>
    <w:p>
      <w:r>
        <w:pict>
          <v:rect style="width:0;height:1.5pt" o:hralign="center" o:hrstd="t" o:hr="t"/>
        </w:pict>
      </w:r>
    </w:p>
    <w:bookmarkStart w:id="41" w:name="Xc36877ca98c2617381f9ab1edd55a7da6ad3e01"/>
    <w:p>
      <w:pPr>
        <w:pStyle w:val="Heading4"/>
      </w:pPr>
      <w:r>
        <w:t xml:space="preserve">RF-17 | Salt Lake City Lease — Dual Assignment Default Risk — HIGH SEVERITY</w:t>
      </w:r>
    </w:p>
    <w:p>
      <w:pPr>
        <w:pStyle w:val="FirstParagraph"/>
      </w:pPr>
      <w:r>
        <w:rPr>
          <w:b/>
          <w:bCs/>
        </w:rPr>
        <w:t xml:space="preserve">Source Documents:</w:t>
      </w:r>
      <w:r>
        <w:t xml:space="preserve"> </w:t>
      </w:r>
      <w:r>
        <w:t xml:space="preserve">Real Property Lease Schedule (Sections 4.1 and 6); Litigation Summary (Section V.B); Customer Contract Summary (Customer Concentration Summary Tab)</w:t>
      </w:r>
    </w:p>
    <w:p>
      <w:pPr>
        <w:pStyle w:val="BodyText"/>
      </w:pPr>
      <w:r>
        <w:rPr>
          <w:b/>
          <w:bCs/>
        </w:rPr>
        <w:t xml:space="preserve">Finding:</w:t>
      </w:r>
      <w:r>
        <w:t xml:space="preserve"> </w:t>
      </w:r>
      <w:r>
        <w:t xml:space="preserve">The Salt Lake City Transfer Station lease (2100 West North Temple) presents a compounded assignment risk:</w:t>
      </w:r>
      <w:r>
        <w:t xml:space="preserve"> </w:t>
      </w:r>
      <w:r>
        <w:t xml:space="preserve">-</w:t>
      </w:r>
      <w:r>
        <w:t xml:space="preserve"> </w:t>
      </w:r>
      <w:r>
        <w:rPr>
          <w:b/>
          <w:bCs/>
        </w:rPr>
        <w:t xml:space="preserve">First assignment (Pinnacle → RES):</w:t>
      </w:r>
      <w:r>
        <w:t xml:space="preserve"> </w:t>
      </w:r>
      <w:r>
        <w:t xml:space="preserve">RES requested landlord consent on April 12, 2022. As of December 2024 —</w:t>
      </w:r>
      <w:r>
        <w:t xml:space="preserve"> </w:t>
      </w:r>
      <w:r>
        <w:rPr>
          <w:b/>
          <w:bCs/>
        </w:rPr>
        <w:t xml:space="preserve">32 months later</w:t>
      </w:r>
      <w:r>
        <w:t xml:space="preserve"> </w:t>
      </w:r>
      <w:r>
        <w:t xml:space="preserve">— no written consent has been received. The lease explicitly defines any change of control of the tenant as an assignment requiring consent.</w:t>
      </w:r>
      <w:r>
        <w:t xml:space="preserve"> </w:t>
      </w:r>
      <w:r>
        <w:t xml:space="preserve">-</w:t>
      </w:r>
      <w:r>
        <w:t xml:space="preserve"> </w:t>
      </w:r>
      <w:r>
        <w:rPr>
          <w:b/>
          <w:bCs/>
        </w:rPr>
        <w:t xml:space="preserve">Second assignment (RES → Sycamore acquisition):</w:t>
      </w:r>
      <w:r>
        <w:t xml:space="preserve"> </w:t>
      </w:r>
      <w:r>
        <w:t xml:space="preserve">The proposed transaction would constitute a second change-of-control event under the same lease provision, requiring a separate consent.</w:t>
      </w:r>
      <w:r>
        <w:t xml:space="preserve"> </w:t>
      </w:r>
      <w:r>
        <w:t xml:space="preserve">-</w:t>
      </w:r>
      <w:r>
        <w:t xml:space="preserve"> </w:t>
      </w:r>
      <w:r>
        <w:rPr>
          <w:b/>
          <w:bCs/>
        </w:rPr>
        <w:t xml:space="preserve">Landlord inquiry:</w:t>
      </w:r>
      <w:r>
        <w:t xml:space="preserve"> </w:t>
      </w:r>
      <w:r>
        <w:t xml:space="preserve">In November 2024, the landlord (Wasatch Industrial Properties, LLC) sent correspondence requesting confirmation of the current tenant and inquiring about any change of control — suggesting the landlord is aware of the situation and may be preparing to assert a default.</w:t>
      </w:r>
      <w:r>
        <w:t xml:space="preserve"> </w:t>
      </w:r>
      <w:r>
        <w:t xml:space="preserve">-</w:t>
      </w:r>
      <w:r>
        <w:t xml:space="preserve"> </w:t>
      </w:r>
      <w:r>
        <w:rPr>
          <w:b/>
          <w:bCs/>
        </w:rPr>
        <w:t xml:space="preserve">Revenue at risk:</w:t>
      </w:r>
      <w:r>
        <w:t xml:space="preserve"> </w:t>
      </w:r>
      <w:r>
        <w:t xml:space="preserve">Customers served from the SLC facility include Wasatch Front Petroleum ($6.4M), Silver Creek Mining ($5.8M), Utah DEQ ($4.6M partial), Summit County ($2.9M partial), Uinta Basin Oil &amp; Gas ($0.2M), and Bear River Chemical ($1.7M) — approximately</w:t>
      </w:r>
      <w:r>
        <w:t xml:space="preserve"> </w:t>
      </w:r>
      <w:r>
        <w:rPr>
          <w:b/>
          <w:bCs/>
        </w:rPr>
        <w:t xml:space="preserve">$16.2M of annual revenue</w:t>
      </w:r>
      <w:r>
        <w:t xml:space="preserve"> </w:t>
      </w:r>
      <w:r>
        <w:t xml:space="preserve">(12.7% of total).</w:t>
      </w:r>
      <w:r>
        <w:t xml:space="preserve"> </w:t>
      </w:r>
      <w:r>
        <w:t xml:space="preserve">-</w:t>
      </w:r>
      <w:r>
        <w:t xml:space="preserve"> </w:t>
      </w:r>
      <w:r>
        <w:rPr>
          <w:b/>
          <w:bCs/>
        </w:rPr>
        <w:t xml:space="preserve">Permit dependency:</w:t>
      </w:r>
      <w:r>
        <w:t xml:space="preserve"> </w:t>
      </w:r>
      <w:r>
        <w:t xml:space="preserve">The SLC facility also operates under the untransferred Pinnacle permit (UTH-0441), compounding the risk.</w:t>
      </w:r>
    </w:p>
    <w:p>
      <w:pPr>
        <w:pStyle w:val="BodyText"/>
      </w:pPr>
      <w:r>
        <w:rPr>
          <w:b/>
          <w:bCs/>
        </w:rPr>
        <w:t xml:space="preserve">Recommended Action:</w:t>
      </w:r>
      <w:r>
        <w:t xml:space="preserve"> </w:t>
      </w:r>
      <w:r>
        <w:t xml:space="preserve">Obtain landlord consent to both the existing Pinnacle-to-RES assignment and the proposed Sycamore acquisition as a pre-closing condition. Engage directly with Wasatch Industrial Properties. If consent cannot be obtained, evaluate alternative facility options for the SLC operations.</w:t>
      </w:r>
    </w:p>
    <w:p>
      <w:r>
        <w:pict>
          <v:rect style="width:0;height:1.5pt" o:hralign="center" o:hrstd="t" o:hr="t"/>
        </w:pict>
      </w:r>
    </w:p>
    <w:bookmarkEnd w:id="41"/>
    <w:bookmarkStart w:id="42" w:name="Xb171999d68ba639678b997493630e556484db5b"/>
    <w:p>
      <w:pPr>
        <w:pStyle w:val="Heading4"/>
      </w:pPr>
      <w:r>
        <w:t xml:space="preserve">RF-18 | Pueblo Storage Yard Lease Expiring at Closing — LOW SEVERITY</w:t>
      </w:r>
    </w:p>
    <w:p>
      <w:pPr>
        <w:pStyle w:val="FirstParagraph"/>
      </w:pPr>
      <w:r>
        <w:rPr>
          <w:b/>
          <w:bCs/>
        </w:rPr>
        <w:t xml:space="preserve">Source Documents:</w:t>
      </w:r>
      <w:r>
        <w:t xml:space="preserve"> </w:t>
      </w:r>
      <w:r>
        <w:t xml:space="preserve">Real Property Lease Schedule (Section 4.4)</w:t>
      </w:r>
    </w:p>
    <w:p>
      <w:pPr>
        <w:pStyle w:val="BodyText"/>
      </w:pPr>
      <w:r>
        <w:rPr>
          <w:b/>
          <w:bCs/>
        </w:rPr>
        <w:t xml:space="preserve">Finding:</w:t>
      </w:r>
      <w:r>
        <w:t xml:space="preserve"> </w:t>
      </w:r>
      <w:r>
        <w:t xml:space="preserve">The Pueblo Storage Yard lease expires</w:t>
      </w:r>
      <w:r>
        <w:t xml:space="preserve"> </w:t>
      </w:r>
      <w:r>
        <w:rPr>
          <w:b/>
          <w:bCs/>
        </w:rPr>
        <w:t xml:space="preserve">April 30, 2025</w:t>
      </w:r>
      <w:r>
        <w:t xml:space="preserve"> </w:t>
      </w:r>
      <w:r>
        <w:t xml:space="preserve">— the same date as the target closing. Renewal negotiations are underway but not complete. While this is a minor facility (equipment and vehicle storage), failure to renew could require relocation of equipment and vehicles, incurring unbudgeted costs.</w:t>
      </w:r>
    </w:p>
    <w:p>
      <w:pPr>
        <w:pStyle w:val="BodyText"/>
      </w:pPr>
      <w:r>
        <w:rPr>
          <w:b/>
          <w:bCs/>
        </w:rPr>
        <w:t xml:space="preserve">Recommended Action:</w:t>
      </w:r>
      <w:r>
        <w:t xml:space="preserve"> </w:t>
      </w:r>
      <w:r>
        <w:t xml:space="preserve">Confirm lease renewal status before closing. Include as a disclosure item in the SPA.</w:t>
      </w:r>
    </w:p>
    <w:p>
      <w:r>
        <w:pict>
          <v:rect style="width:0;height:1.5pt" o:hralign="center" o:hrstd="t" o:hr="t"/>
        </w:pict>
      </w:r>
    </w:p>
    <w:bookmarkEnd w:id="42"/>
    <w:bookmarkEnd w:id="43"/>
    <w:bookmarkStart w:id="47" w:name="category-5-labor-employment"/>
    <w:p>
      <w:pPr>
        <w:pStyle w:val="Heading3"/>
      </w:pPr>
      <w:r>
        <w:t xml:space="preserve">CATEGORY 5: LABOR &amp; EMPLOYMENT</w:t>
      </w:r>
    </w:p>
    <w:p>
      <w:r>
        <w:pict>
          <v:rect style="width:0;height:1.5pt" o:hralign="center" o:hrstd="t" o:hr="t"/>
        </w:pict>
      </w:r>
    </w:p>
    <w:bookmarkStart w:id="44" w:name="X078611836bcb513f1af2eae4d7c93cb07ae3412"/>
    <w:p>
      <w:pPr>
        <w:pStyle w:val="Heading4"/>
      </w:pPr>
      <w:r>
        <w:t xml:space="preserve">RF-19 | NLRB Unionization Petition — 62 Field Technicians — HIGH SEVERITY</w:t>
      </w:r>
    </w:p>
    <w:p>
      <w:pPr>
        <w:pStyle w:val="FirstParagraph"/>
      </w:pPr>
      <w:r>
        <w:rPr>
          <w:b/>
          <w:bCs/>
        </w:rPr>
        <w:t xml:space="preserve">Source Documents:</w:t>
      </w:r>
      <w:r>
        <w:t xml:space="preserve"> </w:t>
      </w:r>
      <w:r>
        <w:t xml:space="preserve">Employee Benefits Summary (Section 7, Footnote 1)</w:t>
      </w:r>
    </w:p>
    <w:p>
      <w:pPr>
        <w:pStyle w:val="BodyText"/>
      </w:pPr>
      <w:r>
        <w:rPr>
          <w:b/>
          <w:bCs/>
        </w:rPr>
        <w:t xml:space="preserve">Finding:</w:t>
      </w:r>
      <w:r>
        <w:t xml:space="preserve"> </w:t>
      </w:r>
      <w:r>
        <w:t xml:space="preserve">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 at the Grand Junction and Casper facilities</w:t>
      </w:r>
      <w:r>
        <w:t xml:space="preserve">. This is disclosed only in a footnote to the Employee Benefits Summary and is not mentioned in the CIM, the Employment Agreements Summary, or the Litigation Summary. Key implications:</w:t>
      </w:r>
      <w:r>
        <w:t xml:space="preserve"> </w:t>
      </w:r>
      <w:r>
        <w:t xml:space="preserve">- The Company’s workforce is presented throughout the CIM as</w:t>
      </w:r>
      <w:r>
        <w:t xml:space="preserve"> </w:t>
      </w:r>
      <w:r>
        <w:t xml:space="preserve">“</w:t>
      </w:r>
      <w:r>
        <w:t xml:space="preserve">entirely non-unionized</w:t>
      </w:r>
      <w:r>
        <w:t xml:space="preserve">”</w:t>
      </w:r>
      <w:r>
        <w:t xml:space="preserve"> </w:t>
      </w:r>
      <w:r>
        <w:t xml:space="preserve">— a key investment thesis point. This characterization is now materially qualified.</w:t>
      </w:r>
      <w:r>
        <w:t xml:space="preserve"> </w:t>
      </w:r>
      <w:r>
        <w:t xml:space="preserve">- If the union election succeeds, the Company would be required to bargain collectively with the Teamsters, potentially increasing labor costs, reducing operational flexibility, and affecting the Company’s ability to deploy field personnel across facilities.</w:t>
      </w:r>
      <w:r>
        <w:t xml:space="preserve"> </w:t>
      </w:r>
      <w:r>
        <w:t xml:space="preserve">- The Credit Agreement treats a material labor dispute lasting more than 10 business days as an Event of Default.</w:t>
      </w:r>
      <w:r>
        <w:t xml:space="preserve"> </w:t>
      </w:r>
      <w:r>
        <w:t xml:space="preserve">- The LOI’s pre-closing covenant restricts the Company from taking actions that could constitute unfair labor practices without Buyer consent.</w:t>
      </w:r>
      <w:r>
        <w:t xml:space="preserve"> </w:t>
      </w:r>
      <w:r>
        <w:t xml:space="preserve">- 62 field technicians represent approximately 22% of the field operations workforce and are concentrated at the two largest facilities.</w:t>
      </w:r>
    </w:p>
    <w:p>
      <w:pPr>
        <w:pStyle w:val="BodyText"/>
      </w:pPr>
      <w:r>
        <w:rPr>
          <w:b/>
          <w:bCs/>
        </w:rPr>
        <w:t xml:space="preserve">Recommended Action:</w:t>
      </w:r>
      <w:r>
        <w:t xml:space="preserve"> </w:t>
      </w:r>
      <w:r>
        <w:t xml:space="preserve">Obtain a full briefing from management and labor counsel on the status of the NLRB petition, the Company’s response strategy, and the election timeline. Assess the financial impact of potential unionization on labor costs and operational flexibility. Consider whether the NLRB petition constitutes a material adverse change.</w:t>
      </w:r>
    </w:p>
    <w:p>
      <w:r>
        <w:pict>
          <v:rect style="width:0;height:1.5pt" o:hralign="center" o:hrstd="t" o:hr="t"/>
        </w:pict>
      </w:r>
    </w:p>
    <w:bookmarkEnd w:id="44"/>
    <w:bookmarkStart w:id="45" w:name="Xef25c9f5ea73cb029096c842a689873c57ad329"/>
    <w:p>
      <w:pPr>
        <w:pStyle w:val="Heading4"/>
      </w:pPr>
      <w:r>
        <w:t xml:space="preserve">RF-20 | Single-Trigger Change-of-Control Severance — $2.625M Certain at Closing — MEDIUM SEVERITY</w:t>
      </w:r>
    </w:p>
    <w:p>
      <w:pPr>
        <w:pStyle w:val="FirstParagraph"/>
      </w:pPr>
      <w:r>
        <w:rPr>
          <w:b/>
          <w:bCs/>
        </w:rPr>
        <w:t xml:space="preserve">Source Documents:</w:t>
      </w:r>
      <w:r>
        <w:t xml:space="preserve"> </w:t>
      </w:r>
      <w:r>
        <w:t xml:space="preserve">Employment Agreements Summary (Sections 3, 4, and 8); QoE Data Request Response (Executive Compensation Tab)</w:t>
      </w:r>
    </w:p>
    <w:p>
      <w:pPr>
        <w:pStyle w:val="BodyText"/>
      </w:pPr>
      <w:r>
        <w:rPr>
          <w:b/>
          <w:bCs/>
        </w:rPr>
        <w:t xml:space="preserve">Finding:</w:t>
      </w:r>
      <w:r>
        <w:t xml:space="preserve"> </w:t>
      </w:r>
      <w:r>
        <w:t xml:space="preserve">The employment agreements for Derek Calloway (CEO) and Jason Calloway (COO) contain</w:t>
      </w:r>
      <w:r>
        <w:t xml:space="preserve"> </w:t>
      </w:r>
      <w:r>
        <w:rPr>
          <w:b/>
          <w:bCs/>
        </w:rPr>
        <w:t xml:space="preserve">single-trigger</w:t>
      </w:r>
      <w:r>
        <w:t xml:space="preserve"> </w:t>
      </w:r>
      <w:r>
        <w:t xml:space="preserve">change-of-control severance provisions totaling</w:t>
      </w:r>
      <w:r>
        <w:t xml:space="preserve"> </w:t>
      </w:r>
      <w:r>
        <w:rPr>
          <w:b/>
          <w:bCs/>
        </w:rPr>
        <w:t xml:space="preserve">$2,625,000</w:t>
      </w:r>
      <w:r>
        <w:t xml:space="preserve"> </w:t>
      </w:r>
      <w:r>
        <w:t xml:space="preserve">($1,312,500 each), payable within 30 days of closing regardless of whether their employment continues. This is a certain cash outflow at closing that must be accounted for in the purchase price mechanism. Additionally:</w:t>
      </w:r>
      <w:r>
        <w:t xml:space="preserve"> </w:t>
      </w:r>
      <w:r>
        <w:t xml:space="preserve">- The aggregate change-of-control severance across all five executives is</w:t>
      </w:r>
      <w:r>
        <w:t xml:space="preserve"> </w:t>
      </w:r>
      <w:r>
        <w:rPr>
          <w:b/>
          <w:bCs/>
        </w:rPr>
        <w:t xml:space="preserve">$3,775,000</w:t>
      </w:r>
      <w:r>
        <w:t xml:space="preserve">.</w:t>
      </w:r>
      <w:r>
        <w:t xml:space="preserve"> </w:t>
      </w:r>
      <w:r>
        <w:t xml:space="preserve">- The LOI’s definition of</w:t>
      </w:r>
      <w:r>
        <w:t xml:space="preserve"> </w:t>
      </w:r>
      <w:r>
        <w:t xml:space="preserve">“</w:t>
      </w:r>
      <w:r>
        <w:t xml:space="preserve">Transaction Expenses</w:t>
      </w:r>
      <w:r>
        <w:t xml:space="preserve">”</w:t>
      </w:r>
      <w:r>
        <w:t xml:space="preserve"> </w:t>
      </w:r>
      <w:r>
        <w:t xml:space="preserve">does not explicitly address these payments, creating ambiguity about whether they reduce the purchase price or are borne by the buyer.</w:t>
      </w:r>
      <w:r>
        <w:t xml:space="preserve"> </w:t>
      </w:r>
      <w:r>
        <w:t xml:space="preserve">- The QoE data notes that</w:t>
      </w:r>
      <w:r>
        <w:t xml:space="preserve"> </w:t>
      </w:r>
      <w:r>
        <w:t xml:space="preserve">“</w:t>
      </w:r>
      <w:r>
        <w:t xml:space="preserve">classification of these payments (seller transaction expense vs. buyer-borne cost) has not been addressed in the LOI or this data package.</w:t>
      </w:r>
      <w:r>
        <w:t xml:space="preserve">”</w:t>
      </w:r>
      <w:r>
        <w:t xml:space="preserve"> </w:t>
      </w:r>
      <w:r>
        <w:t xml:space="preserve">- The Calloways’ base salaries of $875K each are being normalized down to $400K each for EBITDA purposes — but if they remain post-closing at $875K, the $950K normalization add-back is not achievable.</w:t>
      </w:r>
    </w:p>
    <w:p>
      <w:pPr>
        <w:pStyle w:val="BodyText"/>
      </w:pPr>
      <w:r>
        <w:rPr>
          <w:b/>
          <w:bCs/>
        </w:rPr>
        <w:t xml:space="preserve">Recommended Action:</w:t>
      </w:r>
      <w:r>
        <w:t xml:space="preserve"> </w:t>
      </w:r>
      <w:r>
        <w:t xml:space="preserve">Confirm that the $3,775,000 aggregate severance is treated as a seller transaction expense and deducted from the purchase price. Negotiate post-closing employment terms with the Calloways that are consistent with the compensation normalization assumptions embedded in the EBITDA add-back.</w:t>
      </w:r>
    </w:p>
    <w:p>
      <w:r>
        <w:pict>
          <v:rect style="width:0;height:1.5pt" o:hralign="center" o:hrstd="t" o:hr="t"/>
        </w:pict>
      </w:r>
    </w:p>
    <w:bookmarkEnd w:id="45"/>
    <w:bookmarkStart w:id="46" w:name="X1f219e713acc0a9c2b92bec9c540a3e8cb0ae3d"/>
    <w:p>
      <w:pPr>
        <w:pStyle w:val="Heading4"/>
      </w:pPr>
      <w:r>
        <w:t xml:space="preserve">RF-21 | Former Employee Wage Claim — FLSA Overtime Exposure — LOW SEVERITY</w:t>
      </w:r>
    </w:p>
    <w:p>
      <w:pPr>
        <w:pStyle w:val="FirstParagraph"/>
      </w:pPr>
      <w:r>
        <w:rPr>
          <w:b/>
          <w:bCs/>
        </w:rPr>
        <w:t xml:space="preserve">Source Documents:</w:t>
      </w:r>
      <w:r>
        <w:t xml:space="preserve"> </w:t>
      </w:r>
      <w:r>
        <w:t xml:space="preserve">Litigation Summary (Section V.A)</w:t>
      </w:r>
    </w:p>
    <w:p>
      <w:pPr>
        <w:pStyle w:val="BodyText"/>
      </w:pPr>
      <w:r>
        <w:rPr>
          <w:b/>
          <w:bCs/>
        </w:rPr>
        <w:t xml:space="preserve">Finding:</w:t>
      </w:r>
      <w:r>
        <w:t xml:space="preserve"> </w:t>
      </w:r>
      <w:r>
        <w:t xml:space="preserve">In October 2024, RES received a demand letter from counsel representing approximately 8 former field technicians alleging unpaid overtime under the FLSA and Colorado COMPS Order, with total claimed exposure of approximately $330,000 (including liquidated damages). No lawsuit has been filed. Management estimates exposure of $100K–$200K. While the dollar amount is not material, the claim raises questions about the Company’s wage and hour compliance practices across its broader field workforce of 310+ employees.</w:t>
      </w:r>
    </w:p>
    <w:p>
      <w:pPr>
        <w:pStyle w:val="BodyText"/>
      </w:pPr>
      <w:r>
        <w:rPr>
          <w:b/>
          <w:bCs/>
        </w:rPr>
        <w:t xml:space="preserve">Recommended Action:</w:t>
      </w:r>
      <w:r>
        <w:t xml:space="preserve"> </w:t>
      </w:r>
      <w:r>
        <w:t xml:space="preserve">Obtain a wage and hour compliance review for the full field workforce. Include a specific indemnity for wage and hour claims in the SPA.</w:t>
      </w:r>
    </w:p>
    <w:p>
      <w:r>
        <w:pict>
          <v:rect style="width:0;height:1.5pt" o:hralign="center" o:hrstd="t" o:hr="t"/>
        </w:pict>
      </w:r>
    </w:p>
    <w:bookmarkEnd w:id="46"/>
    <w:bookmarkEnd w:id="47"/>
    <w:bookmarkStart w:id="49" w:name="category-6-debt-capital-structure"/>
    <w:p>
      <w:pPr>
        <w:pStyle w:val="Heading3"/>
      </w:pPr>
      <w:r>
        <w:t xml:space="preserve">CATEGORY 6: DEBT &amp; CAPITAL STRUCTURE</w:t>
      </w:r>
    </w:p>
    <w:p>
      <w:r>
        <w:pict>
          <v:rect style="width:0;height:1.5pt" o:hralign="center" o:hrstd="t" o:hr="t"/>
        </w:pict>
      </w:r>
    </w:p>
    <w:bookmarkStart w:id="48" w:name="Xebbafd5465566a571fb05337c4b3444eac18900"/>
    <w:p>
      <w:pPr>
        <w:pStyle w:val="Heading4"/>
      </w:pPr>
      <w:r>
        <w:t xml:space="preserve">RF-22 | Change-of-Control Mandatory Prepayment — $39.2M+ Required at Closing — HIGH SEVERITY</w:t>
      </w:r>
    </w:p>
    <w:p>
      <w:pPr>
        <w:pStyle w:val="FirstParagraph"/>
      </w:pPr>
      <w:r>
        <w:rPr>
          <w:b/>
          <w:bCs/>
        </w:rPr>
        <w:t xml:space="preserve">Source Documents:</w:t>
      </w:r>
      <w:r>
        <w:t xml:space="preserve"> </w:t>
      </w:r>
      <w:r>
        <w:t xml:space="preserve">Credit Agreement Summary (Sections 8 and 9); LOI (Section 4(b))</w:t>
      </w:r>
    </w:p>
    <w:p>
      <w:pPr>
        <w:pStyle w:val="BodyText"/>
      </w:pPr>
      <w:r>
        <w:rPr>
          <w:b/>
          <w:bCs/>
        </w:rPr>
        <w:t xml:space="preserve">Finding:</w:t>
      </w:r>
      <w:r>
        <w:t xml:space="preserve"> </w:t>
      </w:r>
      <w:r>
        <w:t xml:space="preserve">The Credit Agreement with High Plains National Bank contains a</w:t>
      </w:r>
      <w:r>
        <w:t xml:space="preserve"> </w:t>
      </w:r>
      <w:r>
        <w:rPr>
          <w:b/>
          <w:bCs/>
        </w:rPr>
        <w:t xml:space="preserve">mandatory prepayment upon Change of Control</w:t>
      </w:r>
      <w:r>
        <w:t xml:space="preserve"> </w:t>
      </w:r>
      <w:r>
        <w:t xml:space="preserve">provision requiring full repayment of all outstanding obligations within</w:t>
      </w:r>
      <w:r>
        <w:t xml:space="preserve"> </w:t>
      </w:r>
      <w:r>
        <w:rPr>
          <w:b/>
          <w:bCs/>
        </w:rPr>
        <w:t xml:space="preserve">five (5) business days</w:t>
      </w:r>
      <w:r>
        <w:t xml:space="preserve"> </w:t>
      </w:r>
      <w:r>
        <w:t xml:space="preserve">of the change of control event. The proposed 100% stock acquisition by Sycamore Capital Partners triggers the Change of Control definition under clauses (a) and (c) of the Credit Agreement. Key facts:</w:t>
      </w:r>
      <w:r>
        <w:t xml:space="preserve"> </w:t>
      </w:r>
      <w:r>
        <w:t xml:space="preserve">-</w:t>
      </w:r>
      <w:r>
        <w:t xml:space="preserve"> </w:t>
      </w:r>
      <w:r>
        <w:rPr>
          <w:b/>
          <w:bCs/>
        </w:rPr>
        <w:t xml:space="preserve">Total mandatory prepayment:</w:t>
      </w:r>
      <w:r>
        <w:t xml:space="preserve"> </w:t>
      </w:r>
      <w:r>
        <w:t xml:space="preserve">Approximately $39.2M, comprising $12.4M (revolver) + $26.3M (term loan) + $263K (1.0% prepayment premium on term loan, assuming closing in Year 3) + accrued interest.</w:t>
      </w:r>
      <w:r>
        <w:t xml:space="preserve"> </w:t>
      </w:r>
      <w:r>
        <w:t xml:space="preserve">-</w:t>
      </w:r>
      <w:r>
        <w:t xml:space="preserve"> </w:t>
      </w:r>
      <w:r>
        <w:rPr>
          <w:b/>
          <w:bCs/>
        </w:rPr>
        <w:t xml:space="preserve">No waiver mechanism:</w:t>
      </w:r>
      <w:r>
        <w:t xml:space="preserve"> </w:t>
      </w:r>
      <w:r>
        <w:t xml:space="preserve">The Credit Agreement expressly provides no mechanism to waive or obtain consent to a Change of Control in lieu of prepayment.</w:t>
      </w:r>
      <w:r>
        <w:t xml:space="preserve"> </w:t>
      </w:r>
      <w:r>
        <w:t xml:space="preserve">-</w:t>
      </w:r>
      <w:r>
        <w:t xml:space="preserve"> </w:t>
      </w:r>
      <w:r>
        <w:rPr>
          <w:b/>
          <w:bCs/>
        </w:rPr>
        <w:t xml:space="preserve">Derek Calloway key-man provision:</w:t>
      </w:r>
      <w:r>
        <w:t xml:space="preserve"> </w:t>
      </w:r>
      <w:r>
        <w:t xml:space="preserve">The Credit Agreement also defines Derek Calloway’s departure as CEO (without a lender-approved successor) as an Event of Default. If the Calloways’ post-closing roles change, this provision must be addressed.</w:t>
      </w:r>
      <w:r>
        <w:t xml:space="preserve"> </w:t>
      </w:r>
      <w:r>
        <w:t xml:space="preserve">-</w:t>
      </w:r>
      <w:r>
        <w:t xml:space="preserve"> </w:t>
      </w:r>
      <w:r>
        <w:rPr>
          <w:b/>
          <w:bCs/>
        </w:rPr>
        <w:t xml:space="preserve">Amortization commencing January 2025:</w:t>
      </w:r>
      <w:r>
        <w:t xml:space="preserve"> </w:t>
      </w:r>
      <w:r>
        <w:t xml:space="preserve">The term loan’s interest-only period expires January 17, 2025, after which quarterly amortization of $657,500 begins. If closing occurs in April 2025, one amortization payment will have been made, reducing the term loan balance to approximately $25.6M.</w:t>
      </w:r>
      <w:r>
        <w:t xml:space="preserve"> </w:t>
      </w:r>
      <w:r>
        <w:t xml:space="preserve">- The LOI addresses this in Section 4(b) and Section 8(e), requiring either bank consent or payoff at closing.</w:t>
      </w:r>
    </w:p>
    <w:p>
      <w:pPr>
        <w:pStyle w:val="BodyText"/>
      </w:pPr>
      <w:r>
        <w:rPr>
          <w:b/>
          <w:bCs/>
        </w:rPr>
        <w:t xml:space="preserve">Recommended Action:</w:t>
      </w:r>
      <w:r>
        <w:t xml:space="preserve"> </w:t>
      </w:r>
      <w:r>
        <w:t xml:space="preserve">Arrange acquisition financing that includes sufficient proceeds to repay the existing credit facility at closing. Obtain a payoff letter from High Plains National Bank. Negotiate new credit facilities for the post-closing entity. Confirm that the prepayment premium is included in the Net Debt calculation for purchase price adjustment purposes.</w:t>
      </w:r>
    </w:p>
    <w:p>
      <w:r>
        <w:pict>
          <v:rect style="width:0;height:1.5pt" o:hralign="center" o:hrstd="t" o:hr="t"/>
        </w:pict>
      </w:r>
    </w:p>
    <w:bookmarkEnd w:id="48"/>
    <w:bookmarkEnd w:id="49"/>
    <w:bookmarkEnd w:id="50"/>
    <w:bookmarkStart w:id="51" w:name="summary-risk-matrix"/>
    <w:p>
      <w:pPr>
        <w:pStyle w:val="Heading2"/>
      </w:pPr>
      <w:r>
        <w:t xml:space="preserve">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 Financial Impact</w:t>
            </w:r>
          </w:p>
        </w:tc>
      </w:tr>
      <w:tr>
        <w:tc>
          <w:tcPr/>
          <w:p>
            <w:pPr>
              <w:pStyle w:val="Compact"/>
              <w:jc w:val="left"/>
            </w:pPr>
            <w:r>
              <w:t xml:space="preserve">RF-01</w:t>
            </w:r>
          </w:p>
        </w:tc>
        <w:tc>
          <w:tcPr/>
          <w:p>
            <w:pPr>
              <w:pStyle w:val="Compact"/>
              <w:jc w:val="left"/>
            </w:pPr>
            <w:r>
              <w:t xml:space="preserve">EBITDA Discrepancy (CIM vs. QoE)</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$8–9M valuation swing</w:t>
            </w:r>
          </w:p>
        </w:tc>
      </w:tr>
      <w:tr>
        <w:tc>
          <w:tcPr/>
          <w:p>
            <w:pPr>
              <w:pStyle w:val="Compact"/>
              <w:jc w:val="left"/>
            </w:pPr>
            <w:r>
              <w:t xml:space="preserve">RF-02</w:t>
            </w:r>
          </w:p>
        </w:tc>
        <w:tc>
          <w:tcPr/>
          <w:p>
            <w:pPr>
              <w:pStyle w:val="Compact"/>
              <w:jc w:val="left"/>
            </w:pPr>
            <w:r>
              <w:t xml:space="preserve">Aggressive/Recurring EBITDA Add-Backs</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$2.5–3.5M EBITDA overstatement</w:t>
            </w:r>
          </w:p>
        </w:tc>
      </w:tr>
      <w:tr>
        <w:tc>
          <w:tcPr/>
          <w:p>
            <w:pPr>
              <w:pStyle w:val="Compact"/>
              <w:jc w:val="left"/>
            </w:pPr>
            <w:r>
              <w:t xml:space="preserve">RF-03</w:t>
            </w:r>
          </w:p>
        </w:tc>
        <w:tc>
          <w:tcPr/>
          <w:p>
            <w:pPr>
              <w:pStyle w:val="Compact"/>
              <w:jc w:val="left"/>
            </w:pPr>
            <w:r>
              <w:t xml:space="preserve">Bank EBITDA vs. Management EBITDA</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$4.4M gap</w:t>
            </w:r>
          </w:p>
        </w:tc>
      </w:tr>
      <w:tr>
        <w:tc>
          <w:tcPr/>
          <w:p>
            <w:pPr>
              <w:pStyle w:val="Compact"/>
              <w:jc w:val="left"/>
            </w:pPr>
            <w:r>
              <w:t xml:space="preserve">RF-04</w:t>
            </w:r>
          </w:p>
        </w:tc>
        <w:tc>
          <w:tcPr/>
          <w:p>
            <w:pPr>
              <w:pStyle w:val="Compact"/>
              <w:jc w:val="left"/>
            </w:pPr>
            <w:r>
              <w:t xml:space="preserve">Reported EBITDA Decline FY2024</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Margin compression signal</w:t>
            </w:r>
          </w:p>
        </w:tc>
      </w:tr>
      <w:tr>
        <w:tc>
          <w:tcPr/>
          <w:p>
            <w:pPr>
              <w:pStyle w:val="Compact"/>
              <w:jc w:val="left"/>
            </w:pPr>
            <w:r>
              <w:t xml:space="preserve">RF-05</w:t>
            </w:r>
          </w:p>
        </w:tc>
        <w:tc>
          <w:tcPr/>
          <w:p>
            <w:pPr>
              <w:pStyle w:val="Compact"/>
              <w:jc w:val="left"/>
            </w:pPr>
            <w:r>
              <w:t xml:space="preserve">Fleet Replacement Backlog</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$3.3M/yr incremental CapEx</w:t>
            </w:r>
          </w:p>
        </w:tc>
      </w:tr>
      <w:tr>
        <w:tc>
          <w:tcPr/>
          <w:p>
            <w:pPr>
              <w:pStyle w:val="Compact"/>
              <w:jc w:val="left"/>
            </w:pPr>
            <w:r>
              <w:t xml:space="preserve">RF-06</w:t>
            </w:r>
          </w:p>
        </w:tc>
        <w:tc>
          <w:tcPr/>
          <w:p>
            <w:pPr>
              <w:pStyle w:val="Compact"/>
              <w:jc w:val="left"/>
            </w:pPr>
            <w:r>
              <w:t xml:space="preserve">FY2024 Financials Unaudited; Auditor Downgrade</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Unquantified</w:t>
            </w:r>
          </w:p>
        </w:tc>
      </w:tr>
      <w:tr>
        <w:tc>
          <w:tcPr/>
          <w:p>
            <w:pPr>
              <w:pStyle w:val="Compact"/>
              <w:jc w:val="left"/>
            </w:pPr>
            <w:r>
              <w:t xml:space="preserve">RF-07</w:t>
            </w:r>
          </w:p>
        </w:tc>
        <w:tc>
          <w:tcPr/>
          <w:p>
            <w:pPr>
              <w:pStyle w:val="Compact"/>
              <w:jc w:val="left"/>
            </w:pPr>
            <w:r>
              <w:t xml:space="preserve">Stale Phase II ESA / Unquantified Remediation</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$2.6M–$5M+</w:t>
            </w:r>
          </w:p>
        </w:tc>
      </w:tr>
      <w:tr>
        <w:tc>
          <w:tcPr/>
          <w:p>
            <w:pPr>
              <w:pStyle w:val="Compact"/>
              <w:jc w:val="left"/>
            </w:pPr>
            <w:r>
              <w:t xml:space="preserve">RF-08</w:t>
            </w:r>
          </w:p>
        </w:tc>
        <w:tc>
          <w:tcPr/>
          <w:p>
            <w:pPr>
              <w:pStyle w:val="Compact"/>
              <w:jc w:val="left"/>
            </w:pPr>
            <w:r>
              <w:t xml:space="preserve">CDPHE RCRA Enforcement Action</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$200K–$1.16M penalty</w:t>
            </w:r>
          </w:p>
        </w:tc>
      </w:tr>
      <w:tr>
        <w:tc>
          <w:tcPr/>
          <w:p>
            <w:pPr>
              <w:pStyle w:val="Compact"/>
              <w:jc w:val="left"/>
            </w:pPr>
            <w:r>
              <w:t xml:space="preserve">RF-09</w:t>
            </w:r>
          </w:p>
        </w:tc>
        <w:tc>
          <w:tcPr/>
          <w:p>
            <w:pPr>
              <w:pStyle w:val="Compact"/>
              <w:jc w:val="left"/>
            </w:pPr>
            <w:r>
              <w:t xml:space="preserve">Wyoming Permit Expired</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Operational disruption risk</w:t>
            </w:r>
          </w:p>
        </w:tc>
      </w:tr>
      <w:tr>
        <w:tc>
          <w:tcPr/>
          <w:p>
            <w:pPr>
              <w:pStyle w:val="Compact"/>
              <w:jc w:val="left"/>
            </w:pPr>
            <w:r>
              <w:t xml:space="preserve">RF-10</w:t>
            </w:r>
          </w:p>
        </w:tc>
        <w:tc>
          <w:tcPr/>
          <w:p>
            <w:pPr>
              <w:pStyle w:val="Compact"/>
              <w:jc w:val="left"/>
            </w:pPr>
            <w:r>
              <w:t xml:space="preserve">SLC Permit Not Transferred</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Regulatory compliance risk</w:t>
            </w:r>
          </w:p>
        </w:tc>
      </w:tr>
      <w:tr>
        <w:tc>
          <w:tcPr/>
          <w:p>
            <w:pPr>
              <w:pStyle w:val="Compact"/>
              <w:jc w:val="left"/>
            </w:pPr>
            <w:r>
              <w:t xml:space="preserve">RF-11</w:t>
            </w:r>
          </w:p>
        </w:tc>
        <w:tc>
          <w:tcPr/>
          <w:p>
            <w:pPr>
              <w:pStyle w:val="Compact"/>
              <w:jc w:val="left"/>
            </w:pPr>
            <w:r>
              <w:t xml:space="preserve">Asbestos Long-Tail / Uninsured Pre-2015</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Unquantified</w:t>
            </w:r>
          </w:p>
        </w:tc>
      </w:tr>
      <w:tr>
        <w:tc>
          <w:tcPr/>
          <w:p>
            <w:pPr>
              <w:pStyle w:val="Compact"/>
              <w:jc w:val="left"/>
            </w:pPr>
            <w:r>
              <w:t xml:space="preserve">RF-12</w:t>
            </w:r>
          </w:p>
        </w:tc>
        <w:tc>
          <w:tcPr/>
          <w:p>
            <w:pPr>
              <w:pStyle w:val="Compact"/>
              <w:jc w:val="left"/>
            </w:pPr>
            <w:r>
              <w:t xml:space="preserve">DOE IDIQ Ceiling Exhaustion</w:t>
            </w:r>
          </w:p>
        </w:tc>
        <w:tc>
          <w:tcPr/>
          <w:p>
            <w:pPr>
              <w:pStyle w:val="Compact"/>
              <w:jc w:val="left"/>
            </w:pPr>
            <w:r>
              <w:t xml:space="preserve">Contractual</w:t>
            </w:r>
          </w:p>
        </w:tc>
        <w:tc>
          <w:tcPr/>
          <w:p>
            <w:pPr>
              <w:pStyle w:val="Compact"/>
              <w:jc w:val="left"/>
            </w:pPr>
            <w:r>
              <w:t xml:space="preserve">CRITICAL</w:t>
            </w:r>
          </w:p>
        </w:tc>
        <w:tc>
          <w:tcPr/>
          <w:p>
            <w:pPr>
              <w:pStyle w:val="Compact"/>
              <w:jc w:val="left"/>
            </w:pPr>
            <w:r>
              <w:t xml:space="preserve">$12.1M+ FY2025 revenue headwind</w:t>
            </w:r>
          </w:p>
        </w:tc>
      </w:tr>
      <w:tr>
        <w:tc>
          <w:tcPr/>
          <w:p>
            <w:pPr>
              <w:pStyle w:val="Compact"/>
              <w:jc w:val="left"/>
            </w:pPr>
            <w:r>
              <w:t xml:space="preserve">RF-13</w:t>
            </w:r>
          </w:p>
        </w:tc>
        <w:tc>
          <w:tcPr/>
          <w:p>
            <w:pPr>
              <w:pStyle w:val="Compact"/>
              <w:jc w:val="left"/>
            </w:pPr>
            <w:r>
              <w:t xml:space="preserve">Change-of-Control in 8 Customer Contracts</w:t>
            </w:r>
          </w:p>
        </w:tc>
        <w:tc>
          <w:tcPr/>
          <w:p>
            <w:pPr>
              <w:pStyle w:val="Compact"/>
              <w:jc w:val="left"/>
            </w:pPr>
            <w:r>
              <w:t xml:space="preserve">Contractual</w:t>
            </w:r>
          </w:p>
        </w:tc>
        <w:tc>
          <w:tcPr/>
          <w:p>
            <w:pPr>
              <w:pStyle w:val="Compact"/>
              <w:jc w:val="left"/>
            </w:pPr>
            <w:r>
              <w:t xml:space="preserve">MEDIUM</w:t>
            </w:r>
          </w:p>
        </w:tc>
        <w:tc>
          <w:tcPr/>
          <w:p>
            <w:pPr>
              <w:pStyle w:val="Compact"/>
              <w:jc w:val="left"/>
            </w:pPr>
            <w:r>
              <w:t xml:space="preserve">Up to 41.6% revenue at risk</w:t>
            </w:r>
          </w:p>
        </w:tc>
      </w:tr>
      <w:tr>
        <w:tc>
          <w:tcPr/>
          <w:p>
            <w:pPr>
              <w:pStyle w:val="Compact"/>
              <w:jc w:val="left"/>
            </w:pPr>
            <w:r>
              <w:t xml:space="preserve">RF-14</w:t>
            </w:r>
          </w:p>
        </w:tc>
        <w:tc>
          <w:tcPr/>
          <w:p>
            <w:pPr>
              <w:pStyle w:val="Compact"/>
              <w:jc w:val="left"/>
            </w:pPr>
            <w:r>
              <w:t xml:space="preserve">CMMC — No Minimum Volume Commitments</w:t>
            </w:r>
          </w:p>
        </w:tc>
        <w:tc>
          <w:tcPr/>
          <w:p>
            <w:pPr>
              <w:pStyle w:val="Compact"/>
              <w:jc w:val="left"/>
            </w:pPr>
            <w:r>
              <w:t xml:space="preserve">Contractual</w:t>
            </w:r>
          </w:p>
        </w:tc>
        <w:tc>
          <w:tcPr/>
          <w:p>
            <w:pPr>
              <w:pStyle w:val="Compact"/>
              <w:jc w:val="left"/>
            </w:pPr>
            <w:r>
              <w:t xml:space="preserve">MEDIUM</w:t>
            </w:r>
          </w:p>
        </w:tc>
        <w:tc>
          <w:tcPr/>
          <w:p>
            <w:pPr>
              <w:pStyle w:val="Compact"/>
              <w:jc w:val="left"/>
            </w:pPr>
            <w:r>
              <w:t xml:space="preserve">$14.5M terminable on 60 days</w:t>
            </w:r>
          </w:p>
        </w:tc>
      </w:tr>
      <w:tr>
        <w:tc>
          <w:tcPr/>
          <w:p>
            <w:pPr>
              <w:pStyle w:val="Compact"/>
              <w:jc w:val="left"/>
            </w:pPr>
            <w:r>
              <w:t xml:space="preserve">RF-15</w:t>
            </w:r>
          </w:p>
        </w:tc>
        <w:tc>
          <w:tcPr/>
          <w:p>
            <w:pPr>
              <w:pStyle w:val="Compact"/>
              <w:jc w:val="left"/>
            </w:pPr>
            <w:r>
              <w:t xml:space="preserve">Intermountain Health Renewal Imminent</w:t>
            </w:r>
          </w:p>
        </w:tc>
        <w:tc>
          <w:tcPr/>
          <w:p>
            <w:pPr>
              <w:pStyle w:val="Compact"/>
              <w:jc w:val="left"/>
            </w:pPr>
            <w:r>
              <w:t xml:space="preserve">Contractual</w:t>
            </w:r>
          </w:p>
        </w:tc>
        <w:tc>
          <w:tcPr/>
          <w:p>
            <w:pPr>
              <w:pStyle w:val="Compact"/>
              <w:jc w:val="left"/>
            </w:pPr>
            <w:r>
              <w:t xml:space="preserve">MEDIUM</w:t>
            </w:r>
          </w:p>
        </w:tc>
        <w:tc>
          <w:tcPr/>
          <w:p>
            <w:pPr>
              <w:pStyle w:val="Compact"/>
              <w:jc w:val="left"/>
            </w:pPr>
            <w:r>
              <w:t xml:space="preserve">$7.1M revenue at risk</w:t>
            </w:r>
          </w:p>
        </w:tc>
      </w:tr>
      <w:tr>
        <w:tc>
          <w:tcPr/>
          <w:p>
            <w:pPr>
              <w:pStyle w:val="Compact"/>
              <w:jc w:val="left"/>
            </w:pPr>
            <w:r>
              <w:t xml:space="preserve">RF-16</w:t>
            </w:r>
          </w:p>
        </w:tc>
        <w:tc>
          <w:tcPr/>
          <w:p>
            <w:pPr>
              <w:pStyle w:val="Compact"/>
              <w:jc w:val="left"/>
            </w:pPr>
            <w:r>
              <w:t xml:space="preserve">Customer List Discrepancy</w:t>
            </w:r>
          </w:p>
        </w:tc>
        <w:tc>
          <w:tcPr/>
          <w:p>
            <w:pPr>
              <w:pStyle w:val="Compact"/>
              <w:jc w:val="left"/>
            </w:pPr>
            <w:r>
              <w:t xml:space="preserve">Contractual</w:t>
            </w:r>
          </w:p>
        </w:tc>
        <w:tc>
          <w:tcPr/>
          <w:p>
            <w:pPr>
              <w:pStyle w:val="Compact"/>
              <w:jc w:val="left"/>
            </w:pPr>
            <w:r>
              <w:t xml:space="preserve">MEDIUM</w:t>
            </w:r>
          </w:p>
        </w:tc>
        <w:tc>
          <w:tcPr/>
          <w:p>
            <w:pPr>
              <w:pStyle w:val="Compact"/>
              <w:jc w:val="left"/>
            </w:pPr>
            <w:r>
              <w:t xml:space="preserve">Data integrity concern</w:t>
            </w:r>
          </w:p>
        </w:tc>
      </w:tr>
      <w:tr>
        <w:tc>
          <w:tcPr/>
          <w:p>
            <w:pPr>
              <w:pStyle w:val="Compact"/>
              <w:jc w:val="left"/>
            </w:pPr>
            <w:r>
              <w:t xml:space="preserve">RF-17</w:t>
            </w:r>
          </w:p>
        </w:tc>
        <w:tc>
          <w:tcPr/>
          <w:p>
            <w:pPr>
              <w:pStyle w:val="Compact"/>
              <w:jc w:val="left"/>
            </w:pPr>
            <w:r>
              <w:t xml:space="preserve">SLC Lease Dual Assignment Default</w:t>
            </w:r>
          </w:p>
        </w:tc>
        <w:tc>
          <w:tcPr/>
          <w:p>
            <w:pPr>
              <w:pStyle w:val="Compact"/>
              <w:jc w:val="left"/>
            </w:pPr>
            <w:r>
              <w:t xml:space="preserve">Real Property</w:t>
            </w:r>
          </w:p>
        </w:tc>
        <w:tc>
          <w:tcPr/>
          <w:p>
            <w:pPr>
              <w:pStyle w:val="Compact"/>
              <w:jc w:val="left"/>
            </w:pPr>
            <w:r>
              <w:t xml:space="preserve">HIGH</w:t>
            </w:r>
          </w:p>
        </w:tc>
        <w:tc>
          <w:tcPr/>
          <w:p>
            <w:pPr>
              <w:pStyle w:val="Compact"/>
              <w:jc w:val="left"/>
            </w:pPr>
            <w:r>
              <w:t xml:space="preserve">$16.2M revenue at risk</w:t>
            </w:r>
          </w:p>
        </w:tc>
      </w:tr>
      <w:tr>
        <w:tc>
          <w:tcPr/>
          <w:p>
            <w:pPr>
              <w:pStyle w:val="Compact"/>
              <w:jc w:val="left"/>
            </w:pPr>
            <w:r>
              <w:t xml:space="preserve">RF-18</w:t>
            </w:r>
          </w:p>
        </w:tc>
        <w:tc>
          <w:tcPr/>
          <w:p>
            <w:pPr>
              <w:pStyle w:val="Compact"/>
              <w:jc w:val="left"/>
            </w:pPr>
            <w:r>
              <w:t xml:space="preserve">Pueblo Lease Expiring at Closing</w:t>
            </w:r>
          </w:p>
        </w:tc>
        <w:tc>
          <w:tcPr/>
          <w:p>
            <w:pPr>
              <w:pStyle w:val="Compact"/>
              <w:jc w:val="left"/>
            </w:pPr>
            <w:r>
              <w:t xml:space="preserve">Real Property</w:t>
            </w:r>
          </w:p>
        </w:tc>
        <w:tc>
          <w:tcPr/>
          <w:p>
            <w:pPr>
              <w:pStyle w:val="Compact"/>
              <w:jc w:val="left"/>
            </w:pPr>
            <w:r>
              <w:t xml:space="preserve">LOW</w:t>
            </w:r>
          </w:p>
        </w:tc>
        <w:tc>
          <w:tcPr/>
          <w:p>
            <w:pPr>
              <w:pStyle w:val="Compact"/>
              <w:jc w:val="left"/>
            </w:pPr>
            <w:r>
              <w:t xml:space="preserve">Minimal</w:t>
            </w:r>
          </w:p>
        </w:tc>
      </w:tr>
      <w:tr>
        <w:tc>
          <w:tcPr/>
          <w:p>
            <w:pPr>
              <w:pStyle w:val="Compact"/>
              <w:jc w:val="left"/>
            </w:pPr>
            <w:r>
              <w:t xml:space="preserve">RF-19</w:t>
            </w:r>
          </w:p>
        </w:tc>
        <w:tc>
          <w:tcPr/>
          <w:p>
            <w:pPr>
              <w:pStyle w:val="Compact"/>
              <w:jc w:val="left"/>
            </w:pPr>
            <w:r>
              <w:t xml:space="preserve">NLRB Unionization Petition (62 employees)</w:t>
            </w:r>
          </w:p>
        </w:tc>
        <w:tc>
          <w:tcPr/>
          <w:p>
            <w:pPr>
              <w:pStyle w:val="Compact"/>
              <w:jc w:val="left"/>
            </w:pPr>
            <w:r>
              <w:t xml:space="preserve">Labor</w:t>
            </w:r>
          </w:p>
        </w:tc>
        <w:tc>
          <w:tcPr/>
          <w:p>
            <w:pPr>
              <w:pStyle w:val="Compact"/>
              <w:jc w:val="left"/>
            </w:pPr>
            <w:r>
              <w:t xml:space="preserve">HIGH</w:t>
            </w:r>
          </w:p>
        </w:tc>
        <w:tc>
          <w:tcPr/>
          <w:p>
            <w:pPr>
              <w:pStyle w:val="Compact"/>
              <w:jc w:val="left"/>
            </w:pPr>
            <w:r>
              <w:t xml:space="preserve">Labor cost escalation risk</w:t>
            </w:r>
          </w:p>
        </w:tc>
      </w:tr>
      <w:tr>
        <w:tc>
          <w:tcPr/>
          <w:p>
            <w:pPr>
              <w:pStyle w:val="Compact"/>
              <w:jc w:val="left"/>
            </w:pPr>
            <w:r>
              <w:t xml:space="preserve">RF-20</w:t>
            </w:r>
          </w:p>
        </w:tc>
        <w:tc>
          <w:tcPr/>
          <w:p>
            <w:pPr>
              <w:pStyle w:val="Compact"/>
              <w:jc w:val="left"/>
            </w:pPr>
            <w:r>
              <w:t xml:space="preserve">Single-Trigger CoC Severance ($2.625M)</w:t>
            </w:r>
          </w:p>
        </w:tc>
        <w:tc>
          <w:tcPr/>
          <w:p>
            <w:pPr>
              <w:pStyle w:val="Compact"/>
              <w:jc w:val="left"/>
            </w:pPr>
            <w:r>
              <w:t xml:space="preserve">Labor</w:t>
            </w:r>
          </w:p>
        </w:tc>
        <w:tc>
          <w:tcPr/>
          <w:p>
            <w:pPr>
              <w:pStyle w:val="Compact"/>
              <w:jc w:val="left"/>
            </w:pPr>
            <w:r>
              <w:t xml:space="preserve">MEDIUM</w:t>
            </w:r>
          </w:p>
        </w:tc>
        <w:tc>
          <w:tcPr/>
          <w:p>
            <w:pPr>
              <w:pStyle w:val="Compact"/>
              <w:jc w:val="left"/>
            </w:pPr>
            <w:r>
              <w:t xml:space="preserve">$3.775M aggregate</w:t>
            </w:r>
          </w:p>
        </w:tc>
      </w:tr>
      <w:tr>
        <w:tc>
          <w:tcPr/>
          <w:p>
            <w:pPr>
              <w:pStyle w:val="Compact"/>
              <w:jc w:val="left"/>
            </w:pPr>
            <w:r>
              <w:t xml:space="preserve">RF-21</w:t>
            </w:r>
          </w:p>
        </w:tc>
        <w:tc>
          <w:tcPr/>
          <w:p>
            <w:pPr>
              <w:pStyle w:val="Compact"/>
              <w:jc w:val="left"/>
            </w:pPr>
            <w:r>
              <w:t xml:space="preserve">FLSA Wage Claim</w:t>
            </w:r>
          </w:p>
        </w:tc>
        <w:tc>
          <w:tcPr/>
          <w:p>
            <w:pPr>
              <w:pStyle w:val="Compact"/>
              <w:jc w:val="left"/>
            </w:pPr>
            <w:r>
              <w:t xml:space="preserve">Labor</w:t>
            </w:r>
          </w:p>
        </w:tc>
        <w:tc>
          <w:tcPr/>
          <w:p>
            <w:pPr>
              <w:pStyle w:val="Compact"/>
              <w:jc w:val="left"/>
            </w:pPr>
            <w:r>
              <w:t xml:space="preserve">LOW</w:t>
            </w:r>
          </w:p>
        </w:tc>
        <w:tc>
          <w:tcPr/>
          <w:p>
            <w:pPr>
              <w:pStyle w:val="Compact"/>
              <w:jc w:val="left"/>
            </w:pPr>
            <w:r>
              <w:t xml:space="preserve">$100K–$330K</w:t>
            </w:r>
          </w:p>
        </w:tc>
      </w:tr>
      <w:tr>
        <w:tc>
          <w:tcPr/>
          <w:p>
            <w:pPr>
              <w:pStyle w:val="Compact"/>
              <w:jc w:val="left"/>
            </w:pPr>
            <w:r>
              <w:t xml:space="preserve">RF-22</w:t>
            </w:r>
          </w:p>
        </w:tc>
        <w:tc>
          <w:tcPr/>
          <w:p>
            <w:pPr>
              <w:pStyle w:val="Compact"/>
              <w:jc w:val="left"/>
            </w:pPr>
            <w:r>
              <w:t xml:space="preserve">Mandatory Debt Prepayment at Closing</w:t>
            </w:r>
          </w:p>
        </w:tc>
        <w:tc>
          <w:tcPr/>
          <w:p>
            <w:pPr>
              <w:pStyle w:val="Compact"/>
              <w:jc w:val="left"/>
            </w:pPr>
            <w:r>
              <w:t xml:space="preserve">Debt</w:t>
            </w:r>
          </w:p>
        </w:tc>
        <w:tc>
          <w:tcPr/>
          <w:p>
            <w:pPr>
              <w:pStyle w:val="Compact"/>
              <w:jc w:val="left"/>
            </w:pPr>
            <w:r>
              <w:t xml:space="preserve">HIGH</w:t>
            </w:r>
          </w:p>
        </w:tc>
        <w:tc>
          <w:tcPr/>
          <w:p>
            <w:pPr>
              <w:pStyle w:val="Compact"/>
              <w:jc w:val="left"/>
            </w:pPr>
            <w:r>
              <w:t xml:space="preserve">$39.2M+ required at closing</w:t>
            </w:r>
          </w:p>
        </w:tc>
      </w:tr>
    </w:tbl>
    <w:p>
      <w:r>
        <w:pict>
          <v:rect style="width:0;height:1.5pt" o:hralign="center" o:hrstd="t" o:hr="t"/>
        </w:pict>
      </w:r>
    </w:p>
    <w:bookmarkEnd w:id="51"/>
    <w:bookmarkStart w:id="52" w:name="recommended-next-steps"/>
    <w:p>
      <w:pPr>
        <w:pStyle w:val="Heading2"/>
      </w:pPr>
      <w:r>
        <w:t xml:space="preserve">Recommended Next Steps</w:t>
      </w:r>
    </w:p>
    <w:p>
      <w:pPr>
        <w:pStyle w:val="Compact"/>
        <w:numPr>
          <w:ilvl w:val="0"/>
          <w:numId w:val="1003"/>
        </w:numPr>
      </w:pPr>
      <w:r>
        <w:rPr>
          <w:b/>
          <w:bCs/>
        </w:rPr>
        <w:t xml:space="preserve">Immediately:</w:t>
      </w:r>
      <w:r>
        <w:t xml:space="preserve"> </w:t>
      </w:r>
      <w:r>
        <w:t xml:space="preserve">Commission an updated Phase II ESA and vapor intrusion assessment at the Grand Junction facility. Do not proceed to signing without updated environmental data.</w:t>
      </w:r>
    </w:p>
    <w:p>
      <w:pPr>
        <w:pStyle w:val="Compact"/>
        <w:numPr>
          <w:ilvl w:val="0"/>
          <w:numId w:val="1003"/>
        </w:numPr>
      </w:pPr>
      <w:r>
        <w:rPr>
          <w:b/>
          <w:bCs/>
        </w:rPr>
        <w:t xml:space="preserve">Immediately:</w:t>
      </w:r>
      <w:r>
        <w:t xml:space="preserve"> </w:t>
      </w:r>
      <w:r>
        <w:t xml:space="preserve">Engage with the DOE Contracting Officer regarding ceiling modification, novation requirements, and the notification obligation under Clause H-12.</w:t>
      </w:r>
    </w:p>
    <w:p>
      <w:pPr>
        <w:pStyle w:val="Compact"/>
        <w:numPr>
          <w:ilvl w:val="0"/>
          <w:numId w:val="1003"/>
        </w:numPr>
      </w:pPr>
      <w:r>
        <w:rPr>
          <w:b/>
          <w:bCs/>
        </w:rPr>
        <w:t xml:space="preserve">Before Signing:</w:t>
      </w:r>
      <w:r>
        <w:t xml:space="preserve"> </w:t>
      </w:r>
      <w:r>
        <w:t xml:space="preserve">Require management to deliver a fully reconciled EBITDA bridge resolving the $1.0M CIM/QoE discrepancy, with line-item support for each add-back.</w:t>
      </w:r>
    </w:p>
    <w:p>
      <w:pPr>
        <w:pStyle w:val="Compact"/>
        <w:numPr>
          <w:ilvl w:val="0"/>
          <w:numId w:val="1003"/>
        </w:numPr>
      </w:pPr>
      <w:r>
        <w:rPr>
          <w:b/>
          <w:bCs/>
        </w:rPr>
        <w:t xml:space="preserve">Before Signing:</w:t>
      </w:r>
      <w:r>
        <w:t xml:space="preserve"> </w:t>
      </w:r>
      <w:r>
        <w:t xml:space="preserve">Obtain FY2024 audited financial statements from a nationally recognized accounting firm.</w:t>
      </w:r>
    </w:p>
    <w:p>
      <w:pPr>
        <w:pStyle w:val="Compact"/>
        <w:numPr>
          <w:ilvl w:val="0"/>
          <w:numId w:val="1003"/>
        </w:numPr>
      </w:pPr>
      <w:r>
        <w:rPr>
          <w:b/>
          <w:bCs/>
        </w:rPr>
        <w:t xml:space="preserve">Before Signing:</w:t>
      </w:r>
      <w:r>
        <w:t xml:space="preserve"> </w:t>
      </w:r>
      <w:r>
        <w:t xml:space="preserve">Confirm Intermountain Health Systems’ renewal decision (120-day notice deadline is approximately March 1, 2025).</w:t>
      </w:r>
    </w:p>
    <w:p>
      <w:pPr>
        <w:pStyle w:val="Compact"/>
        <w:numPr>
          <w:ilvl w:val="0"/>
          <w:numId w:val="1003"/>
        </w:numPr>
      </w:pPr>
      <w:r>
        <w:rPr>
          <w:b/>
          <w:bCs/>
        </w:rPr>
        <w:t xml:space="preserve">Before Signing:</w:t>
      </w:r>
      <w:r>
        <w:t xml:space="preserve"> </w:t>
      </w:r>
      <w:r>
        <w:t xml:space="preserve">Obtain a full briefing on the NLRB petition and assess whether it constitutes a material adverse change.</w:t>
      </w:r>
    </w:p>
    <w:p>
      <w:pPr>
        <w:pStyle w:val="Compact"/>
        <w:numPr>
          <w:ilvl w:val="0"/>
          <w:numId w:val="1003"/>
        </w:numPr>
      </w:pPr>
      <w:r>
        <w:rPr>
          <w:b/>
          <w:bCs/>
        </w:rPr>
        <w:t xml:space="preserve">Pre-Closing Conditions:</w:t>
      </w:r>
      <w:r>
        <w:t xml:space="preserve"> </w:t>
      </w:r>
      <w:r>
        <w:t xml:space="preserve">(a) Resolution of CDPHE enforcement action or specific escrow; (b) Completion of Utah SLC permit transfer; (c) Landlord consent to SLC lease assignment; (d) Wyoming permit renewal confirmation; (e) Key customer change-of-control consents.</w:t>
      </w:r>
    </w:p>
    <w:p>
      <w:pPr>
        <w:pStyle w:val="Compact"/>
        <w:numPr>
          <w:ilvl w:val="0"/>
          <w:numId w:val="1003"/>
        </w:numPr>
      </w:pPr>
      <w:r>
        <w:rPr>
          <w:b/>
          <w:bCs/>
        </w:rPr>
        <w:t xml:space="preserve">SPA Negotiations:</w:t>
      </w:r>
      <w:r>
        <w:t xml:space="preserve"> </w:t>
      </w:r>
      <w:r>
        <w:t xml:space="preserve">(a) Specific environmental indemnity with extended survival (6 years per LOI) and separate escrow; (b) Asbestos-specific indemnity with 10-year survival; (c) Wage and hour indemnity; (d) Confirm CoC severance as seller transaction expense; (e) Purchase price adjustment mechanism tied to DOE contract status.</w:t>
      </w:r>
    </w:p>
    <w:p>
      <w:pPr>
        <w:pStyle w:val="Compact"/>
        <w:numPr>
          <w:ilvl w:val="0"/>
          <w:numId w:val="1003"/>
        </w:numPr>
      </w:pPr>
      <w:r>
        <w:rPr>
          <w:b/>
          <w:bCs/>
        </w:rPr>
        <w:t xml:space="preserve">Valuation:</w:t>
      </w:r>
      <w:r>
        <w:t xml:space="preserve"> </w:t>
      </w:r>
      <w:r>
        <w:t xml:space="preserve">Adjust the purchase price model to reflect: (a) Sustainable Adjusted EBITDA of $19.5–$21.0M (after removing questionable add-backs); (b) DOE revenue at $12.3M for FY2025; (c) Incremental fleet CapEx of $3.3M/year; (d) $39.2M debt repayment at closing.</w:t>
      </w:r>
    </w:p>
    <w:p>
      <w:r>
        <w:pict>
          <v:rect style="width:0;height:1.5pt" o:hralign="center" o:hrstd="t" o:hr="t"/>
        </w:pict>
      </w:r>
    </w:p>
    <w:p>
      <w:pPr>
        <w:pStyle w:val="FirstParagraph"/>
      </w:pPr>
      <w:r>
        <w:rPr>
          <w:i/>
          <w:iCs/>
        </w:rPr>
        <w:t xml:space="preserve">This memorandum is based solely on documents provided in the Project Ridgeline virtual data room as of December 2024. It does not constitute legal advice and should be read in conjunction with the full due diligence reports of Buyer’s legal, financial, environmental, and other advisors. All findings are subject to revision as additional information becomes available.</w:t>
      </w:r>
    </w:p>
    <w:p>
      <w:r>
        <w:pict>
          <v:rect style="width:0;height:1.5pt" o:hralign="center" o:hrstd="t" o:hr="t"/>
        </w:pict>
      </w:r>
    </w:p>
    <w:p>
      <w:pPr>
        <w:pStyle w:val="FirstParagraph"/>
      </w:pPr>
      <w:r>
        <w:rPr>
          <w:i/>
          <w:iCs/>
        </w:rPr>
        <w:t xml:space="preserve">PRIVILEGED AND CONFIDENTIAL — ATTORNEY-CLIENT COMMUNICATION —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2026-08-14T16:06:10Z</dcterms:created>
  <dcterms:modified xsi:type="dcterms:W3CDTF">2026-08-14T16:06:10Z</dcterms:modified>
</cp:coreProperties>
</file>

<file path=docProps/custom.xml><?xml version="1.0" encoding="utf-8"?>
<Properties xmlns="http://schemas.openxmlformats.org/officeDocument/2006/custom-properties" xmlns:vt="http://schemas.openxmlformats.org/officeDocument/2006/docPropsVTypes"/>
</file>