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PROJECT</w:t>
      </w:r>
      <w:r>
        <w:t xml:space="preserve"> </w:t>
      </w:r>
      <w:r>
        <w:t xml:space="preserve">RIDGELINE</w:t>
      </w:r>
      <w:r>
        <w:t xml:space="preserve"> </w:t>
      </w:r>
      <w:r>
        <w:t xml:space="preserve">—</w:t>
      </w:r>
      <w:r>
        <w:t xml:space="preserve"> </w:t>
      </w:r>
      <w:r>
        <w:t xml:space="preserve">DILIGENCE</w:t>
      </w:r>
      <w:r>
        <w:t xml:space="preserve"> </w:t>
      </w:r>
      <w:r>
        <w:t xml:space="preserve">RED</w:t>
      </w:r>
      <w:r>
        <w:t xml:space="preserve"> </w:t>
      </w:r>
      <w:r>
        <w:t xml:space="preserve">FLAG</w:t>
      </w:r>
      <w:r>
        <w:t xml:space="preserve"> </w:t>
      </w:r>
      <w:r>
        <w:t xml:space="preserve">MEMORANDUM</w:t>
      </w:r>
    </w:p>
    <w:bookmarkStart w:id="64" w:name="X5543b6fd583ca5ebabb48f91754a1ae4ef5fc58"/>
    <w:p>
      <w:pPr>
        <w:pStyle w:val="Heading1"/>
      </w:pPr>
      <w:r>
        <w:t xml:space="preserve">PROJECT RIDGELINE — DILIGENCE RED FLAG MEMORANDUM</w:t>
      </w:r>
    </w:p>
    <w:p>
      <w:pPr>
        <w:pStyle w:val="FirstParagraph"/>
      </w:pPr>
      <w:r>
        <w:rPr>
          <w:b/>
          <w:bCs/>
        </w:rPr>
        <w:t xml:space="preserve">Prepared for:</w:t>
      </w:r>
      <w:r>
        <w:t xml:space="preserve"> </w:t>
      </w:r>
      <w:r>
        <w:t xml:space="preserve">Sycamore Capital Partners, LP</w:t>
      </w:r>
      <w:r>
        <w:br/>
      </w:r>
      <w:r>
        <w:rPr>
          <w:b/>
          <w:bCs/>
        </w:rPr>
        <w:t xml:space="preserve">Prepared by:</w:t>
      </w:r>
      <w:r>
        <w:t xml:space="preserve"> </w:t>
      </w:r>
      <w:r>
        <w:t xml:space="preserve">Diligence Advisory Team</w:t>
      </w:r>
      <w:r>
        <w:br/>
      </w:r>
      <w:r>
        <w:rPr>
          <w:b/>
          <w:bCs/>
        </w:rPr>
        <w:t xml:space="preserve">Target Company:</w:t>
      </w:r>
      <w:r>
        <w:t xml:space="preserve"> </w:t>
      </w:r>
      <w:r>
        <w:t xml:space="preserve">Ridgeline Environmental Services, Inc. (</w:t>
      </w:r>
      <w:r>
        <w:t xml:space="preserve">“</w:t>
      </w:r>
      <w:r>
        <w:t xml:space="preserve">RES</w:t>
      </w:r>
      <w:r>
        <w:t xml:space="preserve">”</w:t>
      </w:r>
      <w:r>
        <w:t xml:space="preserve"> </w:t>
      </w:r>
      <w:r>
        <w:t xml:space="preserve">or the</w:t>
      </w:r>
      <w:r>
        <w:t xml:space="preserve"> </w:t>
      </w:r>
      <w:r>
        <w:t xml:space="preserve">“</w:t>
      </w:r>
      <w:r>
        <w:t xml:space="preserve">Company</w:t>
      </w:r>
      <w:r>
        <w:t xml:space="preserve">”</w:t>
      </w:r>
      <w:r>
        <w:t xml:space="preserve">)</w:t>
      </w:r>
      <w:r>
        <w:br/>
      </w:r>
      <w:r>
        <w:rPr>
          <w:b/>
          <w:bCs/>
        </w:rPr>
        <w:t xml:space="preserve">Date:</w:t>
      </w:r>
      <w:r>
        <w:t xml:space="preserve"> </w:t>
      </w:r>
      <w:r>
        <w:t xml:space="preserve">December 2024</w:t>
      </w:r>
      <w:r>
        <w:br/>
      </w:r>
      <w:r>
        <w:rPr>
          <w:b/>
          <w:bCs/>
        </w:rPr>
        <w:t xml:space="preserve">Classification:</w:t>
      </w:r>
      <w:r>
        <w:t xml:space="preserve"> </w:t>
      </w:r>
      <w:r>
        <w:t xml:space="preserve">CONFIDENTIAL — Attorney-Client Privileged / Work Product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summarises the material red flags identified through review of the Project Ridgeline data room, including the Confidential Information Memorandum, Quality of Earnings data package, Litigation and Regulatory Summary, Phase II Environmental Site Assessment, Credit Agreement Summary, Real Property and Lease Schedule, Environmental Permit Schedule, Customer Contract Summary, Employment Agreements Summary, Insurance Program Summary, Employee Benefits Summary, and Organisational Chart and Equity Structure.</w:t>
      </w:r>
    </w:p>
    <w:p>
      <w:pPr>
        <w:pStyle w:val="BodyText"/>
      </w:pPr>
      <w:r>
        <w:rPr>
          <w:b/>
          <w:bCs/>
        </w:rPr>
        <w:t xml:space="preserve">We have identified 34 discrete red flags across eight categories.</w:t>
      </w:r>
      <w:r>
        <w:t xml:space="preserve"> </w:t>
      </w:r>
      <w:r>
        <w:t xml:space="preserve">Six issues are rated</w:t>
      </w:r>
      <w:r>
        <w:t xml:space="preserve"> </w:t>
      </w:r>
      <w:r>
        <w:rPr>
          <w:b/>
          <w:bCs/>
        </w:rPr>
        <w:t xml:space="preserve">Critical</w:t>
      </w:r>
      <w:r>
        <w:t xml:space="preserve"> </w:t>
      </w:r>
      <w:r>
        <w:t xml:space="preserve">— meaning they are capable of materially impairing the transaction value, creating uninsured liability, or threatening the Company’s ability to operate. Fourteen issues are rated</w:t>
      </w:r>
      <w:r>
        <w:t xml:space="preserve"> </w:t>
      </w:r>
      <w:r>
        <w:rPr>
          <w:b/>
          <w:bCs/>
        </w:rPr>
        <w:t xml:space="preserve">High</w:t>
      </w:r>
      <w:r>
        <w:t xml:space="preserve">. Twelve are rated</w:t>
      </w:r>
      <w:r>
        <w:t xml:space="preserve"> </w:t>
      </w:r>
      <w:r>
        <w:rPr>
          <w:b/>
          <w:bCs/>
        </w:rPr>
        <w:t xml:space="preserve">Medium</w:t>
      </w:r>
      <w:r>
        <w:t xml:space="preserve">. Two are rated</w:t>
      </w:r>
      <w:r>
        <w:t xml:space="preserve"> </w:t>
      </w:r>
      <w:r>
        <w:rPr>
          <w:b/>
          <w:bCs/>
        </w:rPr>
        <w:t xml:space="preserve">Low</w:t>
      </w:r>
      <w:r>
        <w:t xml:space="preserve">.</w:t>
      </w:r>
    </w:p>
    <w:p>
      <w:pPr>
        <w:pStyle w:val="BodyText"/>
      </w:pPr>
      <w:r>
        <w:t xml:space="preserve">The most significant concerns are:</w:t>
      </w:r>
    </w:p>
    <w:p>
      <w:pPr>
        <w:pStyle w:val="Compact"/>
        <w:numPr>
          <w:ilvl w:val="0"/>
          <w:numId w:val="1001"/>
        </w:numPr>
      </w:pPr>
      <w:r>
        <w:rPr>
          <w:b/>
          <w:bCs/>
        </w:rPr>
        <w:t xml:space="preserve">DOE IDIQ ceiling exhaustion</w:t>
      </w:r>
      <w:r>
        <w:t xml:space="preserve"> </w:t>
      </w:r>
      <w:r>
        <w:t xml:space="preserve">— the Company’s largest customer relationship ($24.4M, 19.2% of revenue) faces a projected revenue cliff of ~$12.1M in FY2025 as the contract ceiling is exhausted, with no confirmed ceiling modification or new award.</w:t>
      </w:r>
    </w:p>
    <w:p>
      <w:pPr>
        <w:pStyle w:val="Compact"/>
        <w:numPr>
          <w:ilvl w:val="0"/>
          <w:numId w:val="1001"/>
        </w:numPr>
      </w:pPr>
      <w:r>
        <w:rPr>
          <w:b/>
          <w:bCs/>
        </w:rPr>
        <w:t xml:space="preserve">Unreconciled EBITDA discrepancy</w:t>
      </w:r>
      <w:r>
        <w:t xml:space="preserve"> </w:t>
      </w:r>
      <w:r>
        <w:t xml:space="preserve">— the CIM states Adjusted EBITDA of $22.8M; the QoE data package shows $23.8M; the $1.0M gap has not been explained.</w:t>
      </w:r>
    </w:p>
    <w:p>
      <w:pPr>
        <w:pStyle w:val="Compact"/>
        <w:numPr>
          <w:ilvl w:val="0"/>
          <w:numId w:val="1001"/>
        </w:numPr>
      </w:pPr>
      <w:r>
        <w:rPr>
          <w:b/>
          <w:bCs/>
        </w:rPr>
        <w:t xml:space="preserve">Stale and incomplete environmental assessment</w:t>
      </w:r>
      <w:r>
        <w:t xml:space="preserve"> </w:t>
      </w:r>
      <w:r>
        <w:t xml:space="preserve">— the Phase II ESA is five years old, the consultant expressly recommends an update before any transaction, and the contamination at the Grand Junction headquarters is uninsured under the pollution liability policy.</w:t>
      </w:r>
    </w:p>
    <w:p>
      <w:pPr>
        <w:pStyle w:val="Compact"/>
        <w:numPr>
          <w:ilvl w:val="0"/>
          <w:numId w:val="1001"/>
        </w:numPr>
      </w:pPr>
      <w:r>
        <w:rPr>
          <w:b/>
          <w:bCs/>
        </w:rPr>
        <w:t xml:space="preserve">Salt Lake City facility — dual unresolved issues</w:t>
      </w:r>
      <w:r>
        <w:t xml:space="preserve"> </w:t>
      </w:r>
      <w:r>
        <w:t xml:space="preserve">— the lease assignment from Pinnacle to RES has been pending for 2.5 years without landlord consent, and the hazardous waste permit (UTH-0441) remains in Pinnacle’s name. This facility serves ~$16.2M of annual revenue.</w:t>
      </w:r>
    </w:p>
    <w:p>
      <w:pPr>
        <w:pStyle w:val="Compact"/>
        <w:numPr>
          <w:ilvl w:val="0"/>
          <w:numId w:val="1001"/>
        </w:numPr>
      </w:pPr>
      <w:r>
        <w:rPr>
          <w:b/>
          <w:bCs/>
        </w:rPr>
        <w:t xml:space="preserve">NLRB union election petition</w:t>
      </w:r>
      <w:r>
        <w:t xml:space="preserve"> </w:t>
      </w:r>
      <w:r>
        <w:t xml:space="preserve">— disclosed only in a footnote of the benefits summary, not in the CIM or litigation summary, covering 62 employees at the two largest facilities.</w:t>
      </w:r>
    </w:p>
    <w:p>
      <w:pPr>
        <w:pStyle w:val="Compact"/>
        <w:numPr>
          <w:ilvl w:val="0"/>
          <w:numId w:val="1001"/>
        </w:numPr>
      </w:pPr>
      <w:r>
        <w:rPr>
          <w:b/>
          <w:bCs/>
        </w:rPr>
        <w:t xml:space="preserve">Asbestos long-tail exposure with an insurance gap</w:t>
      </w:r>
      <w:r>
        <w:t xml:space="preserve"> </w:t>
      </w:r>
      <w:r>
        <w:t xml:space="preserve">— the CGL policy has a blanket asbestos exclusion and the pollution liability policy’s retroactive date of January 1, 2015 leaves three years of asbestos abatement work (2012–2014) uninsured.</w:t>
      </w:r>
    </w:p>
    <w:p>
      <w:pPr>
        <w:pStyle w:val="FirstParagraph"/>
      </w:pPr>
      <w:r>
        <w:t xml:space="preserve">The aggregate quantified financial exposure across all identified issues ranges from approximately</w:t>
      </w:r>
      <w:r>
        <w:t xml:space="preserve"> </w:t>
      </w:r>
      <w:r>
        <w:rPr>
          <w:b/>
          <w:bCs/>
        </w:rPr>
        <w:t xml:space="preserve">$112M to $152M</w:t>
      </w:r>
      <w:r>
        <w:t xml:space="preserve"> </w:t>
      </w:r>
      <w:r>
        <w:t xml:space="preserve">(including valuation adjustments, environmental liabilities, litigation exposure, transaction costs, and revenue at risk), before any purchase price adjustment or indemnification protection.</w:t>
      </w:r>
    </w:p>
    <w:p>
      <w:r>
        <w:pict>
          <v:rect style="width:0;height:1.5pt" o:hralign="center" o:hrstd="t" o:hr="t"/>
        </w:pict>
      </w:r>
    </w:p>
    <w:bookmarkEnd w:id="20"/>
    <w:bookmarkStart w:id="27" w:name="section-i-financial-quality-of-earnings"/>
    <w:p>
      <w:pPr>
        <w:pStyle w:val="Heading2"/>
      </w:pPr>
      <w:r>
        <w:t xml:space="preserve">SECTION I — FINANCIAL / QUALITY OF EARNINGS</w:t>
      </w:r>
    </w:p>
    <w:bookmarkStart w:id="21" w:name="unreconciled-ebitda-discrepancy-critical"/>
    <w:p>
      <w:pPr>
        <w:pStyle w:val="Heading3"/>
      </w:pPr>
      <w:r>
        <w:t xml:space="preserve">1.1 Unreconciled EBITDA Discrepancy (CRITICAL)</w:t>
      </w:r>
    </w:p>
    <w:p>
      <w:pPr>
        <w:pStyle w:val="FirstParagraph"/>
      </w:pPr>
      <w:r>
        <w:t xml:space="preserve">The CIM presents Adjusted EBITDA of</w:t>
      </w:r>
      <w:r>
        <w:t xml:space="preserve"> </w:t>
      </w:r>
      <w:r>
        <w:rPr>
          <w:b/>
          <w:bCs/>
        </w:rPr>
        <w:t xml:space="preserve">$22.8M</w:t>
      </w:r>
      <w:r>
        <w:t xml:space="preserve"> </w:t>
      </w:r>
      <w:r>
        <w:t xml:space="preserve">as the basis for the indicative enterprise value range of $182–205M (8.0–9.0× multiple). The QoE data package prepared by Bridgewater Forsyth Group shows Management Adjusted EBITDA of</w:t>
      </w:r>
      <w:r>
        <w:t xml:space="preserve"> </w:t>
      </w:r>
      <w:r>
        <w:rPr>
          <w:b/>
          <w:bCs/>
        </w:rPr>
        <w:t xml:space="preserve">$23.8M</w:t>
      </w:r>
      <w:r>
        <w:t xml:space="preserve"> </w:t>
      </w:r>
      <w:r>
        <w:t xml:space="preserve">— a</w:t>
      </w:r>
      <w:r>
        <w:t xml:space="preserve"> </w:t>
      </w:r>
      <w:r>
        <w:rPr>
          <w:b/>
          <w:bCs/>
        </w:rPr>
        <w:t xml:space="preserve">$1.0M unexplained difference</w:t>
      </w:r>
      <w:r>
        <w:t xml:space="preserve">. The QoE data package itself acknowledges the discrepancy and states that management</w:t>
      </w:r>
      <w:r>
        <w:t xml:space="preserve"> </w:t>
      </w:r>
      <w:r>
        <w:t xml:space="preserve">“</w:t>
      </w:r>
      <w:r>
        <w:t xml:space="preserve">intends to reconcile the difference</w:t>
      </w:r>
      <w:r>
        <w:t xml:space="preserve">”</w:t>
      </w:r>
      <w:r>
        <w:t xml:space="preserve"> </w:t>
      </w:r>
      <w:r>
        <w:t xml:space="preserve">but has not identified the specific adjustment category causing it.</w:t>
      </w:r>
    </w:p>
    <w:p>
      <w:pPr>
        <w:pStyle w:val="BodyText"/>
      </w:pPr>
      <w:r>
        <w:t xml:space="preserve">At the stated 8–9× multiple, this $1.0M gap implies</w:t>
      </w:r>
      <w:r>
        <w:t xml:space="preserve"> </w:t>
      </w:r>
      <w:r>
        <w:rPr>
          <w:b/>
          <w:bCs/>
        </w:rPr>
        <w:t xml:space="preserve">$8–9M of enterprise value at risk</w:t>
      </w:r>
      <w:r>
        <w:t xml:space="preserve"> </w:t>
      </w:r>
      <w:r>
        <w:t xml:space="preserve">if the higher figure is used as the basis for pricing. Buyer should demand a full written reconciliation before confirming the purchase price.</w:t>
      </w:r>
    </w:p>
    <w:bookmarkEnd w:id="21"/>
    <w:bookmarkStart w:id="22" w:name="X32e08f6be78171fb82c90c2d3a187ac39f7cfc8"/>
    <w:p>
      <w:pPr>
        <w:pStyle w:val="Heading3"/>
      </w:pPr>
      <w:r>
        <w:t xml:space="preserve">1.2 Bank EBITDA vs. Management Adjusted EBITDA (HIGH)</w:t>
      </w:r>
    </w:p>
    <w:p>
      <w:pPr>
        <w:pStyle w:val="FirstParagraph"/>
      </w:pPr>
      <w:r>
        <w:t xml:space="preserve">The credit agreement with High Plains National Bank defines Consolidated EBITDA in a manner that expressly</w:t>
      </w:r>
      <w:r>
        <w:t xml:space="preserve"> </w:t>
      </w:r>
      <w:r>
        <w:rPr>
          <w:b/>
          <w:bCs/>
        </w:rPr>
        <w:t xml:space="preserve">excludes</w:t>
      </w:r>
      <w:r>
        <w:t xml:space="preserve"> </w:t>
      </w:r>
      <w:r>
        <w:t xml:space="preserve">five of the six management add-backs totalling approximately</w:t>
      </w:r>
      <w:r>
        <w:t xml:space="preserve"> </w:t>
      </w:r>
      <w:r>
        <w:rPr>
          <w:b/>
          <w:bCs/>
        </w:rPr>
        <w:t xml:space="preserve">$5.4M</w:t>
      </w:r>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Add-Back</w:t>
            </w:r>
          </w:p>
        </w:tc>
        <w:tc>
          <w:tcPr/>
          <w:p>
            <w:pPr>
              <w:pStyle w:val="Compact"/>
              <w:jc w:val="left"/>
            </w:pPr>
            <w:r>
              <w:t xml:space="preserve">Amount ($000s)</w:t>
            </w:r>
          </w:p>
        </w:tc>
        <w:tc>
          <w:tcPr/>
          <w:p>
            <w:pPr>
              <w:pStyle w:val="Compact"/>
              <w:jc w:val="left"/>
            </w:pPr>
            <w:r>
              <w:t xml:space="preserve">Bank Treatment</w:t>
            </w:r>
          </w:p>
        </w:tc>
      </w:tr>
      <w:tr>
        <w:tc>
          <w:tcPr/>
          <w:p>
            <w:pPr>
              <w:pStyle w:val="Compact"/>
              <w:jc w:val="left"/>
            </w:pPr>
            <w:r>
              <w:t xml:space="preserve">Litigation settlement (Clearwater)</w:t>
            </w:r>
          </w:p>
        </w:tc>
        <w:tc>
          <w:tcPr/>
          <w:p>
            <w:pPr>
              <w:pStyle w:val="Compact"/>
              <w:jc w:val="left"/>
            </w:pPr>
            <w:r>
              <w:t xml:space="preserve">$1,200</w:t>
            </w:r>
          </w:p>
        </w:tc>
        <w:tc>
          <w:tcPr/>
          <w:p>
            <w:pPr>
              <w:pStyle w:val="Compact"/>
              <w:jc w:val="left"/>
            </w:pPr>
            <w:r>
              <w:t xml:space="preserve">Excluded</w:t>
            </w:r>
          </w:p>
        </w:tc>
      </w:tr>
      <w:tr>
        <w:tc>
          <w:tcPr/>
          <w:p>
            <w:pPr>
              <w:pStyle w:val="Compact"/>
              <w:jc w:val="left"/>
            </w:pPr>
            <w:r>
              <w:t xml:space="preserve">Owner compensation normalisation</w:t>
            </w:r>
          </w:p>
        </w:tc>
        <w:tc>
          <w:tcPr/>
          <w:p>
            <w:pPr>
              <w:pStyle w:val="Compact"/>
              <w:jc w:val="left"/>
            </w:pPr>
            <w:r>
              <w:t xml:space="preserve">$950</w:t>
            </w:r>
          </w:p>
        </w:tc>
        <w:tc>
          <w:tcPr/>
          <w:p>
            <w:pPr>
              <w:pStyle w:val="Compact"/>
              <w:jc w:val="left"/>
            </w:pPr>
            <w:r>
              <w:t xml:space="preserve">Excluded</w:t>
            </w:r>
          </w:p>
        </w:tc>
      </w:tr>
      <w:tr>
        <w:tc>
          <w:tcPr/>
          <w:p>
            <w:pPr>
              <w:pStyle w:val="Compact"/>
              <w:jc w:val="left"/>
            </w:pPr>
            <w:r>
              <w:t xml:space="preserve">ERP implementation costs</w:t>
            </w:r>
          </w:p>
        </w:tc>
        <w:tc>
          <w:tcPr/>
          <w:p>
            <w:pPr>
              <w:pStyle w:val="Compact"/>
              <w:jc w:val="left"/>
            </w:pPr>
            <w:r>
              <w:t xml:space="preserve">$650</w:t>
            </w:r>
          </w:p>
        </w:tc>
        <w:tc>
          <w:tcPr/>
          <w:p>
            <w:pPr>
              <w:pStyle w:val="Compact"/>
              <w:jc w:val="left"/>
            </w:pPr>
            <w:r>
              <w:t xml:space="preserve">Excluded</w:t>
            </w:r>
          </w:p>
        </w:tc>
      </w:tr>
      <w:tr>
        <w:tc>
          <w:tcPr/>
          <w:p>
            <w:pPr>
              <w:pStyle w:val="Compact"/>
              <w:jc w:val="left"/>
            </w:pPr>
            <w:r>
              <w:t xml:space="preserve">Pinnacle integration costs</w:t>
            </w:r>
          </w:p>
        </w:tc>
        <w:tc>
          <w:tcPr/>
          <w:p>
            <w:pPr>
              <w:pStyle w:val="Compact"/>
              <w:jc w:val="left"/>
            </w:pPr>
            <w:r>
              <w:t xml:space="preserve">$800</w:t>
            </w:r>
          </w:p>
        </w:tc>
        <w:tc>
          <w:tcPr/>
          <w:p>
            <w:pPr>
              <w:pStyle w:val="Compact"/>
              <w:jc w:val="left"/>
            </w:pPr>
            <w:r>
              <w:t xml:space="preserve">Excluded</w:t>
            </w:r>
          </w:p>
        </w:tc>
      </w:tr>
      <w:tr>
        <w:tc>
          <w:tcPr/>
          <w:p>
            <w:pPr>
              <w:pStyle w:val="Compact"/>
              <w:jc w:val="left"/>
            </w:pPr>
            <w:r>
              <w:t xml:space="preserve">Asbestos wind-down costs</w:t>
            </w:r>
          </w:p>
        </w:tc>
        <w:tc>
          <w:tcPr/>
          <w:p>
            <w:pPr>
              <w:pStyle w:val="Compact"/>
              <w:jc w:val="left"/>
            </w:pPr>
            <w:r>
              <w:t xml:space="preserve">$1,800</w:t>
            </w:r>
          </w:p>
        </w:tc>
        <w:tc>
          <w:tcPr/>
          <w:p>
            <w:pPr>
              <w:pStyle w:val="Compact"/>
              <w:jc w:val="left"/>
            </w:pPr>
            <w:r>
              <w:t xml:space="preserve">Excluded</w:t>
            </w:r>
          </w:p>
        </w:tc>
      </w:tr>
      <w:tr>
        <w:tc>
          <w:tcPr/>
          <w:p>
            <w:pPr>
              <w:pStyle w:val="Compact"/>
              <w:jc w:val="left"/>
            </w:pPr>
            <w:r>
              <w:rPr>
                <w:b/>
                <w:bCs/>
              </w:rPr>
              <w:t xml:space="preserve">Total excluded</w:t>
            </w:r>
          </w:p>
        </w:tc>
        <w:tc>
          <w:tcPr/>
          <w:p>
            <w:pPr>
              <w:pStyle w:val="Compact"/>
              <w:jc w:val="left"/>
            </w:pPr>
            <w:r>
              <w:rPr>
                <w:b/>
                <w:bCs/>
              </w:rPr>
              <w:t xml:space="preserve">$5,400</w:t>
            </w:r>
          </w:p>
        </w:tc>
        <w:tc>
          <w:tcPr/>
          <w:p>
            <w:pPr>
              <w:pStyle w:val="Compact"/>
            </w:pPr>
          </w:p>
        </w:tc>
      </w:tr>
    </w:tbl>
    <w:p>
      <w:pPr>
        <w:pStyle w:val="BodyText"/>
      </w:pPr>
      <w:r>
        <w:t xml:space="preserve">Bank Consolidated EBITDA is therefore approximately</w:t>
      </w:r>
      <w:r>
        <w:t xml:space="preserve"> </w:t>
      </w:r>
      <w:r>
        <w:rPr>
          <w:b/>
          <w:bCs/>
        </w:rPr>
        <w:t xml:space="preserve">$18.4M</w:t>
      </w:r>
      <w:r>
        <w:t xml:space="preserve">, yielding a bank leverage ratio of</w:t>
      </w:r>
      <w:r>
        <w:t xml:space="preserve"> </w:t>
      </w:r>
      <w:r>
        <w:rPr>
          <w:b/>
          <w:bCs/>
        </w:rPr>
        <w:t xml:space="preserve">2.10×</w:t>
      </w:r>
      <w:r>
        <w:t xml:space="preserve"> </w:t>
      </w:r>
      <w:r>
        <w:t xml:space="preserve">($38.7M / $18.4M). If Buyer uses management’s $22.8M Adjusted EBITDA for valuation, it is paying for $5.4M of earnings that the lender does not recognise and that may not be sustainable. A new lender will likely apply a similar or more conservative definition.</w:t>
      </w:r>
    </w:p>
    <w:bookmarkEnd w:id="22"/>
    <w:bookmarkStart w:id="23" w:name="Xe1deabd7a97ad9e105452e48396d013fb8ee2a8"/>
    <w:p>
      <w:pPr>
        <w:pStyle w:val="Heading3"/>
      </w:pPr>
      <w:r>
        <w:t xml:space="preserve">1.3 Reported EBITDA Decline Masked by Add-Backs (HIGH)</w:t>
      </w:r>
    </w:p>
    <w:p>
      <w:pPr>
        <w:pStyle w:val="FirstParagraph"/>
      </w:pPr>
      <w:r>
        <w:t xml:space="preserve">Reported EBITDA declined</w:t>
      </w:r>
      <w:r>
        <w:t xml:space="preserve"> </w:t>
      </w:r>
      <w:r>
        <w:rPr>
          <w:b/>
          <w:bCs/>
        </w:rPr>
        <w:t xml:space="preserve">27% year-over-year</w:t>
      </w:r>
      <w:r>
        <w:t xml:space="preserve"> </w:t>
      </w:r>
      <w:r>
        <w:t xml:space="preserve">(FY2023: $25.2M → FY2024: $18.4M) despite 11% revenue growth. The reported EBITDA margin fell from 22.0% to 14.5%. Even on an adjusted basis, the margin declined from 24.5% (FY2023) to 18.7% (FY2024). This compression is obscured by the add-back presentation and warrants independent analysis to determine whether it is structural or truly non-recurring.</w:t>
      </w:r>
    </w:p>
    <w:bookmarkEnd w:id="23"/>
    <w:bookmarkStart w:id="24" w:name="Xee3033053dd79f694baf5c53a705dae9415b53a"/>
    <w:p>
      <w:pPr>
        <w:pStyle w:val="Heading3"/>
      </w:pPr>
      <w:r>
        <w:t xml:space="preserve">1.4 Owner Compensation Normalisation — Bonus Component Excluded (MEDIUM)</w:t>
      </w:r>
    </w:p>
    <w:p>
      <w:pPr>
        <w:pStyle w:val="FirstParagraph"/>
      </w:pPr>
      <w:r>
        <w:t xml:space="preserve">The $950K owner compensation add-back normalises CEO and COO base salaries from $875K each to $400K each. However, the employment agreements show</w:t>
      </w:r>
      <w:r>
        <w:t xml:space="preserve"> </w:t>
      </w:r>
      <w:r>
        <w:rPr>
          <w:b/>
          <w:bCs/>
        </w:rPr>
        <w:t xml:space="preserve">bonus targets of 50% of base salary</w:t>
      </w:r>
      <w:r>
        <w:t xml:space="preserve"> </w:t>
      </w:r>
      <w:r>
        <w:t xml:space="preserve">($437,500 each), which are not included in the normalisation. Market-rate replacement executives at comparable companies would also receive performance bonuses. The true normalised compensation cost may be</w:t>
      </w:r>
      <w:r>
        <w:t xml:space="preserve"> </w:t>
      </w:r>
      <w:r>
        <w:rPr>
          <w:b/>
          <w:bCs/>
        </w:rPr>
        <w:t xml:space="preserve">$200–400K higher</w:t>
      </w:r>
      <w:r>
        <w:t xml:space="preserve"> </w:t>
      </w:r>
      <w:r>
        <w:t xml:space="preserve">than the add-back implies, reducing adjusted EBITDA by a corresponding amount.</w:t>
      </w:r>
    </w:p>
    <w:bookmarkEnd w:id="24"/>
    <w:bookmarkStart w:id="25" w:name="X4c162c0c7fac44e3d493e5d70172463aadc5a84"/>
    <w:p>
      <w:pPr>
        <w:pStyle w:val="Heading3"/>
      </w:pPr>
      <w:r>
        <w:t xml:space="preserve">1.5 Recurring Nature of Acquisition Integration Add-Backs (MEDIUM)</w:t>
      </w:r>
    </w:p>
    <w:p>
      <w:pPr>
        <w:pStyle w:val="FirstParagraph"/>
      </w:pPr>
      <w:r>
        <w:t xml:space="preserve">Pinnacle integration costs have been added back as non-recurring in</w:t>
      </w:r>
      <w:r>
        <w:t xml:space="preserve"> </w:t>
      </w:r>
      <w:r>
        <w:rPr>
          <w:b/>
          <w:bCs/>
        </w:rPr>
        <w:t xml:space="preserve">three consecutive fiscal years</w:t>
      </w:r>
      <w:r>
        <w:t xml:space="preserve">: FY2022 ($1.24M), FY2023 ($0.62M), and FY2024 ($0.80M), totalling $2.66M. The pattern of recurring</w:t>
      </w:r>
      <w:r>
        <w:t xml:space="preserve"> </w:t>
      </w:r>
      <w:r>
        <w:t xml:space="preserve">“</w:t>
      </w:r>
      <w:r>
        <w:t xml:space="preserve">non-recurring</w:t>
      </w:r>
      <w:r>
        <w:t xml:space="preserve">”</w:t>
      </w:r>
      <w:r>
        <w:t xml:space="preserve"> </w:t>
      </w:r>
      <w:r>
        <w:t xml:space="preserve">charges raises questions about whether these costs are truly one-time. Management states integration is</w:t>
      </w:r>
      <w:r>
        <w:t xml:space="preserve"> </w:t>
      </w:r>
      <w:r>
        <w:t xml:space="preserve">“</w:t>
      </w:r>
      <w:r>
        <w:t xml:space="preserve">substantially complete</w:t>
      </w:r>
      <w:r>
        <w:t xml:space="preserve">”</w:t>
      </w:r>
      <w:r>
        <w:t xml:space="preserve"> </w:t>
      </w:r>
      <w:r>
        <w:t xml:space="preserve">as of September 30, 2024, but $800K of integration costs were still incurred in FY2024, two and a half years after the acquisition closed.</w:t>
      </w:r>
    </w:p>
    <w:bookmarkEnd w:id="25"/>
    <w:bookmarkStart w:id="26" w:name="Xd130a159e32313fb83f5ac2312ea2d247f99851"/>
    <w:p>
      <w:pPr>
        <w:pStyle w:val="Heading3"/>
      </w:pPr>
      <w:r>
        <w:t xml:space="preserve">1.6 Understated Maintenance Capital Expenditure (HIGH)</w:t>
      </w:r>
    </w:p>
    <w:p>
      <w:pPr>
        <w:pStyle w:val="FirstParagraph"/>
      </w:pPr>
      <w:r>
        <w:t xml:space="preserve">Management normalises annual maintenance capex at</w:t>
      </w:r>
      <w:r>
        <w:t xml:space="preserve"> </w:t>
      </w:r>
      <w:r>
        <w:rPr>
          <w:b/>
          <w:bCs/>
        </w:rPr>
        <w:t xml:space="preserve">$4.0–4.5M</w:t>
      </w:r>
      <w:r>
        <w:t xml:space="preserve">. However, the fleet and equipment schedule reveals that</w:t>
      </w:r>
      <w:r>
        <w:t xml:space="preserve"> </w:t>
      </w:r>
      <w:r>
        <w:rPr>
          <w:b/>
          <w:bCs/>
        </w:rPr>
        <w:t xml:space="preserve">38 of 85 assets (44.7%) are at or past their stated useful life</w:t>
      </w:r>
      <w:r>
        <w:t xml:space="preserve">, with an average fleet age of 8.2 years against a 7.0-year weighted average useful life. The estimated replacement cost of past-useful-life assets is</w:t>
      </w:r>
      <w:r>
        <w:t xml:space="preserve"> </w:t>
      </w:r>
      <w:r>
        <w:rPr>
          <w:b/>
          <w:bCs/>
        </w:rPr>
        <w:t xml:space="preserve">$9.8M</w:t>
      </w:r>
      <w:r>
        <w:t xml:space="preserve">. Spreading this deferred replacement backlog over three years implies approximately</w:t>
      </w:r>
      <w:r>
        <w:t xml:space="preserve"> </w:t>
      </w:r>
      <w:r>
        <w:rPr>
          <w:b/>
          <w:bCs/>
        </w:rPr>
        <w:t xml:space="preserve">$3.3M/year of catch-up capex</w:t>
      </w:r>
      <w:r>
        <w:t xml:space="preserve"> </w:t>
      </w:r>
      <w:r>
        <w:t xml:space="preserve">above the stated run-rate, suggesting true normalised maintenance capex of</w:t>
      </w:r>
      <w:r>
        <w:t xml:space="preserve"> </w:t>
      </w:r>
      <w:r>
        <w:rPr>
          <w:b/>
          <w:bCs/>
        </w:rPr>
        <w:t xml:space="preserve">$7.3–7.8M/year</w:t>
      </w:r>
      <w:r>
        <w:t xml:space="preserve"> </w:t>
      </w:r>
      <w:r>
        <w:t xml:space="preserve">— nearly double management’s estimate. This has a direct and material impact on normalised free cash flow and, consequently, on enterprise value.</w:t>
      </w:r>
    </w:p>
    <w:p>
      <w:r>
        <w:pict>
          <v:rect style="width:0;height:1.5pt" o:hralign="center" o:hrstd="t" o:hr="t"/>
        </w:pict>
      </w:r>
    </w:p>
    <w:bookmarkEnd w:id="26"/>
    <w:bookmarkEnd w:id="27"/>
    <w:bookmarkStart w:id="33" w:name="section-ii-environmental"/>
    <w:p>
      <w:pPr>
        <w:pStyle w:val="Heading2"/>
      </w:pPr>
      <w:r>
        <w:t xml:space="preserve">SECTION II — ENVIRONMENTAL</w:t>
      </w:r>
    </w:p>
    <w:bookmarkStart w:id="28" w:name="X4ba9b4cb2c07e79d30b8a38fc5eb5c4bc051af8"/>
    <w:p>
      <w:pPr>
        <w:pStyle w:val="Heading3"/>
      </w:pPr>
      <w:r>
        <w:t xml:space="preserve">2.1 Stale Phase II ESA — Update Required Before Closing (CRITICAL)</w:t>
      </w:r>
    </w:p>
    <w:p>
      <w:pPr>
        <w:pStyle w:val="FirstParagraph"/>
      </w:pPr>
      <w:r>
        <w:t xml:space="preserve">The Phase II Environmental Site Assessment for the Grand Junction headquarters was completed in</w:t>
      </w:r>
      <w:r>
        <w:t xml:space="preserve"> </w:t>
      </w:r>
      <w:r>
        <w:rPr>
          <w:b/>
          <w:bCs/>
        </w:rPr>
        <w:t xml:space="preserve">June 2019</w:t>
      </w:r>
      <w:r>
        <w:t xml:space="preserve"> </w:t>
      </w:r>
      <w:r>
        <w:t xml:space="preserve">— more than five years ago. The consultant (Elkhorn Environmental Consultants)</w:t>
      </w:r>
      <w:r>
        <w:t xml:space="preserve"> </w:t>
      </w:r>
      <w:r>
        <w:rPr>
          <w:b/>
          <w:bCs/>
        </w:rPr>
        <w:t xml:space="preserve">expressly recommends</w:t>
      </w:r>
      <w:r>
        <w:t xml:space="preserve"> </w:t>
      </w:r>
      <w:r>
        <w:t xml:space="preserve">in the report that the assessment be updated</w:t>
      </w:r>
      <w:r>
        <w:t xml:space="preserve"> </w:t>
      </w:r>
      <w:r>
        <w:t xml:space="preserve">“</w:t>
      </w:r>
      <w:r>
        <w:t xml:space="preserve">prior to any property transaction, financing, or similar event.</w:t>
      </w:r>
      <w:r>
        <w:t xml:space="preserve">”</w:t>
      </w:r>
      <w:r>
        <w:t xml:space="preserve"> </w:t>
      </w:r>
      <w:r>
        <w:t xml:space="preserve">No updated assessment has been commissioned.</w:t>
      </w:r>
    </w:p>
    <w:p>
      <w:pPr>
        <w:pStyle w:val="BodyText"/>
      </w:pPr>
      <w:r>
        <w:t xml:space="preserve">The 2019 ESA confirmed:</w:t>
      </w:r>
    </w:p>
    <w:p>
      <w:pPr>
        <w:pStyle w:val="Compact"/>
        <w:numPr>
          <w:ilvl w:val="0"/>
          <w:numId w:val="1002"/>
        </w:numPr>
      </w:pPr>
      <w:r>
        <w:rPr>
          <w:b/>
          <w:bCs/>
        </w:rPr>
        <w:t xml:space="preserve">Petroleum hydrocarbon contamination</w:t>
      </w:r>
      <w:r>
        <w:t xml:space="preserve"> </w:t>
      </w:r>
      <w:r>
        <w:t xml:space="preserve">(TPH-diesel up to 4,200 mg/kg; benzene up to 2.4 mg/kg) in the former UST area, exceeding CDPHE commercial/industrial cleanup levels.</w:t>
      </w:r>
    </w:p>
    <w:p>
      <w:pPr>
        <w:pStyle w:val="Compact"/>
        <w:numPr>
          <w:ilvl w:val="0"/>
          <w:numId w:val="1002"/>
        </w:numPr>
      </w:pPr>
      <w:r>
        <w:rPr>
          <w:b/>
          <w:bCs/>
        </w:rPr>
        <w:t xml:space="preserve">Chlorinated solvent contamination</w:t>
      </w:r>
      <w:r>
        <w:t xml:space="preserve"> </w:t>
      </w:r>
      <w:r>
        <w:t xml:space="preserve">(PCE up to 18 mg/kg; TCE up to 6.8 mg/kg) in the former degreasing area, significantly exceeding CDPHE cleanup levels.</w:t>
      </w:r>
    </w:p>
    <w:p>
      <w:pPr>
        <w:pStyle w:val="Compact"/>
        <w:numPr>
          <w:ilvl w:val="0"/>
          <w:numId w:val="1002"/>
        </w:numPr>
      </w:pPr>
      <w:r>
        <w:rPr>
          <w:b/>
          <w:bCs/>
        </w:rPr>
        <w:t xml:space="preserve">Groundwater impacts</w:t>
      </w:r>
      <w:r>
        <w:t xml:space="preserve"> </w:t>
      </w:r>
      <w:r>
        <w:t xml:space="preserve">confirmed in two monitoring wells (benzene at 12 µg/L; PCE at 22 µg/L; TCE at 8.7 µg/L), all exceeding Colorado Basic Standards.</w:t>
      </w:r>
    </w:p>
    <w:p>
      <w:pPr>
        <w:pStyle w:val="Compact"/>
        <w:numPr>
          <w:ilvl w:val="0"/>
          <w:numId w:val="1002"/>
        </w:numPr>
      </w:pPr>
      <w:r>
        <w:rPr>
          <w:b/>
          <w:bCs/>
        </w:rPr>
        <w:t xml:space="preserve">Potential off-site plume migration</w:t>
      </w:r>
      <w:r>
        <w:t xml:space="preserve"> </w:t>
      </w:r>
      <w:r>
        <w:t xml:space="preserve">— the monitoring well network does not include off-site sentinel wells, and the consultant explicitly states that plume containment conclusions are</w:t>
      </w:r>
      <w:r>
        <w:t xml:space="preserve"> </w:t>
      </w:r>
      <w:r>
        <w:t xml:space="preserve">“</w:t>
      </w:r>
      <w:r>
        <w:t xml:space="preserve">preliminary.</w:t>
      </w:r>
      <w:r>
        <w:t xml:space="preserve">”</w:t>
      </w:r>
    </w:p>
    <w:p>
      <w:pPr>
        <w:pStyle w:val="FirstParagraph"/>
      </w:pPr>
      <w:r>
        <w:t xml:space="preserve">The 2019 cost estimate of</w:t>
      </w:r>
      <w:r>
        <w:t xml:space="preserve"> </w:t>
      </w:r>
      <w:r>
        <w:rPr>
          <w:b/>
          <w:bCs/>
        </w:rPr>
        <w:t xml:space="preserve">$1.8–2.6M</w:t>
      </w:r>
      <w:r>
        <w:t xml:space="preserve"> </w:t>
      </w:r>
      <w:r>
        <w:t xml:space="preserve">excludes vapor intrusion mitigation, off-site remediation, DNAPL vertical migration costs, and inflation. The true current remediation cost could be materially higher. Buyer should commission an updated Phase II ESA and independent remediation cost estimate as a condition to closing.</w:t>
      </w:r>
    </w:p>
    <w:bookmarkEnd w:id="28"/>
    <w:bookmarkStart w:id="29" w:name="X0690b7875aab366f6dca6372b8093bc7a75bdd8"/>
    <w:p>
      <w:pPr>
        <w:pStyle w:val="Heading3"/>
      </w:pPr>
      <w:r>
        <w:t xml:space="preserve">2.2 Vapor Intrusion Risk — Unassessed Occupational Exposure (CRITICAL)</w:t>
      </w:r>
    </w:p>
    <w:p>
      <w:pPr>
        <w:pStyle w:val="FirstParagraph"/>
      </w:pPr>
      <w:r>
        <w:t xml:space="preserve">Soil gas sampling in the 2019 ESA detected PCE at</w:t>
      </w:r>
      <w:r>
        <w:t xml:space="preserve"> </w:t>
      </w:r>
      <w:r>
        <w:rPr>
          <w:b/>
          <w:bCs/>
        </w:rPr>
        <w:t xml:space="preserve">450 µg/m³</w:t>
      </w:r>
      <w:r>
        <w:t xml:space="preserve"> </w:t>
      </w:r>
      <w:r>
        <w:t xml:space="preserve">and TCE at</w:t>
      </w:r>
      <w:r>
        <w:t xml:space="preserve"> </w:t>
      </w:r>
      <w:r>
        <w:rPr>
          <w:b/>
          <w:bCs/>
        </w:rPr>
        <w:t xml:space="preserve">120 µg/m³</w:t>
      </w:r>
      <w:r>
        <w:t xml:space="preserve"> </w:t>
      </w:r>
      <w:r>
        <w:t xml:space="preserve">adjacent to the 28,000 sq ft vehicle maintenance building — both exceeding EPA Regional Screening Levels for commercial/industrial land use (PCE RSL: 240 µg/m³; TCE RSL: 21 µg/m³). The consultant identified a</w:t>
      </w:r>
      <w:r>
        <w:t xml:space="preserve"> </w:t>
      </w:r>
      <w:r>
        <w:rPr>
          <w:b/>
          <w:bCs/>
        </w:rPr>
        <w:t xml:space="preserve">potential vapor intrusion pathway</w:t>
      </w:r>
      <w:r>
        <w:t xml:space="preserve"> </w:t>
      </w:r>
      <w:r>
        <w:t xml:space="preserve">into this building, which is occupied daily by RES employees.</w:t>
      </w:r>
    </w:p>
    <w:p>
      <w:pPr>
        <w:pStyle w:val="BodyText"/>
      </w:pPr>
      <w:r>
        <w:t xml:space="preserve">No vapor intrusion assessment (sub-slab soil gas sampling or indoor air quality monitoring) has been conducted. If vapor intrusion is confirmed at concentrations posing unacceptable occupational health risk, mitigation systems (e.g., sub-slab depressurization) will be required, and the Company may face OSHA liability and worker health claims. The</w:t>
      </w:r>
      <w:r>
        <w:t xml:space="preserve"> </w:t>
      </w:r>
      <w:r>
        <w:rPr>
          <w:i/>
          <w:iCs/>
        </w:rPr>
        <w:t xml:space="preserve">Ramirez v. RES</w:t>
      </w:r>
      <w:r>
        <w:t xml:space="preserve"> </w:t>
      </w:r>
      <w:r>
        <w:t xml:space="preserve">personal injury action (see Section IV) involves similar allegations of inadequate worker protection from chemical exposure.</w:t>
      </w:r>
    </w:p>
    <w:bookmarkEnd w:id="29"/>
    <w:bookmarkStart w:id="30" w:name="cdphe-enforcement-action-no-accrual-high"/>
    <w:p>
      <w:pPr>
        <w:pStyle w:val="Heading3"/>
      </w:pPr>
      <w:r>
        <w:t xml:space="preserve">2.3 CDPHE Enforcement Action — No Accrual (HIGH)</w:t>
      </w:r>
    </w:p>
    <w:p>
      <w:pPr>
        <w:pStyle w:val="FirstParagraph"/>
      </w:pPr>
      <w:r>
        <w:t xml:space="preserve">CDPHE issued a Notice of Violation (Docket No. CDPHE-HW-2024-0093) on July 18, 2024, alleging improper storage of approximately 14,000 gallons of listed hazardous waste (F001/F002 spent solvents) at the Grand Junction facility in violation of the RCRA Part B permit. The parties dispute the violation period: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Position</w:t>
            </w:r>
          </w:p>
        </w:tc>
        <w:tc>
          <w:tcPr/>
          <w:p>
            <w:pPr>
              <w:pStyle w:val="Compact"/>
              <w:jc w:val="left"/>
            </w:pPr>
            <w:r>
              <w:t xml:space="preserve">Violation Period</w:t>
            </w:r>
          </w:p>
        </w:tc>
        <w:tc>
          <w:tcPr/>
          <w:p>
            <w:pPr>
              <w:pStyle w:val="Compact"/>
              <w:jc w:val="left"/>
            </w:pPr>
            <w:r>
              <w:t xml:space="preserve">Maximum Penalty</w:t>
            </w:r>
          </w:p>
        </w:tc>
      </w:tr>
      <w:tr>
        <w:tc>
          <w:tcPr/>
          <w:p>
            <w:pPr>
              <w:pStyle w:val="Compact"/>
              <w:jc w:val="left"/>
            </w:pPr>
            <w:r>
              <w:t xml:space="preserve">Company</w:t>
            </w:r>
          </w:p>
        </w:tc>
        <w:tc>
          <w:tcPr/>
          <w:p>
            <w:pPr>
              <w:pStyle w:val="Compact"/>
              <w:jc w:val="left"/>
            </w:pPr>
            <w:r>
              <w:t xml:space="preserve">12 days</w:t>
            </w:r>
          </w:p>
        </w:tc>
        <w:tc>
          <w:tcPr/>
          <w:p>
            <w:pPr>
              <w:pStyle w:val="Compact"/>
              <w:jc w:val="left"/>
            </w:pPr>
            <w:r>
              <w:t xml:space="preserve">$450,000</w:t>
            </w:r>
          </w:p>
        </w:tc>
      </w:tr>
      <w:tr>
        <w:tc>
          <w:tcPr/>
          <w:p>
            <w:pPr>
              <w:pStyle w:val="Compact"/>
              <w:jc w:val="left"/>
            </w:pPr>
            <w:r>
              <w:t xml:space="preserve">CDPHE</w:t>
            </w:r>
          </w:p>
        </w:tc>
        <w:tc>
          <w:tcPr/>
          <w:p>
            <w:pPr>
              <w:pStyle w:val="Compact"/>
              <w:jc w:val="left"/>
            </w:pPr>
            <w:r>
              <w:t xml:space="preserve">31 days</w:t>
            </w:r>
          </w:p>
        </w:tc>
        <w:tc>
          <w:tcPr/>
          <w:p>
            <w:pPr>
              <w:pStyle w:val="Compact"/>
              <w:jc w:val="left"/>
            </w:pPr>
            <w:r>
              <w:t xml:space="preserve">$1,162,500</w:t>
            </w:r>
          </w:p>
        </w:tc>
      </w:tr>
    </w:tbl>
    <w:p>
      <w:pPr>
        <w:pStyle w:val="BodyText"/>
      </w:pPr>
      <w:r>
        <w:rPr>
          <w:b/>
          <w:bCs/>
        </w:rPr>
        <w:t xml:space="preserve">No accrual has been recorded</w:t>
      </w:r>
      <w:r>
        <w:t xml:space="preserve"> </w:t>
      </w:r>
      <w:r>
        <w:t xml:space="preserve">on the Company’s balance sheet as of September 30, 2024. The matter is in administrative negotiation; a settlement conference is expected in Q1 2025. The CDPHE penalty exposure should be specifically addressed in the SPA indemnification provisions.</w:t>
      </w:r>
    </w:p>
    <w:bookmarkEnd w:id="30"/>
    <w:bookmarkStart w:id="31" w:name="Xf57c035a56c915c563dc11c48cd5cf90cb42cc6"/>
    <w:p>
      <w:pPr>
        <w:pStyle w:val="Heading3"/>
      </w:pPr>
      <w:r>
        <w:t xml:space="preserve">2.4 Grand Junction Contamination Is Uninsured (CRITICAL)</w:t>
      </w:r>
    </w:p>
    <w:p>
      <w:pPr>
        <w:pStyle w:val="FirstParagraph"/>
      </w:pPr>
      <w:r>
        <w:t xml:space="preserve">The Pollution Legal Liability policy (FSI-PLL-2024-08873)</w:t>
      </w:r>
      <w:r>
        <w:t xml:space="preserve"> </w:t>
      </w:r>
      <w:r>
        <w:rPr>
          <w:b/>
          <w:bCs/>
        </w:rPr>
        <w:t xml:space="preserve">explicitly excludes</w:t>
      </w:r>
      <w:r>
        <w:t xml:space="preserve"> </w:t>
      </w:r>
      <w:r>
        <w:t xml:space="preserve">coverage for gradual contamination at owned or operated facilities — defined as any pollution condition that developed over a period exceeding 72 hours. The Phase II ESA characterises the Grand Junction contamination as resulting from</w:t>
      </w:r>
      <w:r>
        <w:t xml:space="preserve"> </w:t>
      </w:r>
      <w:r>
        <w:rPr>
          <w:b/>
          <w:bCs/>
        </w:rPr>
        <w:t xml:space="preserve">“</w:t>
      </w:r>
      <w:r>
        <w:rPr>
          <w:b/>
          <w:bCs/>
        </w:rPr>
        <w:t xml:space="preserve">gradual releases over extended periods of time — spanning multiple decades.</w:t>
      </w:r>
      <w:r>
        <w:rPr>
          <w:b/>
          <w:bCs/>
        </w:rPr>
        <w:t xml:space="preserve">”</w:t>
      </w:r>
      <w:r>
        <w:t xml:space="preserve"> </w:t>
      </w:r>
      <w:r>
        <w:t xml:space="preserve">This contamination is therefore</w:t>
      </w:r>
      <w:r>
        <w:t xml:space="preserve"> </w:t>
      </w:r>
      <w:r>
        <w:rPr>
          <w:b/>
          <w:bCs/>
        </w:rPr>
        <w:t xml:space="preserve">entirely uninsured</w:t>
      </w:r>
      <w:r>
        <w:t xml:space="preserve"> </w:t>
      </w:r>
      <w:r>
        <w:t xml:space="preserve">under the current pollution liability policy.</w:t>
      </w:r>
    </w:p>
    <w:p>
      <w:pPr>
        <w:pStyle w:val="BodyText"/>
      </w:pPr>
      <w:r>
        <w:t xml:space="preserve">The Company’s $2.2M remediation accrual (within the $3.2M total) is based on the 2019 cost estimate, which the consultant itself cautions should not be relied upon without updated investigation. The full remediation cost — including vapor intrusion mitigation, off-site investigation, and potential DNAPL remediation — could substantially exceed the accrual.</w:t>
      </w:r>
    </w:p>
    <w:bookmarkEnd w:id="31"/>
    <w:bookmarkStart w:id="32" w:name="Xbb171508c967c167a64392178fb3bf92931b8c9"/>
    <w:p>
      <w:pPr>
        <w:pStyle w:val="Heading3"/>
      </w:pPr>
      <w:r>
        <w:t xml:space="preserve">2.5 Asbestos Long-Tail Exposure with Insurance Gap (HIGH)</w:t>
      </w:r>
    </w:p>
    <w:p>
      <w:pPr>
        <w:pStyle w:val="FirstParagraph"/>
      </w:pPr>
      <w:r>
        <w:t xml:space="preserve">RES operated an asbestos abatement service line from 2012 through September 30, 2023, performing work at approximately</w:t>
      </w:r>
      <w:r>
        <w:t xml:space="preserve"> </w:t>
      </w:r>
      <w:r>
        <w:rPr>
          <w:b/>
          <w:bCs/>
        </w:rPr>
        <w:t xml:space="preserve">145 commercial and industrial sites</w:t>
      </w:r>
      <w:r>
        <w:t xml:space="preserve"> </w:t>
      </w:r>
      <w:r>
        <w:t xml:space="preserve">across Colorado, Utah, and Wyoming, generating approximately</w:t>
      </w:r>
      <w:r>
        <w:t xml:space="preserve"> </w:t>
      </w:r>
      <w:r>
        <w:rPr>
          <w:b/>
          <w:bCs/>
        </w:rPr>
        <w:t xml:space="preserve">$31.2M in cumulative revenue</w:t>
      </w:r>
      <w:r>
        <w:t xml:space="preserve">. Two workers’ compensation claims from former asbestos abatement employees remain open.</w:t>
      </w:r>
    </w:p>
    <w:p>
      <w:pPr>
        <w:pStyle w:val="BodyText"/>
      </w:pPr>
      <w:r>
        <w:t xml:space="preserve">The insurance position presents a significant gap:</w:t>
      </w:r>
    </w:p>
    <w:p>
      <w:pPr>
        <w:pStyle w:val="Compact"/>
        <w:numPr>
          <w:ilvl w:val="0"/>
          <w:numId w:val="1003"/>
        </w:numPr>
      </w:pPr>
      <w:r>
        <w:t xml:space="preserve">The</w:t>
      </w:r>
      <w:r>
        <w:t xml:space="preserve"> </w:t>
      </w:r>
      <w:r>
        <w:rPr>
          <w:b/>
          <w:bCs/>
        </w:rPr>
        <w:t xml:space="preserve">CGL policy</w:t>
      </w:r>
      <w:r>
        <w:t xml:space="preserve"> </w:t>
      </w:r>
      <w:r>
        <w:t xml:space="preserve">contains a</w:t>
      </w:r>
      <w:r>
        <w:t xml:space="preserve"> </w:t>
      </w:r>
      <w:r>
        <w:rPr>
          <w:b/>
          <w:bCs/>
        </w:rPr>
        <w:t xml:space="preserve">blanket asbestos exclusion</w:t>
      </w:r>
      <w:r>
        <w:t xml:space="preserve"> </w:t>
      </w:r>
      <w:r>
        <w:t xml:space="preserve">for all bodily injury and property damage claims arising from asbestos, regardless of when exposure occurred.</w:t>
      </w:r>
    </w:p>
    <w:p>
      <w:pPr>
        <w:pStyle w:val="Compact"/>
        <w:numPr>
          <w:ilvl w:val="0"/>
          <w:numId w:val="1003"/>
        </w:numPr>
      </w:pPr>
      <w:r>
        <w:t xml:space="preserve">The</w:t>
      </w:r>
      <w:r>
        <w:t xml:space="preserve"> </w:t>
      </w:r>
      <w:r>
        <w:rPr>
          <w:b/>
          <w:bCs/>
        </w:rPr>
        <w:t xml:space="preserve">Pollution Legal Liability policy</w:t>
      </w:r>
      <w:r>
        <w:t xml:space="preserve"> </w:t>
      </w:r>
      <w:r>
        <w:t xml:space="preserve">has a</w:t>
      </w:r>
      <w:r>
        <w:t xml:space="preserve"> </w:t>
      </w:r>
      <w:r>
        <w:rPr>
          <w:b/>
          <w:bCs/>
        </w:rPr>
        <w:t xml:space="preserve">retroactive date of January 1, 2015</w:t>
      </w:r>
      <w:r>
        <w:t xml:space="preserve">, meaning work performed from</w:t>
      </w:r>
      <w:r>
        <w:t xml:space="preserve"> </w:t>
      </w:r>
      <w:r>
        <w:rPr>
          <w:b/>
          <w:bCs/>
        </w:rPr>
        <w:t xml:space="preserve">2012 through 2014</w:t>
      </w:r>
      <w:r>
        <w:t xml:space="preserve"> </w:t>
      </w:r>
      <w:r>
        <w:t xml:space="preserve">(three years of operations) is</w:t>
      </w:r>
      <w:r>
        <w:t xml:space="preserve"> </w:t>
      </w:r>
      <w:r>
        <w:rPr>
          <w:b/>
          <w:bCs/>
        </w:rPr>
        <w:t xml:space="preserve">not covered</w:t>
      </w:r>
      <w:r>
        <w:t xml:space="preserve"> </w:t>
      </w:r>
      <w:r>
        <w:t xml:space="preserve">under the current policy.</w:t>
      </w:r>
    </w:p>
    <w:p>
      <w:pPr>
        <w:pStyle w:val="Compact"/>
        <w:numPr>
          <w:ilvl w:val="0"/>
          <w:numId w:val="1003"/>
        </w:numPr>
      </w:pPr>
      <w:r>
        <w:rPr>
          <w:b/>
          <w:bCs/>
        </w:rPr>
        <w:t xml:space="preserve">No tail coverage</w:t>
      </w:r>
      <w:r>
        <w:t xml:space="preserve"> </w:t>
      </w:r>
      <w:r>
        <w:t xml:space="preserve">has been purchased for completed asbestos operations.</w:t>
      </w:r>
    </w:p>
    <w:p>
      <w:pPr>
        <w:pStyle w:val="FirstParagraph"/>
      </w:pPr>
      <w:r>
        <w:t xml:space="preserve">Asbestos-related personal injury claims can have latency periods of 10–40 years. While management assesses future claims as Remote, the combination of a blanket CGL exclusion and a three-year uninsured period under the PLL policy creates a potentially material uninsured exposure that cannot be quantified with precision.</w:t>
      </w:r>
    </w:p>
    <w:p>
      <w:r>
        <w:pict>
          <v:rect style="width:0;height:1.5pt" o:hralign="center" o:hrstd="t" o:hr="t"/>
        </w:pict>
      </w:r>
    </w:p>
    <w:bookmarkEnd w:id="32"/>
    <w:bookmarkEnd w:id="33"/>
    <w:bookmarkStart w:id="37" w:name="section-iii-regulatory-and-permits"/>
    <w:p>
      <w:pPr>
        <w:pStyle w:val="Heading2"/>
      </w:pPr>
      <w:r>
        <w:t xml:space="preserve">SECTION III — REGULATORY AND PERMITS</w:t>
      </w:r>
    </w:p>
    <w:bookmarkStart w:id="34" w:name="X7a9787ca1f3c1cfa94ed2cf667ef4e36823a0ee"/>
    <w:p>
      <w:pPr>
        <w:pStyle w:val="Heading3"/>
      </w:pPr>
      <w:r>
        <w:t xml:space="preserve">3.1 Salt Lake City Permit Transfer Pending 2.5+ Years (CRITICAL)</w:t>
      </w:r>
    </w:p>
    <w:p>
      <w:pPr>
        <w:pStyle w:val="FirstParagraph"/>
      </w:pPr>
      <w:r>
        <w:t xml:space="preserve">Utah hazardous waste transfer station permit</w:t>
      </w:r>
      <w:r>
        <w:t xml:space="preserve"> </w:t>
      </w:r>
      <w:r>
        <w:rPr>
          <w:b/>
          <w:bCs/>
        </w:rPr>
        <w:t xml:space="preserve">UTH-0441</w:t>
      </w:r>
      <w:r>
        <w:t xml:space="preserve"> </w:t>
      </w:r>
      <w:r>
        <w:t xml:space="preserve">was issued to Pinnacle Waste Solutions, LLC and has</w:t>
      </w:r>
      <w:r>
        <w:t xml:space="preserve"> </w:t>
      </w:r>
      <w:r>
        <w:rPr>
          <w:b/>
          <w:bCs/>
        </w:rPr>
        <w:t xml:space="preserve">not been transferred to RES</w:t>
      </w:r>
      <w:r>
        <w:t xml:space="preserve"> </w:t>
      </w:r>
      <w:r>
        <w:t xml:space="preserve">despite the acquisition closing on March 15, 2022. The transfer application has been pending with the Utah Division of Waste Management for over two and a half years. Under Utah Administrative Code R315-3, permit modifications reflecting changes in ownership require Division approval before becoming effective.</w:t>
      </w:r>
    </w:p>
    <w:p>
      <w:pPr>
        <w:pStyle w:val="BodyText"/>
      </w:pPr>
      <w:r>
        <w:t xml:space="preserve">The Salt Lake City facility serves approximately</w:t>
      </w:r>
      <w:r>
        <w:t xml:space="preserve"> </w:t>
      </w:r>
      <w:r>
        <w:rPr>
          <w:b/>
          <w:bCs/>
        </w:rPr>
        <w:t xml:space="preserve">$16.2M of annual revenue</w:t>
      </w:r>
      <w:r>
        <w:t xml:space="preserve"> </w:t>
      </w:r>
      <w:r>
        <w:t xml:space="preserve">(12.7% of total), including customers Wasatch Front Petroleum Refining ($6.4M), Silver Creek Mining ($5.8M), Utah DEQ ($4.6M), Summit County ($2.9M), and others. If the Utah Division of Waste Management takes adverse action on the unresolved transfer — or if the proposed Sycamore acquisition triggers a new review — operations at this facility could be disrupted, placing this revenue at risk.</w:t>
      </w:r>
    </w:p>
    <w:bookmarkEnd w:id="34"/>
    <w:bookmarkStart w:id="35" w:name="X08d33906c4e826c2e79254dd359c6ae1cc0f751"/>
    <w:p>
      <w:pPr>
        <w:pStyle w:val="Heading3"/>
      </w:pPr>
      <w:r>
        <w:t xml:space="preserve">3.2 Wyoming Casper Permit Expired — Operating Under Timely Renewal (MEDIUM)</w:t>
      </w:r>
    </w:p>
    <w:p>
      <w:pPr>
        <w:pStyle w:val="FirstParagraph"/>
      </w:pPr>
      <w:r>
        <w:t xml:space="preserve">Wyoming hazardous waste permit</w:t>
      </w:r>
      <w:r>
        <w:t xml:space="preserve"> </w:t>
      </w:r>
      <w:r>
        <w:rPr>
          <w:b/>
          <w:bCs/>
        </w:rPr>
        <w:t xml:space="preserve">WY-HW-2019-033</w:t>
      </w:r>
      <w:r>
        <w:t xml:space="preserve"> </w:t>
      </w:r>
      <w:r>
        <w:t xml:space="preserve">for the Casper facility expired</w:t>
      </w:r>
      <w:r>
        <w:t xml:space="preserve"> </w:t>
      </w:r>
      <w:r>
        <w:rPr>
          <w:b/>
          <w:bCs/>
        </w:rPr>
        <w:t xml:space="preserve">November 30, 2024</w:t>
      </w:r>
      <w:r>
        <w:t xml:space="preserve">. The Company filed a timely renewal application on October 15, 2024, and is currently operating under Wyoming’s timely renewal provisions. The renewal has not yet been granted. The Casper facility serves the Company’s Wyoming operations, which represent approximately</w:t>
      </w:r>
      <w:r>
        <w:t xml:space="preserve"> </w:t>
      </w:r>
      <w:r>
        <w:rPr>
          <w:b/>
          <w:bCs/>
        </w:rPr>
        <w:t xml:space="preserve">$30.2M of annual revenue</w:t>
      </w:r>
      <w:r>
        <w:t xml:space="preserve"> </w:t>
      </w:r>
      <w:r>
        <w:t xml:space="preserve">(23.7% of total). Permit denial or material delay would constitute an Event of Default under the credit agreement.</w:t>
      </w:r>
    </w:p>
    <w:bookmarkEnd w:id="35"/>
    <w:bookmarkStart w:id="36" w:name="Xdb2a2da12339f5f21ba5be765ce7c52211cef7b"/>
    <w:p>
      <w:pPr>
        <w:pStyle w:val="Heading3"/>
      </w:pPr>
      <w:r>
        <w:t xml:space="preserve">3.3 Colorado RCRA Part B Permit Expires December 31, 2026 (MEDIUM)</w:t>
      </w:r>
    </w:p>
    <w:p>
      <w:pPr>
        <w:pStyle w:val="FirstParagraph"/>
      </w:pPr>
      <w:r>
        <w:t xml:space="preserve">The Grand Junction RCRA Part B permit (COD-098-2761) expires</w:t>
      </w:r>
      <w:r>
        <w:t xml:space="preserve"> </w:t>
      </w:r>
      <w:r>
        <w:rPr>
          <w:b/>
          <w:bCs/>
        </w:rPr>
        <w:t xml:space="preserve">December 31, 2026</w:t>
      </w:r>
      <w:r>
        <w:t xml:space="preserve"> </w:t>
      </w:r>
      <w:r>
        <w:t xml:space="preserve">— approximately 20 months after the target closing date. RCRA Part B permit renewals typically require</w:t>
      </w:r>
      <w:r>
        <w:t xml:space="preserve"> </w:t>
      </w:r>
      <w:r>
        <w:rPr>
          <w:b/>
          <w:bCs/>
        </w:rPr>
        <w:t xml:space="preserve">three to seven years</w:t>
      </w:r>
      <w:r>
        <w:t xml:space="preserve"> </w:t>
      </w:r>
      <w:r>
        <w:t xml:space="preserve">of regulatory review. The CIM itself cites this lengthy renewal timeline as a competitive barrier to entry. If the Company has not already initiated the renewal process, it may be at risk of operating without a valid permit at its primary facility. Management has not disclosed whether a renewal application has been filed or is in preparation.</w:t>
      </w:r>
    </w:p>
    <w:p>
      <w:r>
        <w:pict>
          <v:rect style="width:0;height:1.5pt" o:hralign="center" o:hrstd="t" o:hr="t"/>
        </w:pict>
      </w:r>
    </w:p>
    <w:bookmarkEnd w:id="36"/>
    <w:bookmarkEnd w:id="37"/>
    <w:bookmarkStart w:id="42" w:name="section-iv-customer-and-revenue"/>
    <w:p>
      <w:pPr>
        <w:pStyle w:val="Heading2"/>
      </w:pPr>
      <w:r>
        <w:t xml:space="preserve">SECTION IV — CUSTOMER AND REVENUE</w:t>
      </w:r>
    </w:p>
    <w:bookmarkStart w:id="38" w:name="X858c4444ed51681fc93df6f50310ac49c20600e"/>
    <w:p>
      <w:pPr>
        <w:pStyle w:val="Heading3"/>
      </w:pPr>
      <w:r>
        <w:t xml:space="preserve">4.1 DOE IDIQ Ceiling Exhaustion — Critical Revenue Cliff (CRITICAL)</w:t>
      </w:r>
    </w:p>
    <w:p>
      <w:pPr>
        <w:pStyle w:val="FirstParagraph"/>
      </w:pPr>
      <w:r>
        <w:t xml:space="preserve">The U.S. Department of Energy is the Company’s largest customer, representing</w:t>
      </w:r>
      <w:r>
        <w:t xml:space="preserve"> </w:t>
      </w:r>
      <w:r>
        <w:rPr>
          <w:b/>
          <w:bCs/>
        </w:rPr>
        <w:t xml:space="preserve">$24.4M (19.2%) of TTM revenue</w:t>
      </w:r>
      <w:r>
        <w:t xml:space="preserve"> </w:t>
      </w:r>
      <w:r>
        <w:t xml:space="preserve">under IDIQ Contract No. DE-EM-0005523. The contract has a</w:t>
      </w:r>
      <w:r>
        <w:t xml:space="preserve"> </w:t>
      </w:r>
      <w:r>
        <w:rPr>
          <w:b/>
          <w:bCs/>
        </w:rPr>
        <w:t xml:space="preserve">$45.0M ceiling value</w:t>
      </w:r>
      <w:r>
        <w:t xml:space="preserve"> </w:t>
      </w:r>
      <w:r>
        <w:t xml:space="preserve">and a five-year term expiring August 31, 2026. As of the data room cutoff:</w:t>
      </w:r>
    </w:p>
    <w:p>
      <w:pPr>
        <w:pStyle w:val="Compact"/>
        <w:numPr>
          <w:ilvl w:val="0"/>
          <w:numId w:val="1004"/>
        </w:numPr>
      </w:pPr>
      <w:r>
        <w:rPr>
          <w:b/>
          <w:bCs/>
        </w:rPr>
        <w:t xml:space="preserve">$32.7M</w:t>
      </w:r>
      <w:r>
        <w:t xml:space="preserve"> </w:t>
      </w:r>
      <w:r>
        <w:t xml:space="preserve">of the ceiling has been consumed (72.7%) in</w:t>
      </w:r>
      <w:r>
        <w:t xml:space="preserve"> </w:t>
      </w:r>
      <w:r>
        <w:rPr>
          <w:b/>
          <w:bCs/>
        </w:rPr>
        <w:t xml:space="preserve">61.7%</w:t>
      </w:r>
      <w:r>
        <w:t xml:space="preserve"> </w:t>
      </w:r>
      <w:r>
        <w:t xml:space="preserve">of the contract period.</w:t>
      </w:r>
    </w:p>
    <w:p>
      <w:pPr>
        <w:pStyle w:val="Compact"/>
        <w:numPr>
          <w:ilvl w:val="0"/>
          <w:numId w:val="1004"/>
        </w:numPr>
      </w:pPr>
      <w:r>
        <w:rPr>
          <w:b/>
          <w:bCs/>
        </w:rPr>
        <w:t xml:space="preserve">Only $12.3M</w:t>
      </w:r>
      <w:r>
        <w:t xml:space="preserve"> </w:t>
      </w:r>
      <w:r>
        <w:t xml:space="preserve">of ceiling remains for new task order issuance.</w:t>
      </w:r>
    </w:p>
    <w:p>
      <w:pPr>
        <w:pStyle w:val="Compact"/>
        <w:numPr>
          <w:ilvl w:val="0"/>
          <w:numId w:val="1004"/>
        </w:numPr>
      </w:pPr>
      <w:r>
        <w:t xml:space="preserve">At the current run rate of approximately</w:t>
      </w:r>
      <w:r>
        <w:t xml:space="preserve"> </w:t>
      </w:r>
      <w:r>
        <w:rPr>
          <w:b/>
          <w:bCs/>
        </w:rPr>
        <w:t xml:space="preserve">$2.03M/month</w:t>
      </w:r>
      <w:r>
        <w:t xml:space="preserve">, the remaining ceiling will be</w:t>
      </w:r>
      <w:r>
        <w:t xml:space="preserve"> </w:t>
      </w:r>
      <w:r>
        <w:rPr>
          <w:b/>
          <w:bCs/>
        </w:rPr>
        <w:t xml:space="preserve">exhausted by approximately April–May 2025</w:t>
      </w:r>
      <w:r>
        <w:t xml:space="preserve"> </w:t>
      </w:r>
      <w:r>
        <w:t xml:space="preserve">— coinciding with the target closing date.</w:t>
      </w:r>
    </w:p>
    <w:p>
      <w:pPr>
        <w:pStyle w:val="Compact"/>
        <w:numPr>
          <w:ilvl w:val="0"/>
          <w:numId w:val="1004"/>
        </w:numPr>
      </w:pPr>
      <w:r>
        <w:t xml:space="preserve">The contract does not expire until August 31, 2026, leaving approximately</w:t>
      </w:r>
      <w:r>
        <w:t xml:space="preserve"> </w:t>
      </w:r>
      <w:r>
        <w:rPr>
          <w:b/>
          <w:bCs/>
        </w:rPr>
        <w:t xml:space="preserve">16 months of unfunded contract period</w:t>
      </w:r>
      <w:r>
        <w:t xml:space="preserve"> </w:t>
      </w:r>
      <w:r>
        <w:t xml:space="preserve">if the ceiling is not increased.</w:t>
      </w:r>
    </w:p>
    <w:p>
      <w:pPr>
        <w:pStyle w:val="FirstParagraph"/>
      </w:pPr>
      <w:r>
        <w:t xml:space="preserve">If the ceiling is not modified or a new contract is not awarded,</w:t>
      </w:r>
      <w:r>
        <w:t xml:space="preserve"> </w:t>
      </w:r>
      <w:r>
        <w:rPr>
          <w:b/>
          <w:bCs/>
        </w:rPr>
        <w:t xml:space="preserve">FY2025 DOE revenue could decline from $24.4M to ≤$12.3M</w:t>
      </w:r>
      <w:r>
        <w:t xml:space="preserve"> </w:t>
      </w:r>
      <w:r>
        <w:t xml:space="preserve">— a revenue headwind of approximately</w:t>
      </w:r>
      <w:r>
        <w:t xml:space="preserve"> </w:t>
      </w:r>
      <w:r>
        <w:rPr>
          <w:b/>
          <w:bCs/>
        </w:rPr>
        <w:t xml:space="preserve">$12.1M (9.5% of total revenue)</w:t>
      </w:r>
      <w:r>
        <w:t xml:space="preserve">. At the stated 8–9× multiple, this implies</w:t>
      </w:r>
      <w:r>
        <w:t xml:space="preserve"> </w:t>
      </w:r>
      <w:r>
        <w:rPr>
          <w:b/>
          <w:bCs/>
        </w:rPr>
        <w:t xml:space="preserve">$97–109M of enterprise value at risk</w:t>
      </w:r>
      <w:r>
        <w:t xml:space="preserve"> </w:t>
      </w:r>
      <w:r>
        <w:t xml:space="preserve">from this single issue alone.</w:t>
      </w:r>
    </w:p>
    <w:p>
      <w:pPr>
        <w:pStyle w:val="BodyText"/>
      </w:pPr>
      <w:r>
        <w:t xml:space="preserve">Management has not disclosed any ceiling modification request, pending task orders, or new contract award. Buyer must obtain confirmation from the DOE Contracting Officer before closing.</w:t>
      </w:r>
    </w:p>
    <w:bookmarkEnd w:id="38"/>
    <w:bookmarkStart w:id="39" w:name="X8320f9c75ba163af6ad97cc998fcd483c475810"/>
    <w:p>
      <w:pPr>
        <w:pStyle w:val="Heading3"/>
      </w:pPr>
      <w:r>
        <w:t xml:space="preserve">4.2 DOE Contract Non-Assignability and Novation Requirement (HIGH)</w:t>
      </w:r>
    </w:p>
    <w:p>
      <w:pPr>
        <w:pStyle w:val="FirstParagraph"/>
      </w:pPr>
      <w:r>
        <w:t xml:space="preserve">The DOE contract is subject to the</w:t>
      </w:r>
      <w:r>
        <w:t xml:space="preserve"> </w:t>
      </w:r>
      <w:r>
        <w:rPr>
          <w:b/>
          <w:bCs/>
        </w:rPr>
        <w:t xml:space="preserve">Anti-Assignment Act (41 U.S.C. §6305)</w:t>
      </w:r>
      <w:r>
        <w:t xml:space="preserve"> </w:t>
      </w:r>
      <w:r>
        <w:t xml:space="preserve">and is non-assignable without prior written consent of the Contracting Officer. The contract’s Special Contract Requirements (Clause H-12) require the contractor to notify the Contracting Officer in writing within</w:t>
      </w:r>
      <w:r>
        <w:t xml:space="preserve"> </w:t>
      </w:r>
      <w:r>
        <w:rPr>
          <w:b/>
          <w:bCs/>
        </w:rPr>
        <w:t xml:space="preserve">30 calendar days</w:t>
      </w:r>
      <w:r>
        <w:t xml:space="preserve"> </w:t>
      </w:r>
      <w:r>
        <w:t xml:space="preserve">of any change in ownership or control. Failure to provide timely notification may be grounds for</w:t>
      </w:r>
      <w:r>
        <w:t xml:space="preserve"> </w:t>
      </w:r>
      <w:r>
        <w:rPr>
          <w:b/>
          <w:bCs/>
        </w:rPr>
        <w:t xml:space="preserve">termination for default</w:t>
      </w:r>
      <w:r>
        <w:t xml:space="preserve">.</w:t>
      </w:r>
    </w:p>
    <w:p>
      <w:pPr>
        <w:pStyle w:val="BodyText"/>
      </w:pPr>
      <w:r>
        <w:t xml:space="preserve">While a stock acquisition of RES may not technically constitute an assignment of the contract, the Government may require a</w:t>
      </w:r>
      <w:r>
        <w:t xml:space="preserve"> </w:t>
      </w:r>
      <w:r>
        <w:rPr>
          <w:b/>
          <w:bCs/>
        </w:rPr>
        <w:t xml:space="preserve">novation agreement</w:t>
      </w:r>
      <w:r>
        <w:t xml:space="preserve"> </w:t>
      </w:r>
      <w:r>
        <w:t xml:space="preserve">executed by the Government, RES, and Sycamore. Buyer should engage the DOE Contracting Officer well in advance of closing to determine novation requirements and obtain any necessary approvals.</w:t>
      </w:r>
    </w:p>
    <w:bookmarkEnd w:id="39"/>
    <w:bookmarkStart w:id="40" w:name="Xa7f02204b891f28b94fb2214c9de6a46f5720fb"/>
    <w:p>
      <w:pPr>
        <w:pStyle w:val="Heading3"/>
      </w:pPr>
      <w:r>
        <w:t xml:space="preserve">4.3 Customer Concentration and Contract Consent Requirements (HIGH)</w:t>
      </w:r>
    </w:p>
    <w:p>
      <w:pPr>
        <w:pStyle w:val="FirstParagraph"/>
      </w:pPr>
      <w:r>
        <w:t xml:space="preserve">The top 5 customers represent</w:t>
      </w:r>
      <w:r>
        <w:t xml:space="preserve"> </w:t>
      </w:r>
      <w:r>
        <w:rPr>
          <w:b/>
          <w:bCs/>
        </w:rPr>
        <w:t xml:space="preserve">50.4% of revenue</w:t>
      </w:r>
      <w:r>
        <w:t xml:space="preserve"> </w:t>
      </w:r>
      <w:r>
        <w:t xml:space="preserve">and the top 10 represent</w:t>
      </w:r>
      <w:r>
        <w:t xml:space="preserve"> </w:t>
      </w:r>
      <w:r>
        <w:rPr>
          <w:b/>
          <w:bCs/>
        </w:rPr>
        <w:t xml:space="preserve">67.0%</w:t>
      </w:r>
      <w:r>
        <w:t xml:space="preserve">. Eight of the top 20 customer contracts contain assignment, change-of-control, or notification provisions requiring consent or action in connection with the proposed transaction: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Customer</w:t>
            </w:r>
          </w:p>
        </w:tc>
        <w:tc>
          <w:tcPr/>
          <w:p>
            <w:pPr>
              <w:pStyle w:val="Compact"/>
              <w:jc w:val="left"/>
            </w:pPr>
            <w:r>
              <w:t xml:space="preserve">Revenue</w:t>
            </w:r>
          </w:p>
        </w:tc>
        <w:tc>
          <w:tcPr/>
          <w:p>
            <w:pPr>
              <w:pStyle w:val="Compact"/>
              <w:jc w:val="left"/>
            </w:pPr>
            <w:r>
              <w:t xml:space="preserve">Provision</w:t>
            </w:r>
          </w:p>
        </w:tc>
      </w:tr>
      <w:tr>
        <w:tc>
          <w:tcPr/>
          <w:p>
            <w:pPr>
              <w:pStyle w:val="Compact"/>
              <w:jc w:val="left"/>
            </w:pPr>
            <w:r>
              <w:t xml:space="preserve">U.S. Department of Energy</w:t>
            </w:r>
          </w:p>
        </w:tc>
        <w:tc>
          <w:tcPr/>
          <w:p>
            <w:pPr>
              <w:pStyle w:val="Compact"/>
              <w:jc w:val="left"/>
            </w:pPr>
            <w:r>
              <w:t xml:space="preserve">$24.4M</w:t>
            </w:r>
          </w:p>
        </w:tc>
        <w:tc>
          <w:tcPr/>
          <w:p>
            <w:pPr>
              <w:pStyle w:val="Compact"/>
              <w:jc w:val="left"/>
            </w:pPr>
            <w:r>
              <w:t xml:space="preserve">Non-assignable; novation required</w:t>
            </w:r>
          </w:p>
        </w:tc>
      </w:tr>
      <w:tr>
        <w:tc>
          <w:tcPr/>
          <w:p>
            <w:pPr>
              <w:pStyle w:val="Compact"/>
              <w:jc w:val="left"/>
            </w:pPr>
            <w:r>
              <w:t xml:space="preserve">Intermountain Health Systems</w:t>
            </w:r>
          </w:p>
        </w:tc>
        <w:tc>
          <w:tcPr/>
          <w:p>
            <w:pPr>
              <w:pStyle w:val="Compact"/>
              <w:jc w:val="left"/>
            </w:pPr>
            <w:r>
              <w:t xml:space="preserve">$7.1M</w:t>
            </w:r>
          </w:p>
        </w:tc>
        <w:tc>
          <w:tcPr/>
          <w:p>
            <w:pPr>
              <w:pStyle w:val="Compact"/>
              <w:jc w:val="left"/>
            </w:pPr>
            <w:r>
              <w:t xml:space="preserve">Prior written consent required</w:t>
            </w:r>
          </w:p>
        </w:tc>
      </w:tr>
      <w:tr>
        <w:tc>
          <w:tcPr/>
          <w:p>
            <w:pPr>
              <w:pStyle w:val="Compact"/>
              <w:jc w:val="left"/>
            </w:pPr>
            <w:r>
              <w:t xml:space="preserve">Utah DEQ</w:t>
            </w:r>
          </w:p>
        </w:tc>
        <w:tc>
          <w:tcPr/>
          <w:p>
            <w:pPr>
              <w:pStyle w:val="Compact"/>
              <w:jc w:val="left"/>
            </w:pPr>
            <w:r>
              <w:t xml:space="preserve">$4.6M</w:t>
            </w:r>
          </w:p>
        </w:tc>
        <w:tc>
          <w:tcPr/>
          <w:p>
            <w:pPr>
              <w:pStyle w:val="Compact"/>
              <w:jc w:val="left"/>
            </w:pPr>
            <w:r>
              <w:t xml:space="preserve">State termination right on change of ownership</w:t>
            </w:r>
          </w:p>
        </w:tc>
      </w:tr>
      <w:tr>
        <w:tc>
          <w:tcPr/>
          <w:p>
            <w:pPr>
              <w:pStyle w:val="Compact"/>
              <w:jc w:val="left"/>
            </w:pPr>
            <w:r>
              <w:t xml:space="preserve">Rocky Mountain Pipeline</w:t>
            </w:r>
          </w:p>
        </w:tc>
        <w:tc>
          <w:tcPr/>
          <w:p>
            <w:pPr>
              <w:pStyle w:val="Compact"/>
              <w:jc w:val="left"/>
            </w:pPr>
            <w:r>
              <w:t xml:space="preserve">$4.2M</w:t>
            </w:r>
          </w:p>
        </w:tc>
        <w:tc>
          <w:tcPr/>
          <w:p>
            <w:pPr>
              <w:pStyle w:val="Compact"/>
              <w:jc w:val="left"/>
            </w:pPr>
            <w:r>
              <w:t xml:space="preserve">Prior written consent; 30-day notification</w:t>
            </w:r>
          </w:p>
        </w:tc>
      </w:tr>
      <w:tr>
        <w:tc>
          <w:tcPr/>
          <w:p>
            <w:pPr>
              <w:pStyle w:val="Compact"/>
              <w:jc w:val="left"/>
            </w:pPr>
            <w:r>
              <w:t xml:space="preserve">Colorado DOT</w:t>
            </w:r>
          </w:p>
        </w:tc>
        <w:tc>
          <w:tcPr/>
          <w:p>
            <w:pPr>
              <w:pStyle w:val="Compact"/>
              <w:jc w:val="left"/>
            </w:pPr>
            <w:r>
              <w:t xml:space="preserve">$3.9M</w:t>
            </w:r>
          </w:p>
        </w:tc>
        <w:tc>
          <w:tcPr/>
          <w:p>
            <w:pPr>
              <w:pStyle w:val="Compact"/>
              <w:jc w:val="left"/>
            </w:pPr>
            <w:r>
              <w:t xml:space="preserve">Prior written consent required</w:t>
            </w:r>
          </w:p>
        </w:tc>
      </w:tr>
      <w:tr>
        <w:tc>
          <w:tcPr/>
          <w:p>
            <w:pPr>
              <w:pStyle w:val="Compact"/>
              <w:jc w:val="left"/>
            </w:pPr>
            <w:r>
              <w:t xml:space="preserve">Bridger Valley Ranches</w:t>
            </w:r>
          </w:p>
        </w:tc>
        <w:tc>
          <w:tcPr/>
          <w:p>
            <w:pPr>
              <w:pStyle w:val="Compact"/>
              <w:jc w:val="left"/>
            </w:pPr>
            <w:r>
              <w:t xml:space="preserve">$4.1M</w:t>
            </w:r>
          </w:p>
        </w:tc>
        <w:tc>
          <w:tcPr/>
          <w:p>
            <w:pPr>
              <w:pStyle w:val="Compact"/>
              <w:jc w:val="left"/>
            </w:pPr>
            <w:r>
              <w:t xml:space="preserve">Mutual written consent</w:t>
            </w:r>
          </w:p>
        </w:tc>
      </w:tr>
      <w:tr>
        <w:tc>
          <w:tcPr/>
          <w:p>
            <w:pPr>
              <w:pStyle w:val="Compact"/>
              <w:jc w:val="left"/>
            </w:pPr>
            <w:r>
              <w:t xml:space="preserve">Frontier E&amp;P</w:t>
            </w:r>
          </w:p>
        </w:tc>
        <w:tc>
          <w:tcPr/>
          <w:p>
            <w:pPr>
              <w:pStyle w:val="Compact"/>
              <w:jc w:val="left"/>
            </w:pPr>
            <w:r>
              <w:t xml:space="preserve">$2.6M</w:t>
            </w:r>
          </w:p>
        </w:tc>
        <w:tc>
          <w:tcPr/>
          <w:p>
            <w:pPr>
              <w:pStyle w:val="Compact"/>
              <w:jc w:val="left"/>
            </w:pPr>
            <w:r>
              <w:t xml:space="preserve">Prior written consent; 30-day notification</w:t>
            </w:r>
          </w:p>
        </w:tc>
      </w:tr>
      <w:tr>
        <w:tc>
          <w:tcPr/>
          <w:p>
            <w:pPr>
              <w:pStyle w:val="Compact"/>
              <w:jc w:val="left"/>
            </w:pPr>
            <w:r>
              <w:t xml:space="preserve">Teton Steel</w:t>
            </w:r>
          </w:p>
        </w:tc>
        <w:tc>
          <w:tcPr/>
          <w:p>
            <w:pPr>
              <w:pStyle w:val="Compact"/>
              <w:jc w:val="left"/>
            </w:pPr>
            <w:r>
              <w:t xml:space="preserve">$2.1M</w:t>
            </w:r>
          </w:p>
        </w:tc>
        <w:tc>
          <w:tcPr/>
          <w:p>
            <w:pPr>
              <w:pStyle w:val="Compact"/>
              <w:jc w:val="left"/>
            </w:pPr>
            <w:r>
              <w:t xml:space="preserve">Mutual written consent</w:t>
            </w:r>
          </w:p>
        </w:tc>
      </w:tr>
    </w:tbl>
    <w:p>
      <w:pPr>
        <w:pStyle w:val="BodyText"/>
      </w:pPr>
      <w:r>
        <w:t xml:space="preserve">Failure to obtain required consents before closing could result in contract terminations or defaults.</w:t>
      </w:r>
    </w:p>
    <w:bookmarkEnd w:id="40"/>
    <w:bookmarkStart w:id="41" w:name="X369e002fe6d22133ab89adf3c145771431e1353"/>
    <w:p>
      <w:pPr>
        <w:pStyle w:val="Heading3"/>
      </w:pPr>
      <w:r>
        <w:t xml:space="preserve">4.4 Intermountain Health Systems Contract Expiring at Closing (HIGH)</w:t>
      </w:r>
    </w:p>
    <w:p>
      <w:pPr>
        <w:pStyle w:val="FirstParagraph"/>
      </w:pPr>
      <w:r>
        <w:t xml:space="preserve">The Intermountain Health Systems contract ($7.1M, 5.6% of revenue) expires</w:t>
      </w:r>
      <w:r>
        <w:t xml:space="preserve"> </w:t>
      </w:r>
      <w:r>
        <w:rPr>
          <w:b/>
          <w:bCs/>
        </w:rPr>
        <w:t xml:space="preserve">June 30, 2025</w:t>
      </w:r>
      <w:r>
        <w:t xml:space="preserve"> </w:t>
      </w:r>
      <w:r>
        <w:t xml:space="preserve">— approximately two months after the target closing date of April 30, 2025. The contract includes a two-year renewal option requiring</w:t>
      </w:r>
      <w:r>
        <w:t xml:space="preserve"> </w:t>
      </w:r>
      <w:r>
        <w:rPr>
          <w:b/>
          <w:bCs/>
        </w:rPr>
        <w:t xml:space="preserve">120 days’ advance notice</w:t>
      </w:r>
      <w:r>
        <w:t xml:space="preserve"> </w:t>
      </w:r>
      <w:r>
        <w:t xml:space="preserve">before expiration. The renewal decision is expected in February 2025. If the renewal notice deadline has passed or if the customer elects not to renew, this revenue will be lost shortly after closing.</w:t>
      </w:r>
    </w:p>
    <w:p>
      <w:r>
        <w:pict>
          <v:rect style="width:0;height:1.5pt" o:hralign="center" o:hrstd="t" o:hr="t"/>
        </w:pict>
      </w:r>
    </w:p>
    <w:bookmarkEnd w:id="41"/>
    <w:bookmarkEnd w:id="42"/>
    <w:bookmarkStart w:id="47" w:name="section-v-legal-and-litigation"/>
    <w:p>
      <w:pPr>
        <w:pStyle w:val="Heading2"/>
      </w:pPr>
      <w:r>
        <w:t xml:space="preserve">SECTION V — LEGAL AND LITIGATION</w:t>
      </w:r>
    </w:p>
    <w:bookmarkStart w:id="43" w:name="Xc2a3906c7bb654b90c5272dee5e94d6b74ab9ea"/>
    <w:p>
      <w:pPr>
        <w:pStyle w:val="Heading3"/>
      </w:pPr>
      <w:r>
        <w:t xml:space="preserve">5.1 Ramirez Personal Injury Action — Coverage Uncertain (HIGH)</w:t>
      </w:r>
    </w:p>
    <w:p>
      <w:pPr>
        <w:pStyle w:val="FirstParagraph"/>
      </w:pPr>
      <w:r>
        <w:rPr>
          <w:i/>
          <w:iCs/>
        </w:rPr>
        <w:t xml:space="preserve">Ramirez v. Ridgeline Environmental Services, Inc.</w:t>
      </w:r>
      <w:r>
        <w:t xml:space="preserve"> </w:t>
      </w:r>
      <w:r>
        <w:t xml:space="preserve">(D. Wyo. Case No. 2:24-cv-00187) is a personal injury action filed August 12, 2024, by a former field technician alleging VOC and heavy metal exposure at a Sheridan, Wyoming remediation site without adequate PPE. The plaintiff seeks</w:t>
      </w:r>
      <w:r>
        <w:t xml:space="preserve"> </w:t>
      </w:r>
      <w:r>
        <w:rPr>
          <w:b/>
          <w:bCs/>
        </w:rPr>
        <w:t xml:space="preserve">$4.8M</w:t>
      </w:r>
      <w:r>
        <w:t xml:space="preserve"> </w:t>
      </w:r>
      <w:r>
        <w:t xml:space="preserve">in damages including punitive damages. Management estimates exposure at</w:t>
      </w:r>
      <w:r>
        <w:t xml:space="preserve"> </w:t>
      </w:r>
      <w:r>
        <w:rPr>
          <w:b/>
          <w:bCs/>
        </w:rPr>
        <w:t xml:space="preserve">$500K–$1.5M</w:t>
      </w:r>
      <w:r>
        <w:t xml:space="preserve">.</w:t>
      </w:r>
    </w:p>
    <w:p>
      <w:pPr>
        <w:pStyle w:val="BodyText"/>
      </w:pPr>
      <w:r>
        <w:t xml:space="preserve">The insurer (Frontier Specialty Insurance Group) has issued a</w:t>
      </w:r>
      <w:r>
        <w:t xml:space="preserve"> </w:t>
      </w:r>
      <w:r>
        <w:rPr>
          <w:b/>
          <w:bCs/>
        </w:rPr>
        <w:t xml:space="preserve">reservation of rights letter</w:t>
      </w:r>
      <w:r>
        <w:t xml:space="preserve"> </w:t>
      </w:r>
      <w:r>
        <w:t xml:space="preserve">dated September 19, 2024, and a coverage determination remains pending. If coverage is denied under both the CGL and pollution liability policies, the full exposure would be uninsured. The case has a trial date of February 2026 and will not be resolved before closing.</w:t>
      </w:r>
    </w:p>
    <w:bookmarkEnd w:id="43"/>
    <w:bookmarkStart w:id="44" w:name="Xd8ca5547782ae6944ea237ff25fda47116b0d01"/>
    <w:p>
      <w:pPr>
        <w:pStyle w:val="Heading3"/>
      </w:pPr>
      <w:r>
        <w:t xml:space="preserve">5.2 OSHA Recordkeeping Citations — TRIR Reliability (MEDIUM)</w:t>
      </w:r>
    </w:p>
    <w:p>
      <w:pPr>
        <w:pStyle w:val="FirstParagraph"/>
      </w:pPr>
      <w:r>
        <w:t xml:space="preserve">In March 2024, OSHA cited the Company for failure to timely record</w:t>
      </w:r>
      <w:r>
        <w:t xml:space="preserve"> </w:t>
      </w:r>
      <w:r>
        <w:rPr>
          <w:b/>
          <w:bCs/>
        </w:rPr>
        <w:t xml:space="preserve">three recordable injuries</w:t>
      </w:r>
      <w:r>
        <w:t xml:space="preserve"> </w:t>
      </w:r>
      <w:r>
        <w:t xml:space="preserve">in calendar year 2023 at the Grand Junction and Casper facilities. The Company paid $4,580 in penalties. This raises questions about the accuracy of the Company’s reported Total Recordable Incident Rate (TRIR) of 2.8 for FY2024, which is presented in the CIM as evidence of a strong safety record. If the TRIR is understated due to recordkeeping deficiencies, the Company’s safety profile and workers’ compensation Experience Modification Rate may be more adverse than presented.</w:t>
      </w:r>
    </w:p>
    <w:bookmarkEnd w:id="44"/>
    <w:bookmarkStart w:id="45" w:name="former-employee-wage-claim-medium"/>
    <w:p>
      <w:pPr>
        <w:pStyle w:val="Heading3"/>
      </w:pPr>
      <w:r>
        <w:t xml:space="preserve">5.3 Former Employee Wage Claim (MEDIUM)</w:t>
      </w:r>
    </w:p>
    <w:p>
      <w:pPr>
        <w:pStyle w:val="FirstParagraph"/>
      </w:pPr>
      <w:r>
        <w:t xml:space="preserve">In October 2024, RES received a demand letter from counsel representing</w:t>
      </w:r>
      <w:r>
        <w:t xml:space="preserve"> </w:t>
      </w:r>
      <w:r>
        <w:rPr>
          <w:b/>
          <w:bCs/>
        </w:rPr>
        <w:t xml:space="preserve">eight former asbestos abatement employees</w:t>
      </w:r>
      <w:r>
        <w:t xml:space="preserve"> </w:t>
      </w:r>
      <w:r>
        <w:t xml:space="preserve">alleging unpaid overtime in violation of the FLSA and Colorado COMPS Order. The demand claims approximately</w:t>
      </w:r>
      <w:r>
        <w:t xml:space="preserve"> </w:t>
      </w:r>
      <w:r>
        <w:rPr>
          <w:b/>
          <w:bCs/>
        </w:rPr>
        <w:t xml:space="preserve">$330,000</w:t>
      </w:r>
      <w:r>
        <w:t xml:space="preserve"> </w:t>
      </w:r>
      <w:r>
        <w:t xml:space="preserve">(including FLSA liquidated damages). No lawsuit has been filed. Management estimates exposure at $100–200K and believes the motor carrier exemption applies to most claimants. Buyer should obtain employment counsel analysis and require indemnification.</w:t>
      </w:r>
    </w:p>
    <w:bookmarkEnd w:id="45"/>
    <w:bookmarkStart w:id="46" w:name="Xca6bf344cf0cf943ae6382039d09b794bd42452"/>
    <w:p>
      <w:pPr>
        <w:pStyle w:val="Heading3"/>
      </w:pPr>
      <w:r>
        <w:t xml:space="preserve">5.4 NLRB Union Election Petition — Material Omission (HIGH)</w:t>
      </w:r>
    </w:p>
    <w:p>
      <w:pPr>
        <w:pStyle w:val="FirstParagraph"/>
      </w:pPr>
      <w:r>
        <w:t xml:space="preserve">On</w:t>
      </w:r>
      <w:r>
        <w:t xml:space="preserve"> </w:t>
      </w:r>
      <w:r>
        <w:rPr>
          <w:b/>
          <w:bCs/>
        </w:rPr>
        <w:t xml:space="preserve">November 4, 2024</w:t>
      </w:r>
      <w:r>
        <w:t xml:space="preserve">, the International Brotherhood of Teamsters Local 455 filed an NLRB election petition covering</w:t>
      </w:r>
      <w:r>
        <w:t xml:space="preserve"> </w:t>
      </w:r>
      <w:r>
        <w:rPr>
          <w:b/>
          <w:bCs/>
        </w:rPr>
        <w:t xml:space="preserve">62 field technicians</w:t>
      </w:r>
      <w:r>
        <w:t xml:space="preserve"> </w:t>
      </w:r>
      <w:r>
        <w:t xml:space="preserve">at the Grand Junction and Casper facilities. This matter is disclosed only in a</w:t>
      </w:r>
      <w:r>
        <w:t xml:space="preserve"> </w:t>
      </w:r>
      <w:r>
        <w:rPr>
          <w:b/>
          <w:bCs/>
        </w:rPr>
        <w:t xml:space="preserve">footnote</w:t>
      </w:r>
      <w:r>
        <w:t xml:space="preserve"> </w:t>
      </w:r>
      <w:r>
        <w:t xml:space="preserve">of the Employee Benefits Summary and is</w:t>
      </w:r>
      <w:r>
        <w:t xml:space="preserve"> </w:t>
      </w:r>
      <w:r>
        <w:rPr>
          <w:b/>
          <w:bCs/>
        </w:rPr>
        <w:t xml:space="preserve">not mentioned</w:t>
      </w:r>
      <w:r>
        <w:t xml:space="preserve"> </w:t>
      </w:r>
      <w:r>
        <w:t xml:space="preserve">in the CIM, the Litigation and Regulatory Summary, or any other primary data room document.</w:t>
      </w:r>
    </w:p>
    <w:p>
      <w:pPr>
        <w:pStyle w:val="BodyText"/>
      </w:pPr>
      <w:r>
        <w:t xml:space="preserve">This is a material omission. The 62 employees represent approximately</w:t>
      </w:r>
      <w:r>
        <w:t xml:space="preserve"> </w:t>
      </w:r>
      <w:r>
        <w:rPr>
          <w:b/>
          <w:bCs/>
        </w:rPr>
        <w:t xml:space="preserve">13% of the total workforce</w:t>
      </w:r>
      <w:r>
        <w:t xml:space="preserve"> </w:t>
      </w:r>
      <w:r>
        <w:t xml:space="preserve">at the Company’s two largest and most operationally critical facilities. Union certification could result in:</w:t>
      </w:r>
    </w:p>
    <w:p>
      <w:pPr>
        <w:pStyle w:val="Compact"/>
        <w:numPr>
          <w:ilvl w:val="0"/>
          <w:numId w:val="1005"/>
        </w:numPr>
      </w:pPr>
      <w:r>
        <w:t xml:space="preserve">Increased labour costs through collective bargaining</w:t>
      </w:r>
    </w:p>
    <w:p>
      <w:pPr>
        <w:pStyle w:val="Compact"/>
        <w:numPr>
          <w:ilvl w:val="0"/>
          <w:numId w:val="1005"/>
        </w:numPr>
      </w:pPr>
      <w:r>
        <w:t xml:space="preserve">Reduced operational flexibility in workforce deployment</w:t>
      </w:r>
    </w:p>
    <w:p>
      <w:pPr>
        <w:pStyle w:val="Compact"/>
        <w:numPr>
          <w:ilvl w:val="0"/>
          <w:numId w:val="1005"/>
        </w:numPr>
      </w:pPr>
      <w:r>
        <w:t xml:space="preserve">Potential work stoppages or slowdowns</w:t>
      </w:r>
    </w:p>
    <w:p>
      <w:pPr>
        <w:pStyle w:val="Compact"/>
        <w:numPr>
          <w:ilvl w:val="0"/>
          <w:numId w:val="1005"/>
        </w:numPr>
      </w:pPr>
      <w:r>
        <w:t xml:space="preserve">Complications for post-closing integration</w:t>
      </w:r>
    </w:p>
    <w:p>
      <w:pPr>
        <w:pStyle w:val="FirstParagraph"/>
      </w:pPr>
      <w:r>
        <w:t xml:space="preserve">Buyer should require full disclosure of the NLRB petition in the SPA representations and warranties and obtain an independent assessment of the likelihood of union certification.</w:t>
      </w:r>
    </w:p>
    <w:p>
      <w:r>
        <w:pict>
          <v:rect style="width:0;height:1.5pt" o:hralign="center" o:hrstd="t" o:hr="t"/>
        </w:pict>
      </w:r>
    </w:p>
    <w:bookmarkEnd w:id="46"/>
    <w:bookmarkEnd w:id="47"/>
    <w:bookmarkStart w:id="52" w:name="section-vi-real-property-and-leases"/>
    <w:p>
      <w:pPr>
        <w:pStyle w:val="Heading2"/>
      </w:pPr>
      <w:r>
        <w:t xml:space="preserve">SECTION VI — REAL PROPERTY AND LEASES</w:t>
      </w:r>
    </w:p>
    <w:bookmarkStart w:id="48" w:name="Xada3a15cac929592671a223efa2801136998b89"/>
    <w:p>
      <w:pPr>
        <w:pStyle w:val="Heading3"/>
      </w:pPr>
      <w:r>
        <w:t xml:space="preserve">6.1 Salt Lake City Lease — Unresolved Assignment and Second Change-of-Control Event (CRITICAL)</w:t>
      </w:r>
    </w:p>
    <w:p>
      <w:pPr>
        <w:pStyle w:val="FirstParagraph"/>
      </w:pPr>
      <w:r>
        <w:t xml:space="preserve">The Salt Lake City transfer station lease (2100 West North Temple, Salt Lake City, UT 84116) was executed by</w:t>
      </w:r>
      <w:r>
        <w:t xml:space="preserve"> </w:t>
      </w:r>
      <w:r>
        <w:rPr>
          <w:b/>
          <w:bCs/>
        </w:rPr>
        <w:t xml:space="preserve">Pinnacle Waste Solutions, LLC</w:t>
      </w:r>
      <w:r>
        <w:t xml:space="preserve"> </w:t>
      </w:r>
      <w:r>
        <w:t xml:space="preserve">in April 2019. Section 14 of the lease defines any change of control of the tenant as an assignment requiring landlord consent. Following the Pinnacle acquisition in March 2022, RES submitted a consent request to landlord Wasatch Industrial Properties, LLC on April 12, 2022. As of December 2024 —</w:t>
      </w:r>
      <w:r>
        <w:t xml:space="preserve"> </w:t>
      </w:r>
      <w:r>
        <w:rPr>
          <w:b/>
          <w:bCs/>
        </w:rPr>
        <w:t xml:space="preserve">over 2.5 years later</w:t>
      </w:r>
      <w:r>
        <w:t xml:space="preserve"> </w:t>
      </w:r>
      <w:r>
        <w:t xml:space="preserve">— no written consent or acknowledgment has been received.</w:t>
      </w:r>
    </w:p>
    <w:p>
      <w:pPr>
        <w:pStyle w:val="BodyText"/>
      </w:pPr>
      <w:r>
        <w:t xml:space="preserve">The proposed Sycamore acquisition would constitute a</w:t>
      </w:r>
      <w:r>
        <w:t xml:space="preserve"> </w:t>
      </w:r>
      <w:r>
        <w:rPr>
          <w:b/>
          <w:bCs/>
        </w:rPr>
        <w:t xml:space="preserve">second change-of-control event</w:t>
      </w:r>
      <w:r>
        <w:t xml:space="preserve"> </w:t>
      </w:r>
      <w:r>
        <w:t xml:space="preserve">on top of the unresolved first. The landlord could:</w:t>
      </w:r>
    </w:p>
    <w:p>
      <w:pPr>
        <w:pStyle w:val="Compact"/>
        <w:numPr>
          <w:ilvl w:val="0"/>
          <w:numId w:val="1006"/>
        </w:numPr>
      </w:pPr>
      <w:r>
        <w:t xml:space="preserve">Declare the existing assignment a default and seek to terminate the lease</w:t>
      </w:r>
    </w:p>
    <w:p>
      <w:pPr>
        <w:pStyle w:val="Compact"/>
        <w:numPr>
          <w:ilvl w:val="0"/>
          <w:numId w:val="1006"/>
        </w:numPr>
      </w:pPr>
      <w:r>
        <w:t xml:space="preserve">Refuse consent to the Sycamore acquisition</w:t>
      </w:r>
    </w:p>
    <w:p>
      <w:pPr>
        <w:pStyle w:val="Compact"/>
        <w:numPr>
          <w:ilvl w:val="0"/>
          <w:numId w:val="1006"/>
        </w:numPr>
      </w:pPr>
      <w:r>
        <w:t xml:space="preserve">Use the leverage of the unresolved consent to extract economic concessions</w:t>
      </w:r>
    </w:p>
    <w:p>
      <w:pPr>
        <w:pStyle w:val="FirstParagraph"/>
      </w:pPr>
      <w:r>
        <w:t xml:space="preserve">The landlord has separately sent a</w:t>
      </w:r>
      <w:r>
        <w:t xml:space="preserve"> </w:t>
      </w:r>
      <w:r>
        <w:rPr>
          <w:b/>
          <w:bCs/>
        </w:rPr>
        <w:t xml:space="preserve">lease compliance inquiry</w:t>
      </w:r>
      <w:r>
        <w:t xml:space="preserve"> </w:t>
      </w:r>
      <w:r>
        <w:t xml:space="preserve">in November 2024 requesting confirmation of the current tenant of record — a signal that the landlord is aware of the issue and may be preparing to act. This facility is essential to approximately</w:t>
      </w:r>
      <w:r>
        <w:t xml:space="preserve"> </w:t>
      </w:r>
      <w:r>
        <w:rPr>
          <w:b/>
          <w:bCs/>
        </w:rPr>
        <w:t xml:space="preserve">$16.2M of annual revenue</w:t>
      </w:r>
      <w:r>
        <w:t xml:space="preserve"> </w:t>
      </w:r>
      <w:r>
        <w:t xml:space="preserve">and the UTH-0441 permit.</w:t>
      </w:r>
    </w:p>
    <w:bookmarkEnd w:id="48"/>
    <w:bookmarkStart w:id="49" w:name="Xf75d907949550c75b830d590e5d8a1ae4da1ba5"/>
    <w:p>
      <w:pPr>
        <w:pStyle w:val="Heading3"/>
      </w:pPr>
      <w:r>
        <w:t xml:space="preserve">6.2 Pueblo Storage Yard Lease Expiring at Closing (MEDIUM)</w:t>
      </w:r>
    </w:p>
    <w:p>
      <w:pPr>
        <w:pStyle w:val="FirstParagraph"/>
      </w:pPr>
      <w:r>
        <w:t xml:space="preserve">The Pueblo Storage Yard lease expires</w:t>
      </w:r>
      <w:r>
        <w:t xml:space="preserve"> </w:t>
      </w:r>
      <w:r>
        <w:rPr>
          <w:b/>
          <w:bCs/>
        </w:rPr>
        <w:t xml:space="preserve">April 30, 2025</w:t>
      </w:r>
      <w:r>
        <w:t xml:space="preserve"> </w:t>
      </w:r>
      <w:r>
        <w:t xml:space="preserve">— on or about the target closing date. Renewal terms are under negotiation. If the lease is not renewed, equipment and vehicles stored at the Pueblo yard must be relocated to another facility, creating operational disruption and relocation costs.</w:t>
      </w:r>
    </w:p>
    <w:bookmarkEnd w:id="49"/>
    <w:bookmarkStart w:id="50" w:name="Xf5d92dfb222021af4dd864dcba5f302df11e6dd"/>
    <w:p>
      <w:pPr>
        <w:pStyle w:val="Heading3"/>
      </w:pPr>
      <w:r>
        <w:t xml:space="preserve">6.3 Multiple Leases Require Landlord Consent for Sycamore Acquisition (MEDIUM)</w:t>
      </w:r>
    </w:p>
    <w:p>
      <w:pPr>
        <w:pStyle w:val="FirstParagraph"/>
      </w:pPr>
      <w:r>
        <w:t xml:space="preserve">Seven of the ten leased facilities contain assignment or change-of-control provisions that may require landlord consent in connection with the proposed stock acquisition. The consent solicitation process has not been disclosed as having commenced. Failure to obtain required consents before closing could result in lease defaults.</w:t>
      </w:r>
    </w:p>
    <w:bookmarkEnd w:id="50"/>
    <w:bookmarkStart w:id="51" w:name="X7e5ee34f8d997798ba20186d2822e682d2bfb43"/>
    <w:p>
      <w:pPr>
        <w:pStyle w:val="Heading3"/>
      </w:pPr>
      <w:r>
        <w:t xml:space="preserve">6.4 Grand Junction Property Appraisal Stale (MEDIUM)</w:t>
      </w:r>
    </w:p>
    <w:p>
      <w:pPr>
        <w:pStyle w:val="FirstParagraph"/>
      </w:pPr>
      <w:r>
        <w:t xml:space="preserve">The Grand Junction headquarters property was appraised at</w:t>
      </w:r>
      <w:r>
        <w:t xml:space="preserve"> </w:t>
      </w:r>
      <w:r>
        <w:rPr>
          <w:b/>
          <w:bCs/>
        </w:rPr>
        <w:t xml:space="preserve">$6.8M in March 2022</w:t>
      </w:r>
      <w:r>
        <w:t xml:space="preserve"> </w:t>
      </w:r>
      <w:r>
        <w:t xml:space="preserve">— over 2.5 years ago. The property serves as collateral for the $38.7M credit facility. No updated appraisal has been commissioned. Buyer’s acquisition financing will require a current appraisal, and the current value may differ materially from the 2022 figure given changes in commercial real estate markets and the known environmental contamination.</w:t>
      </w:r>
    </w:p>
    <w:p>
      <w:r>
        <w:pict>
          <v:rect style="width:0;height:1.5pt" o:hralign="center" o:hrstd="t" o:hr="t"/>
        </w:pict>
      </w:r>
    </w:p>
    <w:bookmarkEnd w:id="51"/>
    <w:bookmarkEnd w:id="52"/>
    <w:bookmarkStart w:id="55" w:name="section-vii-debt-and-credit-agreement"/>
    <w:p>
      <w:pPr>
        <w:pStyle w:val="Heading2"/>
      </w:pPr>
      <w:r>
        <w:t xml:space="preserve">SECTION VII — DEBT AND CREDIT AGREEMENT</w:t>
      </w:r>
    </w:p>
    <w:bookmarkStart w:id="53" w:name="X2b864e3051ecdc717cbcab67776a58bc921ca73"/>
    <w:p>
      <w:pPr>
        <w:pStyle w:val="Heading3"/>
      </w:pPr>
      <w:r>
        <w:t xml:space="preserve">7.1 Mandatory Credit Facility Repayment at Closing (HIGH)</w:t>
      </w:r>
    </w:p>
    <w:p>
      <w:pPr>
        <w:pStyle w:val="FirstParagraph"/>
      </w:pPr>
      <w:r>
        <w:t xml:space="preserve">The proposed acquisition triggers a</w:t>
      </w:r>
      <w:r>
        <w:t xml:space="preserve"> </w:t>
      </w:r>
      <w:r>
        <w:rPr>
          <w:b/>
          <w:bCs/>
        </w:rPr>
        <w:t xml:space="preserve">Change of Control</w:t>
      </w:r>
      <w:r>
        <w:t xml:space="preserve"> </w:t>
      </w:r>
      <w:r>
        <w:t xml:space="preserve">under the credit agreement with High Plains National Bank, requiring mandatory repayment of all outstanding obligations within</w:t>
      </w:r>
      <w:r>
        <w:t xml:space="preserve"> </w:t>
      </w:r>
      <w:r>
        <w:rPr>
          <w:b/>
          <w:bCs/>
        </w:rPr>
        <w:t xml:space="preserve">five business days</w:t>
      </w:r>
      <w:r>
        <w:t xml:space="preserve"> </w:t>
      </w:r>
      <w:r>
        <w:t xml:space="preserve">of closing. The credit agreement provides</w:t>
      </w:r>
      <w:r>
        <w:t xml:space="preserve"> </w:t>
      </w:r>
      <w:r>
        <w:rPr>
          <w:b/>
          <w:bCs/>
        </w:rPr>
        <w:t xml:space="preserve">no waiver or consent mechanism</w:t>
      </w:r>
      <w:r>
        <w:t xml:space="preserve"> </w:t>
      </w:r>
      <w:r>
        <w:t xml:space="preserve">— repayment is the only option. The estimated total mandatory prepayment is approximately</w:t>
      </w:r>
      <w:r>
        <w:t xml:space="preserve"> </w:t>
      </w:r>
      <w:r>
        <w:rPr>
          <w:b/>
          <w:bCs/>
        </w:rPr>
        <w:t xml:space="preserve">$39.2M</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Revolving facility principal</w:t>
            </w:r>
          </w:p>
        </w:tc>
        <w:tc>
          <w:tcPr/>
          <w:p>
            <w:pPr>
              <w:pStyle w:val="Compact"/>
              <w:jc w:val="left"/>
            </w:pPr>
            <w:r>
              <w:t xml:space="preserve">$12,400,000</w:t>
            </w:r>
          </w:p>
        </w:tc>
      </w:tr>
      <w:tr>
        <w:tc>
          <w:tcPr/>
          <w:p>
            <w:pPr>
              <w:pStyle w:val="Compact"/>
              <w:jc w:val="left"/>
            </w:pPr>
            <w:r>
              <w:t xml:space="preserve">Term loan principal</w:t>
            </w:r>
          </w:p>
        </w:tc>
        <w:tc>
          <w:tcPr/>
          <w:p>
            <w:pPr>
              <w:pStyle w:val="Compact"/>
              <w:jc w:val="left"/>
            </w:pPr>
            <w:r>
              <w:t xml:space="preserve">$26,300,000</w:t>
            </w:r>
          </w:p>
        </w:tc>
      </w:tr>
      <w:tr>
        <w:tc>
          <w:tcPr/>
          <w:p>
            <w:pPr>
              <w:pStyle w:val="Compact"/>
              <w:jc w:val="left"/>
            </w:pPr>
            <w:r>
              <w:t xml:space="preserve">Term loan prepayment premium (1.0%)</w:t>
            </w:r>
          </w:p>
        </w:tc>
        <w:tc>
          <w:tcPr/>
          <w:p>
            <w:pPr>
              <w:pStyle w:val="Compact"/>
              <w:jc w:val="left"/>
            </w:pPr>
            <w:r>
              <w:t xml:space="preserve">$263,000</w:t>
            </w:r>
          </w:p>
        </w:tc>
      </w:tr>
      <w:tr>
        <w:tc>
          <w:tcPr/>
          <w:p>
            <w:pPr>
              <w:pStyle w:val="Compact"/>
              <w:jc w:val="left"/>
            </w:pPr>
            <w:r>
              <w:t xml:space="preserve">Estimated accrued interest</w:t>
            </w:r>
          </w:p>
        </w:tc>
        <w:tc>
          <w:tcPr/>
          <w:p>
            <w:pPr>
              <w:pStyle w:val="Compact"/>
              <w:jc w:val="left"/>
            </w:pPr>
            <w:r>
              <w:t xml:space="preserve">~$200,000–$300,000</w:t>
            </w:r>
          </w:p>
        </w:tc>
      </w:tr>
      <w:tr>
        <w:tc>
          <w:tcPr/>
          <w:p>
            <w:pPr>
              <w:pStyle w:val="Compact"/>
              <w:jc w:val="left"/>
            </w:pPr>
            <w:r>
              <w:rPr>
                <w:b/>
                <w:bCs/>
              </w:rPr>
              <w:t xml:space="preserve">Estimated Total</w:t>
            </w:r>
          </w:p>
        </w:tc>
        <w:tc>
          <w:tcPr/>
          <w:p>
            <w:pPr>
              <w:pStyle w:val="Compact"/>
              <w:jc w:val="left"/>
            </w:pPr>
            <w:r>
              <w:rPr>
                <w:b/>
                <w:bCs/>
              </w:rPr>
              <w:t xml:space="preserve">~$39.2M</w:t>
            </w:r>
          </w:p>
        </w:tc>
      </w:tr>
    </w:tbl>
    <w:p>
      <w:pPr>
        <w:pStyle w:val="BodyText"/>
      </w:pPr>
      <w:r>
        <w:t xml:space="preserve">Buyer must arrange acquisition financing sufficient to repay the credit facility at closing. The LOI’s net debt adjustment addresses the principal balance but may not fully account for the prepayment premium and accrued interest.</w:t>
      </w:r>
    </w:p>
    <w:bookmarkEnd w:id="53"/>
    <w:bookmarkStart w:id="54" w:name="Xa5af2834b7d5feb7ecf9c18efc08f4f18052a71"/>
    <w:p>
      <w:pPr>
        <w:pStyle w:val="Heading3"/>
      </w:pPr>
      <w:r>
        <w:t xml:space="preserve">7.2 Key-Man Covenant — Derek Calloway Must Remain CEO (HIGH)</w:t>
      </w:r>
    </w:p>
    <w:p>
      <w:pPr>
        <w:pStyle w:val="FirstParagraph"/>
      </w:pPr>
      <w:r>
        <w:t xml:space="preserve">The credit agreement designates Derek Calloway’s departure as CEO (without a lender-approved successor within 90 days) as an</w:t>
      </w:r>
      <w:r>
        <w:t xml:space="preserve"> </w:t>
      </w:r>
      <w:r>
        <w:rPr>
          <w:b/>
          <w:bCs/>
        </w:rPr>
        <w:t xml:space="preserve">Event of Default</w:t>
      </w:r>
      <w:r>
        <w:t xml:space="preserve">. This creates a risk if Calloway departs post-closing before the credit facility is refinanced. Simultaneously, Calloway’s employment agreement contains a</w:t>
      </w:r>
      <w:r>
        <w:t xml:space="preserve"> </w:t>
      </w:r>
      <w:r>
        <w:rPr>
          <w:b/>
          <w:bCs/>
        </w:rPr>
        <w:t xml:space="preserve">single-trigger change-of-control severance</w:t>
      </w:r>
      <w:r>
        <w:t xml:space="preserve"> </w:t>
      </w:r>
      <w:r>
        <w:t xml:space="preserve">of $1,312,500 payable within 30 days of closing regardless of continued employment — creating a financial incentive for departure. Buyer should negotiate post-closing employment terms with Calloway before signing and refinance the credit facility at closing to eliminate this risk.</w:t>
      </w:r>
    </w:p>
    <w:p>
      <w:r>
        <w:pict>
          <v:rect style="width:0;height:1.5pt" o:hralign="center" o:hrstd="t" o:hr="t"/>
        </w:pict>
      </w:r>
    </w:p>
    <w:bookmarkEnd w:id="54"/>
    <w:bookmarkEnd w:id="55"/>
    <w:bookmarkStart w:id="59" w:name="X2cbffd3469382894f072b875a67308e1d6ce70a"/>
    <w:p>
      <w:pPr>
        <w:pStyle w:val="Heading2"/>
      </w:pPr>
      <w:r>
        <w:t xml:space="preserve">SECTION VIII — MANAGEMENT, GOVERNANCE, AND HUMAN CAPITAL</w:t>
      </w:r>
    </w:p>
    <w:bookmarkStart w:id="56" w:name="X4bc55a1bb25f3d2006d5edde906e3ac578d59dd"/>
    <w:p>
      <w:pPr>
        <w:pStyle w:val="Heading3"/>
      </w:pPr>
      <w:r>
        <w:t xml:space="preserve">8.1 Single-Trigger CoC Severance — Certain Closing Cost (HIGH)</w:t>
      </w:r>
    </w:p>
    <w:p>
      <w:pPr>
        <w:pStyle w:val="FirstParagraph"/>
      </w:pPr>
      <w:r>
        <w:t xml:space="preserve">The CEO and COO employment agreements contain</w:t>
      </w:r>
      <w:r>
        <w:t xml:space="preserve"> </w:t>
      </w:r>
      <w:r>
        <w:rPr>
          <w:b/>
          <w:bCs/>
        </w:rPr>
        <w:t xml:space="preserve">single-trigger</w:t>
      </w:r>
      <w:r>
        <w:t xml:space="preserve"> </w:t>
      </w:r>
      <w:r>
        <w:t xml:space="preserve">change-of-control severance provisions, meaning payment is due within 30 days of closing</w:t>
      </w:r>
      <w:r>
        <w:t xml:space="preserve"> </w:t>
      </w:r>
      <w:r>
        <w:rPr>
          <w:b/>
          <w:bCs/>
        </w:rPr>
        <w:t xml:space="preserve">regardless of whether their employment continues</w:t>
      </w:r>
      <w:r>
        <w:t xml:space="preserve">. The aggregate single-trigger obligation is</w:t>
      </w:r>
      <w:r>
        <w:t xml:space="preserve"> </w:t>
      </w:r>
      <w:r>
        <w:rPr>
          <w:b/>
          <w:bCs/>
        </w:rPr>
        <w:t xml:space="preserve">$2,625,000</w:t>
      </w:r>
      <w:r>
        <w:t xml:space="preserve"> </w:t>
      </w:r>
      <w:r>
        <w:t xml:space="preserve">($1,312,500 each). The LOI does not address whether these payments constitute</w:t>
      </w:r>
      <w:r>
        <w:t xml:space="preserve"> </w:t>
      </w:r>
      <w:r>
        <w:t xml:space="preserve">“</w:t>
      </w:r>
      <w:r>
        <w:t xml:space="preserve">Transaction Expenses</w:t>
      </w:r>
      <w:r>
        <w:t xml:space="preserve">”</w:t>
      </w:r>
      <w:r>
        <w:t xml:space="preserve"> </w:t>
      </w:r>
      <w:r>
        <w:t xml:space="preserve">(reducing the purchase price) or are buyer-borne costs. Total CoC severance across all five executives is</w:t>
      </w:r>
      <w:r>
        <w:t xml:space="preserve"> </w:t>
      </w:r>
      <w:r>
        <w:rPr>
          <w:b/>
          <w:bCs/>
        </w:rPr>
        <w:t xml:space="preserve">$3,775,000</w:t>
      </w:r>
      <w:r>
        <w:t xml:space="preserve"> </w:t>
      </w:r>
      <w:r>
        <w:t xml:space="preserve">($2,625,000 single-trigger + $1,150,000 double-trigger).</w:t>
      </w:r>
    </w:p>
    <w:bookmarkEnd w:id="56"/>
    <w:bookmarkStart w:id="57" w:name="X0350fb0f0c49f5d3a4cde3c7e457982613557c7"/>
    <w:p>
      <w:pPr>
        <w:pStyle w:val="Heading3"/>
      </w:pPr>
      <w:r>
        <w:t xml:space="preserve">8.2 Family-Controlled Board — No Independent Oversight (MEDIUM)</w:t>
      </w:r>
    </w:p>
    <w:p>
      <w:pPr>
        <w:pStyle w:val="FirstParagraph"/>
      </w:pPr>
      <w:r>
        <w:t xml:space="preserve">The Board of Directors consists solely of</w:t>
      </w:r>
      <w:r>
        <w:t xml:space="preserve"> </w:t>
      </w:r>
      <w:r>
        <w:rPr>
          <w:b/>
          <w:bCs/>
        </w:rPr>
        <w:t xml:space="preserve">Derek Calloway</w:t>
      </w:r>
      <w:r>
        <w:t xml:space="preserve"> </w:t>
      </w:r>
      <w:r>
        <w:t xml:space="preserve">(Chairman/CEO),</w:t>
      </w:r>
      <w:r>
        <w:t xml:space="preserve"> </w:t>
      </w:r>
      <w:r>
        <w:rPr>
          <w:b/>
          <w:bCs/>
        </w:rPr>
        <w:t xml:space="preserve">Jason Calloway</w:t>
      </w:r>
      <w:r>
        <w:t xml:space="preserve"> </w:t>
      </w:r>
      <w:r>
        <w:t xml:space="preserve">(COO), and</w:t>
      </w:r>
      <w:r>
        <w:t xml:space="preserve"> </w:t>
      </w:r>
      <w:r>
        <w:rPr>
          <w:b/>
          <w:bCs/>
        </w:rPr>
        <w:t xml:space="preserve">Linda Calloway</w:t>
      </w:r>
      <w:r>
        <w:t xml:space="preserve"> </w:t>
      </w:r>
      <w:r>
        <w:t xml:space="preserve">(mother of Derek and Jason; trustee of the Calloway Family Trust). There are no independent directors. This structure provides no independent oversight of related-party transactions, executive compensation decisions, or financial reporting. Buyer should conduct a thorough related-party transaction review to identify any undisclosed affiliate arrangements.</w:t>
      </w:r>
    </w:p>
    <w:bookmarkEnd w:id="57"/>
    <w:bookmarkStart w:id="58" w:name="Xde253cc90ca41329389e7c1cc2d85e470c1607c"/>
    <w:p>
      <w:pPr>
        <w:pStyle w:val="Heading3"/>
      </w:pPr>
      <w:r>
        <w:t xml:space="preserve">8.3 Calloway Family Trust — Trustee Authority Requires Confirmation (MEDIUM)</w:t>
      </w:r>
    </w:p>
    <w:p>
      <w:pPr>
        <w:pStyle w:val="FirstParagraph"/>
      </w:pPr>
      <w:r>
        <w:t xml:space="preserve">The Calloway Family Trust holds</w:t>
      </w:r>
      <w:r>
        <w:t xml:space="preserve"> </w:t>
      </w:r>
      <w:r>
        <w:rPr>
          <w:b/>
          <w:bCs/>
        </w:rPr>
        <w:t xml:space="preserve">35.0% of RES common stock</w:t>
      </w:r>
      <w:r>
        <w:t xml:space="preserve"> </w:t>
      </w:r>
      <w:r>
        <w:t xml:space="preserve">and is an irrevocable trust with Linda Calloway as trustee. The trust instrument may contain distribution provisions or consent requirements that affect the trustee’s authority to sell the trust’s shares. Buyer’s counsel should review the trust instrument and obtain an independent legal opinion confirming the trustee’s authority to bind the trust in the proposed transaction.</w:t>
      </w:r>
    </w:p>
    <w:p>
      <w:r>
        <w:pict>
          <v:rect style="width:0;height:1.5pt" o:hralign="center" o:hrstd="t" o:hr="t"/>
        </w:pict>
      </w:r>
    </w:p>
    <w:bookmarkEnd w:id="58"/>
    <w:bookmarkEnd w:id="59"/>
    <w:bookmarkStart w:id="61" w:name="section-ix-corporate-structure"/>
    <w:p>
      <w:pPr>
        <w:pStyle w:val="Heading2"/>
      </w:pPr>
      <w:r>
        <w:t xml:space="preserve">SECTION IX — CORPORATE STRUCTURE</w:t>
      </w:r>
    </w:p>
    <w:bookmarkStart w:id="60" w:name="X90332271514023f5fa3d6cdde0fd634826c83a4"/>
    <w:p>
      <w:pPr>
        <w:pStyle w:val="Heading3"/>
      </w:pPr>
      <w:r>
        <w:t xml:space="preserve">9.1 Pinnacle Waste Solutions, LLC — Dormant Entity with Active Obligations (HIGH)</w:t>
      </w:r>
    </w:p>
    <w:p>
      <w:pPr>
        <w:pStyle w:val="FirstParagraph"/>
      </w:pPr>
      <w:r>
        <w:t xml:space="preserve">Pinnacle Waste Solutions, LLC is legally dormant — no active business operations have been conducted through the entity since approximately Q3 2022. However, Pinnacle remains:</w:t>
      </w:r>
    </w:p>
    <w:p>
      <w:pPr>
        <w:pStyle w:val="Compact"/>
        <w:numPr>
          <w:ilvl w:val="0"/>
          <w:numId w:val="1007"/>
        </w:numPr>
      </w:pPr>
      <w:r>
        <w:t xml:space="preserve">The</w:t>
      </w:r>
      <w:r>
        <w:t xml:space="preserve"> </w:t>
      </w:r>
      <w:r>
        <w:rPr>
          <w:b/>
          <w:bCs/>
        </w:rPr>
        <w:t xml:space="preserve">named tenant</w:t>
      </w:r>
      <w:r>
        <w:t xml:space="preserve"> </w:t>
      </w:r>
      <w:r>
        <w:t xml:space="preserve">on the Salt Lake City transfer station lease</w:t>
      </w:r>
    </w:p>
    <w:p>
      <w:pPr>
        <w:pStyle w:val="Compact"/>
        <w:numPr>
          <w:ilvl w:val="0"/>
          <w:numId w:val="1007"/>
        </w:numPr>
      </w:pPr>
      <w:r>
        <w:t xml:space="preserve">The</w:t>
      </w:r>
      <w:r>
        <w:t xml:space="preserve"> </w:t>
      </w:r>
      <w:r>
        <w:rPr>
          <w:b/>
          <w:bCs/>
        </w:rPr>
        <w:t xml:space="preserve">named permit holder</w:t>
      </w:r>
      <w:r>
        <w:t xml:space="preserve"> </w:t>
      </w:r>
      <w:r>
        <w:t xml:space="preserve">for Utah hazardous waste permit UTH-0441</w:t>
      </w:r>
    </w:p>
    <w:p>
      <w:pPr>
        <w:pStyle w:val="Compact"/>
        <w:numPr>
          <w:ilvl w:val="0"/>
          <w:numId w:val="1007"/>
        </w:numPr>
      </w:pPr>
      <w:r>
        <w:t xml:space="preserve">A</w:t>
      </w:r>
      <w:r>
        <w:t xml:space="preserve"> </w:t>
      </w:r>
      <w:r>
        <w:rPr>
          <w:b/>
          <w:bCs/>
        </w:rPr>
        <w:t xml:space="preserve">guarantor</w:t>
      </w:r>
      <w:r>
        <w:t xml:space="preserve"> </w:t>
      </w:r>
      <w:r>
        <w:t xml:space="preserve">under the High Plains National Bank credit agreement</w:t>
      </w:r>
    </w:p>
    <w:p>
      <w:pPr>
        <w:pStyle w:val="FirstParagraph"/>
      </w:pPr>
      <w:r>
        <w:t xml:space="preserve">The continued existence of a dormant entity with active regulatory and contractual obligations creates legal and regulatory ambiguity. Dissolution of Pinnacle before closing would require completion of the permit transfer and lease assignment. Buyer should determine the appropriate post-closing treatment of Pinnacle and ensure all obligations are properly transferred or assumed.</w:t>
      </w:r>
    </w:p>
    <w:p>
      <w:r>
        <w:pict>
          <v:rect style="width:0;height:1.5pt" o:hralign="center" o:hrstd="t" o:hr="t"/>
        </w:pict>
      </w:r>
    </w:p>
    <w:bookmarkEnd w:id="60"/>
    <w:bookmarkEnd w:id="61"/>
    <w:bookmarkStart w:id="62" w:name="section-x-priority-action-items"/>
    <w:p>
      <w:pPr>
        <w:pStyle w:val="Heading2"/>
      </w:pPr>
      <w:r>
        <w:t xml:space="preserve">SECTION X — PRIORITY ACTION ITEMS</w:t>
      </w:r>
    </w:p>
    <w:p>
      <w:pPr>
        <w:pStyle w:val="FirstParagraph"/>
      </w:pPr>
      <w:r>
        <w:t xml:space="preserve">The following actions are recommended before signing the definitive SPA: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 Party</w:t>
            </w:r>
          </w:p>
        </w:tc>
      </w:tr>
      <w:tr>
        <w:tc>
          <w:tcPr/>
          <w:p>
            <w:pPr>
              <w:pStyle w:val="Compact"/>
              <w:jc w:val="left"/>
            </w:pPr>
            <w:r>
              <w:t xml:space="preserve">1</w:t>
            </w:r>
          </w:p>
        </w:tc>
        <w:tc>
          <w:tcPr/>
          <w:p>
            <w:pPr>
              <w:pStyle w:val="Compact"/>
              <w:jc w:val="left"/>
            </w:pPr>
            <w:r>
              <w:t xml:space="preserve">Commission updated Phase II ESA and vapor intrusion assessment at Grand Junction</w:t>
            </w:r>
          </w:p>
        </w:tc>
        <w:tc>
          <w:tcPr/>
          <w:p>
            <w:pPr>
              <w:pStyle w:val="Compact"/>
              <w:jc w:val="left"/>
            </w:pPr>
            <w:r>
              <w:t xml:space="preserve">Buyer / Environmental Counsel</w:t>
            </w:r>
          </w:p>
        </w:tc>
      </w:tr>
      <w:tr>
        <w:tc>
          <w:tcPr/>
          <w:p>
            <w:pPr>
              <w:pStyle w:val="Compact"/>
              <w:jc w:val="left"/>
            </w:pPr>
            <w:r>
              <w:t xml:space="preserve">2</w:t>
            </w:r>
          </w:p>
        </w:tc>
        <w:tc>
          <w:tcPr/>
          <w:p>
            <w:pPr>
              <w:pStyle w:val="Compact"/>
              <w:jc w:val="left"/>
            </w:pPr>
            <w:r>
              <w:t xml:space="preserve">Obtain DOE Contracting Officer confirmation of ceiling modification or new contract</w:t>
            </w:r>
          </w:p>
        </w:tc>
        <w:tc>
          <w:tcPr/>
          <w:p>
            <w:pPr>
              <w:pStyle w:val="Compact"/>
              <w:jc w:val="left"/>
            </w:pPr>
            <w:r>
              <w:t xml:space="preserve">Buyer / Government Counsel</w:t>
            </w:r>
          </w:p>
        </w:tc>
      </w:tr>
      <w:tr>
        <w:tc>
          <w:tcPr/>
          <w:p>
            <w:pPr>
              <w:pStyle w:val="Compact"/>
              <w:jc w:val="left"/>
            </w:pPr>
            <w:r>
              <w:t xml:space="preserve">3</w:t>
            </w:r>
          </w:p>
        </w:tc>
        <w:tc>
          <w:tcPr/>
          <w:p>
            <w:pPr>
              <w:pStyle w:val="Compact"/>
              <w:jc w:val="left"/>
            </w:pPr>
            <w:r>
              <w:t xml:space="preserve">Resolve SLC lease assignment — obtain Wasatch Industrial Properties consent</w:t>
            </w:r>
          </w:p>
        </w:tc>
        <w:tc>
          <w:tcPr/>
          <w:p>
            <w:pPr>
              <w:pStyle w:val="Compact"/>
              <w:jc w:val="left"/>
            </w:pPr>
            <w:r>
              <w:t xml:space="preserve">Seller / Legal Counsel</w:t>
            </w:r>
          </w:p>
        </w:tc>
      </w:tr>
      <w:tr>
        <w:tc>
          <w:tcPr/>
          <w:p>
            <w:pPr>
              <w:pStyle w:val="Compact"/>
              <w:jc w:val="left"/>
            </w:pPr>
            <w:r>
              <w:t xml:space="preserve">4</w:t>
            </w:r>
          </w:p>
        </w:tc>
        <w:tc>
          <w:tcPr/>
          <w:p>
            <w:pPr>
              <w:pStyle w:val="Compact"/>
              <w:jc w:val="left"/>
            </w:pPr>
            <w:r>
              <w:t xml:space="preserve">Complete Utah permit transfer (UTH-0441) to RES</w:t>
            </w:r>
          </w:p>
        </w:tc>
        <w:tc>
          <w:tcPr/>
          <w:p>
            <w:pPr>
              <w:pStyle w:val="Compact"/>
              <w:jc w:val="left"/>
            </w:pPr>
            <w:r>
              <w:t xml:space="preserve">Seller / Environmental Counsel</w:t>
            </w:r>
          </w:p>
        </w:tc>
      </w:tr>
      <w:tr>
        <w:tc>
          <w:tcPr/>
          <w:p>
            <w:pPr>
              <w:pStyle w:val="Compact"/>
              <w:jc w:val="left"/>
            </w:pPr>
            <w:r>
              <w:t xml:space="preserve">5</w:t>
            </w:r>
          </w:p>
        </w:tc>
        <w:tc>
          <w:tcPr/>
          <w:p>
            <w:pPr>
              <w:pStyle w:val="Compact"/>
              <w:jc w:val="left"/>
            </w:pPr>
            <w:r>
              <w:t xml:space="preserve">Demand full EBITDA reconciliation ($22.8M vs. $23.8M)</w:t>
            </w:r>
          </w:p>
        </w:tc>
        <w:tc>
          <w:tcPr/>
          <w:p>
            <w:pPr>
              <w:pStyle w:val="Compact"/>
              <w:jc w:val="left"/>
            </w:pPr>
            <w:r>
              <w:t xml:space="preserve">Buyer / QoE Advisor</w:t>
            </w:r>
          </w:p>
        </w:tc>
      </w:tr>
      <w:tr>
        <w:tc>
          <w:tcPr/>
          <w:p>
            <w:pPr>
              <w:pStyle w:val="Compact"/>
              <w:jc w:val="left"/>
            </w:pPr>
            <w:r>
              <w:t xml:space="preserve">6</w:t>
            </w:r>
          </w:p>
        </w:tc>
        <w:tc>
          <w:tcPr/>
          <w:p>
            <w:pPr>
              <w:pStyle w:val="Compact"/>
              <w:jc w:val="left"/>
            </w:pPr>
            <w:r>
              <w:t xml:space="preserve">Commission independent fleet appraisal and normalised capex analysis</w:t>
            </w:r>
          </w:p>
        </w:tc>
        <w:tc>
          <w:tcPr/>
          <w:p>
            <w:pPr>
              <w:pStyle w:val="Compact"/>
              <w:jc w:val="left"/>
            </w:pPr>
            <w:r>
              <w:t xml:space="preserve">Buyer / Fleet Appraiser</w:t>
            </w:r>
          </w:p>
        </w:tc>
      </w:tr>
      <w:tr>
        <w:tc>
          <w:tcPr/>
          <w:p>
            <w:pPr>
              <w:pStyle w:val="Compact"/>
              <w:jc w:val="left"/>
            </w:pPr>
            <w:r>
              <w:t xml:space="preserve">7</w:t>
            </w:r>
          </w:p>
        </w:tc>
        <w:tc>
          <w:tcPr/>
          <w:p>
            <w:pPr>
              <w:pStyle w:val="Compact"/>
              <w:jc w:val="left"/>
            </w:pPr>
            <w:r>
              <w:t xml:space="preserve">Obtain full NLRB petition details; assess union certification risk</w:t>
            </w:r>
          </w:p>
        </w:tc>
        <w:tc>
          <w:tcPr/>
          <w:p>
            <w:pPr>
              <w:pStyle w:val="Compact"/>
              <w:jc w:val="left"/>
            </w:pPr>
            <w:r>
              <w:t xml:space="preserve">Buyer / Labour Counsel</w:t>
            </w:r>
          </w:p>
        </w:tc>
      </w:tr>
      <w:tr>
        <w:tc>
          <w:tcPr/>
          <w:p>
            <w:pPr>
              <w:pStyle w:val="Compact"/>
              <w:jc w:val="left"/>
            </w:pPr>
            <w:r>
              <w:t xml:space="preserve">8</w:t>
            </w:r>
          </w:p>
        </w:tc>
        <w:tc>
          <w:tcPr/>
          <w:p>
            <w:pPr>
              <w:pStyle w:val="Compact"/>
              <w:jc w:val="left"/>
            </w:pPr>
            <w:r>
              <w:t xml:space="preserve">Confirm Intermountain Health Systems contract renewal status</w:t>
            </w:r>
          </w:p>
        </w:tc>
        <w:tc>
          <w:tcPr/>
          <w:p>
            <w:pPr>
              <w:pStyle w:val="Compact"/>
              <w:jc w:val="left"/>
            </w:pPr>
            <w:r>
              <w:t xml:space="preserve">Seller / Management</w:t>
            </w:r>
          </w:p>
        </w:tc>
      </w:tr>
      <w:tr>
        <w:tc>
          <w:tcPr/>
          <w:p>
            <w:pPr>
              <w:pStyle w:val="Compact"/>
              <w:jc w:val="left"/>
            </w:pPr>
            <w:r>
              <w:t xml:space="preserve">9</w:t>
            </w:r>
          </w:p>
        </w:tc>
        <w:tc>
          <w:tcPr/>
          <w:p>
            <w:pPr>
              <w:pStyle w:val="Compact"/>
              <w:jc w:val="left"/>
            </w:pPr>
            <w:r>
              <w:t xml:space="preserve">Negotiate post-closing employment terms with Calloways; address single-trigger severance</w:t>
            </w:r>
          </w:p>
        </w:tc>
        <w:tc>
          <w:tcPr/>
          <w:p>
            <w:pPr>
              <w:pStyle w:val="Compact"/>
              <w:jc w:val="left"/>
            </w:pPr>
            <w:r>
              <w:t xml:space="preserve">Buyer / Legal Counsel</w:t>
            </w:r>
          </w:p>
        </w:tc>
      </w:tr>
      <w:tr>
        <w:tc>
          <w:tcPr/>
          <w:p>
            <w:pPr>
              <w:pStyle w:val="Compact"/>
              <w:jc w:val="left"/>
            </w:pPr>
            <w:r>
              <w:t xml:space="preserve">10</w:t>
            </w:r>
          </w:p>
        </w:tc>
        <w:tc>
          <w:tcPr/>
          <w:p>
            <w:pPr>
              <w:pStyle w:val="Compact"/>
              <w:jc w:val="left"/>
            </w:pPr>
            <w:r>
              <w:t xml:space="preserve">Arrange acquisition financing for mandatory credit facility repayment (~$39.2M)</w:t>
            </w:r>
          </w:p>
        </w:tc>
        <w:tc>
          <w:tcPr/>
          <w:p>
            <w:pPr>
              <w:pStyle w:val="Compact"/>
              <w:jc w:val="left"/>
            </w:pPr>
            <w:r>
              <w:t xml:space="preserve">Buyer / Lender</w:t>
            </w:r>
          </w:p>
        </w:tc>
      </w:tr>
      <w:tr>
        <w:tc>
          <w:tcPr/>
          <w:p>
            <w:pPr>
              <w:pStyle w:val="Compact"/>
              <w:jc w:val="left"/>
            </w:pPr>
            <w:r>
              <w:t xml:space="preserve">11</w:t>
            </w:r>
          </w:p>
        </w:tc>
        <w:tc>
          <w:tcPr/>
          <w:p>
            <w:pPr>
              <w:pStyle w:val="Compact"/>
              <w:jc w:val="left"/>
            </w:pPr>
            <w:r>
              <w:t xml:space="preserve">Obtain all required landlord consents for lease change-of-control provisions</w:t>
            </w:r>
          </w:p>
        </w:tc>
        <w:tc>
          <w:tcPr/>
          <w:p>
            <w:pPr>
              <w:pStyle w:val="Compact"/>
              <w:jc w:val="left"/>
            </w:pPr>
            <w:r>
              <w:t xml:space="preserve">Seller / Legal Counsel</w:t>
            </w:r>
          </w:p>
        </w:tc>
      </w:tr>
      <w:tr>
        <w:tc>
          <w:tcPr/>
          <w:p>
            <w:pPr>
              <w:pStyle w:val="Compact"/>
              <w:jc w:val="left"/>
            </w:pPr>
            <w:r>
              <w:t xml:space="preserve">12</w:t>
            </w:r>
          </w:p>
        </w:tc>
        <w:tc>
          <w:tcPr/>
          <w:p>
            <w:pPr>
              <w:pStyle w:val="Compact"/>
              <w:jc w:val="left"/>
            </w:pPr>
            <w:r>
              <w:t xml:space="preserve">Confirm Colorado RCRA permit renewal application status</w:t>
            </w:r>
          </w:p>
        </w:tc>
        <w:tc>
          <w:tcPr/>
          <w:p>
            <w:pPr>
              <w:pStyle w:val="Compact"/>
              <w:jc w:val="left"/>
            </w:pPr>
            <w:r>
              <w:t xml:space="preserve">Seller / Environmental Counsel</w:t>
            </w:r>
          </w:p>
        </w:tc>
      </w:tr>
      <w:tr>
        <w:tc>
          <w:tcPr/>
          <w:p>
            <w:pPr>
              <w:pStyle w:val="Compact"/>
              <w:jc w:val="left"/>
            </w:pPr>
            <w:r>
              <w:t xml:space="preserve">13</w:t>
            </w:r>
          </w:p>
        </w:tc>
        <w:tc>
          <w:tcPr/>
          <w:p>
            <w:pPr>
              <w:pStyle w:val="Compact"/>
              <w:jc w:val="left"/>
            </w:pPr>
            <w:r>
              <w:t xml:space="preserve">Obtain Ramirez insurance coverage determination from Frontier Specialty</w:t>
            </w:r>
          </w:p>
        </w:tc>
        <w:tc>
          <w:tcPr/>
          <w:p>
            <w:pPr>
              <w:pStyle w:val="Compact"/>
              <w:jc w:val="left"/>
            </w:pPr>
            <w:r>
              <w:t xml:space="preserve">Seller / Insurance Counsel</w:t>
            </w:r>
          </w:p>
        </w:tc>
      </w:tr>
      <w:tr>
        <w:tc>
          <w:tcPr/>
          <w:p>
            <w:pPr>
              <w:pStyle w:val="Compact"/>
              <w:jc w:val="left"/>
            </w:pPr>
            <w:r>
              <w:t xml:space="preserve">14</w:t>
            </w:r>
          </w:p>
        </w:tc>
        <w:tc>
          <w:tcPr/>
          <w:p>
            <w:pPr>
              <w:pStyle w:val="Compact"/>
              <w:jc w:val="left"/>
            </w:pPr>
            <w:r>
              <w:t xml:space="preserve">Review Calloway Family Trust instrument; confirm trustee authority</w:t>
            </w:r>
          </w:p>
        </w:tc>
        <w:tc>
          <w:tcPr/>
          <w:p>
            <w:pPr>
              <w:pStyle w:val="Compact"/>
              <w:jc w:val="left"/>
            </w:pPr>
            <w:r>
              <w:t xml:space="preserve">Buyer / Legal Counsel</w:t>
            </w:r>
          </w:p>
        </w:tc>
      </w:tr>
      <w:tr>
        <w:tc>
          <w:tcPr/>
          <w:p>
            <w:pPr>
              <w:pStyle w:val="Compact"/>
              <w:jc w:val="left"/>
            </w:pPr>
            <w:r>
              <w:t xml:space="preserve">15</w:t>
            </w:r>
          </w:p>
        </w:tc>
        <w:tc>
          <w:tcPr/>
          <w:p>
            <w:pPr>
              <w:pStyle w:val="Compact"/>
              <w:jc w:val="left"/>
            </w:pPr>
            <w:r>
              <w:t xml:space="preserve">Conduct related-party transaction review</w:t>
            </w:r>
          </w:p>
        </w:tc>
        <w:tc>
          <w:tcPr/>
          <w:p>
            <w:pPr>
              <w:pStyle w:val="Compact"/>
              <w:jc w:val="left"/>
            </w:pPr>
            <w:r>
              <w:t xml:space="preserve">Buyer / Legal Counsel</w:t>
            </w:r>
          </w:p>
        </w:tc>
      </w:tr>
    </w:tbl>
    <w:p>
      <w:r>
        <w:pict>
          <v:rect style="width:0;height:1.5pt" o:hralign="center" o:hrstd="t" o:hr="t"/>
        </w:pict>
      </w:r>
    </w:p>
    <w:bookmarkEnd w:id="62"/>
    <w:bookmarkStart w:id="63" w:name="Xbc51285e459ae5d6aed8756bc0c50911a1bcd62"/>
    <w:p>
      <w:pPr>
        <w:pStyle w:val="Heading2"/>
      </w:pPr>
      <w:r>
        <w:t xml:space="preserve">SECTION XI — INDEMNIFICATION RECOMMENDATIONS</w:t>
      </w:r>
    </w:p>
    <w:p>
      <w:pPr>
        <w:pStyle w:val="FirstParagraph"/>
      </w:pPr>
      <w:r>
        <w:t xml:space="preserve">Given the nature and magnitude of the identified risks, we recommend the following indemnification structure in the SPA:</w:t>
      </w:r>
    </w:p>
    <w:p>
      <w:pPr>
        <w:pStyle w:val="BodyText"/>
      </w:pPr>
      <w:r>
        <w:rPr>
          <w:b/>
          <w:bCs/>
        </w:rPr>
        <w:t xml:space="preserve">Environmental Indemnification:</w:t>
      </w:r>
      <w:r>
        <w:t xml:space="preserve"> </w:t>
      </w:r>
      <w:r>
        <w:t xml:space="preserve">Separate environmental indemnification with a</w:t>
      </w:r>
      <w:r>
        <w:t xml:space="preserve"> </w:t>
      </w:r>
      <w:r>
        <w:rPr>
          <w:b/>
          <w:bCs/>
        </w:rPr>
        <w:t xml:space="preserve">six-year survival period</w:t>
      </w:r>
      <w:r>
        <w:t xml:space="preserve"> </w:t>
      </w:r>
      <w:r>
        <w:t xml:space="preserve">(consistent with the LOI), a</w:t>
      </w:r>
      <w:r>
        <w:t xml:space="preserve"> </w:t>
      </w:r>
      <w:r>
        <w:rPr>
          <w:b/>
          <w:bCs/>
        </w:rPr>
        <w:t xml:space="preserve">dedicated environmental escrow</w:t>
      </w:r>
      <w:r>
        <w:t xml:space="preserve"> </w:t>
      </w:r>
      <w:r>
        <w:t xml:space="preserve">of at least $5M (above the general holdback), and no basket or cap for claims arising from the Grand Junction contamination, the CDPHE enforcement action, or asbestos-related liabilities.</w:t>
      </w:r>
    </w:p>
    <w:p>
      <w:pPr>
        <w:pStyle w:val="BodyText"/>
      </w:pPr>
      <w:r>
        <w:rPr>
          <w:b/>
          <w:bCs/>
        </w:rPr>
        <w:t xml:space="preserve">DOE Contract Indemnification:</w:t>
      </w:r>
      <w:r>
        <w:t xml:space="preserve"> </w:t>
      </w:r>
      <w:r>
        <w:t xml:space="preserve">Specific indemnification for any loss of DOE revenue arising from the ceiling exhaustion issue or from any failure to obtain required novation or consent, with survival through the contract expiration date (August 31, 2026).</w:t>
      </w:r>
    </w:p>
    <w:p>
      <w:pPr>
        <w:pStyle w:val="BodyText"/>
      </w:pPr>
      <w:r>
        <w:rPr>
          <w:b/>
          <w:bCs/>
        </w:rPr>
        <w:t xml:space="preserve">NLRB / Labour Indemnification:</w:t>
      </w:r>
      <w:r>
        <w:t xml:space="preserve"> </w:t>
      </w:r>
      <w:r>
        <w:t xml:space="preserve">Specific indemnification for any costs, liabilities, or obligations arising from the Teamsters NLRB petition, including any collective bargaining agreement costs, for a period of three years post-closing.</w:t>
      </w:r>
    </w:p>
    <w:p>
      <w:pPr>
        <w:pStyle w:val="BodyText"/>
      </w:pPr>
      <w:r>
        <w:rPr>
          <w:b/>
          <w:bCs/>
        </w:rPr>
        <w:t xml:space="preserve">General Holdback:</w:t>
      </w:r>
      <w:r>
        <w:t xml:space="preserve"> </w:t>
      </w:r>
      <w:r>
        <w:t xml:space="preserve">The LOI contemplates a 10% holdback (~$18.2–20.5M). Given the identified exposures, Buyer should consider increasing the holdback to</w:t>
      </w:r>
      <w:r>
        <w:t xml:space="preserve"> </w:t>
      </w:r>
      <w:r>
        <w:rPr>
          <w:b/>
          <w:bCs/>
        </w:rPr>
        <w:t xml:space="preserve">15%</w:t>
      </w:r>
      <w:r>
        <w:t xml:space="preserve"> </w:t>
      </w:r>
      <w:r>
        <w:t xml:space="preserve">or establishing a separate environmental/regulatory escrow in addition to the general holdback.</w:t>
      </w:r>
    </w:p>
    <w:p>
      <w:pPr>
        <w:pStyle w:val="BodyText"/>
      </w:pPr>
      <w:r>
        <w:rPr>
          <w:b/>
          <w:bCs/>
        </w:rPr>
        <w:t xml:space="preserve">Survival Periods:</w:t>
      </w:r>
      <w:r>
        <w:t xml:space="preserve"> </w:t>
      </w:r>
      <w:r>
        <w:t xml:space="preserve">Environmental and tax representations should survive for</w:t>
      </w:r>
      <w:r>
        <w:t xml:space="preserve"> </w:t>
      </w:r>
      <w:r>
        <w:rPr>
          <w:b/>
          <w:bCs/>
        </w:rPr>
        <w:t xml:space="preserve">six years</w:t>
      </w:r>
      <w:r>
        <w:t xml:space="preserve"> </w:t>
      </w:r>
      <w:r>
        <w:t xml:space="preserve">as contemplated by the LOI. The NLRB petition and asbestos representations should also survive for</w:t>
      </w:r>
      <w:r>
        <w:t xml:space="preserve"> </w:t>
      </w:r>
      <w:r>
        <w:rPr>
          <w:b/>
          <w:bCs/>
        </w:rPr>
        <w:t xml:space="preserve">six years</w:t>
      </w:r>
      <w:r>
        <w:t xml:space="preserve"> </w:t>
      </w:r>
      <w:r>
        <w:t xml:space="preserve">given the long-tail nature of these exposures.</w:t>
      </w:r>
    </w:p>
    <w:p>
      <w:r>
        <w:pict>
          <v:rect style="width:0;height:1.5pt" o:hralign="center" o:hrstd="t" o:hr="t"/>
        </w:pict>
      </w:r>
    </w:p>
    <w:p>
      <w:pPr>
        <w:pStyle w:val="FirstParagraph"/>
      </w:pPr>
      <w:r>
        <w:rPr>
          <w:i/>
          <w:iCs/>
        </w:rPr>
        <w:t xml:space="preserve">This memorandum is prepared solely for the internal use of Sycamore Capital Partners, LP and its advisors in connection with the evaluation of the proposed acquisition of Ridgeline Environmental Services, Inc. It is subject to attorney-client privilege and work product protection. It does not constitute legal, financial, tax, or environmental advice and should not be relied upon as such. All findings are based on the data room materials available as of December 2024 and are subject to revision as additional information becomes available.</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RIDGELINE — DILIGENCE RED FLAG MEMORANDUM</dc:title>
  <dc:creator/>
  <cp:keywords/>
  <dcterms:created xsi:type="dcterms:W3CDTF">2026-08-14T20:29:26Z</dcterms:created>
  <dcterms:modified xsi:type="dcterms:W3CDTF">2026-08-14T20:29:26Z</dcterms:modified>
</cp:coreProperties>
</file>

<file path=docProps/custom.xml><?xml version="1.0" encoding="utf-8"?>
<Properties xmlns="http://schemas.openxmlformats.org/officeDocument/2006/custom-properties" xmlns:vt="http://schemas.openxmlformats.org/officeDocument/2006/docPropsVTypes"/>
</file>