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21" w:name="prepared-in-anticipation-of-litigation"/>
    <w:p>
      <w:pPr>
        <w:pStyle w:val="Heading1"/>
      </w:pPr>
      <w:r>
        <w:t xml:space="preserve">PREPARED IN ANTICIPATION OF LITIGATION</w:t>
      </w:r>
    </w:p>
    <w:p>
      <w:r>
        <w:pict>
          <v:rect style="width:0;height:1.5pt" o:hralign="center" o:hrstd="t" o:hr="t"/>
        </w:pict>
      </w:r>
    </w:p>
    <w:bookmarkEnd w:id="21"/>
    <w:bookmarkStart w:id="50" w:name="diligence-red-flag-memorandum"/>
    <w:p>
      <w:pPr>
        <w:pStyle w:val="Heading1"/>
      </w:pPr>
      <w:r>
        <w:t xml:space="preserve">DILIGENCE RED FLAG MEMORANDUM</w:t>
      </w:r>
    </w:p>
    <w:p>
      <w:pPr>
        <w:pStyle w:val="FirstParagraph"/>
      </w:pPr>
      <w:r>
        <w:rPr>
          <w:b/>
          <w:bCs/>
        </w:rPr>
        <w:t xml:space="preserve">Project Ridgeline — Acquisition of Ridgeline Environmental Services, Inc.</w:t>
      </w:r>
    </w:p>
    <w:p>
      <w:pPr>
        <w:pStyle w:val="BodyText"/>
      </w:pPr>
      <w:r>
        <w:rPr>
          <w:b/>
          <w:bCs/>
        </w:rPr>
        <w:t xml:space="preserve">Prepared for:</w:t>
      </w:r>
      <w:r>
        <w:t xml:space="preserve"> </w:t>
      </w:r>
      <w:r>
        <w:t xml:space="preserve">Sycamore Capital Partners, LP</w:t>
      </w:r>
    </w:p>
    <w:p>
      <w:pPr>
        <w:pStyle w:val="BodyText"/>
      </w:pPr>
      <w:r>
        <w:rPr>
          <w:b/>
          <w:bCs/>
        </w:rPr>
        <w:t xml:space="preserve">Prepared by:</w:t>
      </w:r>
      <w:r>
        <w:t xml:space="preserve"> </w:t>
      </w:r>
      <w:r>
        <w:t xml:space="preserve">Thornfield &amp; Associates LLP / Bridgewater Forsyth Group</w:t>
      </w:r>
    </w:p>
    <w:p>
      <w:pPr>
        <w:pStyle w:val="BodyText"/>
      </w:pPr>
      <w:r>
        <w:rPr>
          <w:b/>
          <w:bCs/>
        </w:rPr>
        <w:t xml:space="preserve">Date:</w:t>
      </w:r>
      <w:r>
        <w:t xml:space="preserve"> </w:t>
      </w:r>
      <w:r>
        <w:t xml:space="preserve">December 2024</w:t>
      </w:r>
    </w:p>
    <w:p>
      <w:pPr>
        <w:pStyle w:val="BodyText"/>
      </w:pPr>
      <w:r>
        <w:rPr>
          <w:b/>
          <w:bCs/>
        </w:rPr>
        <w:t xml:space="preserve">Subject:</w:t>
      </w:r>
      <w:r>
        <w:t xml:space="preserve"> </w:t>
      </w:r>
      <w:r>
        <w:t xml:space="preserve">Summary of Material Red Flags Identified in Data Room Review</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summarizes the material red flags and diligence concerns identified through review of the Project Ridgeline data room, including the Confidential Information Memorandum, Quality of Earnings data package, Litigation and Regulatory Summary, Phase II Environmental Site Assessment, Credit Agreement Summary, Real Property and Lease Schedule, Environmental Permit Schedule, Customer Contract Summary, Employment Agreements Summary, Insurance Program Summary, and Employee Benefits Summary.</w:t>
      </w:r>
    </w:p>
    <w:p>
      <w:pPr>
        <w:pStyle w:val="BodyText"/>
      </w:pPr>
      <w:r>
        <w:rPr>
          <w:b/>
          <w:bCs/>
        </w:rPr>
        <w:t xml:space="preserve">Overall Risk Assessment: ELEVATED.</w:t>
      </w:r>
      <w:r>
        <w:t xml:space="preserve"> </w:t>
      </w:r>
      <w:r>
        <w:t xml:space="preserve">The transaction presents a compelling strategic opportunity, but the diligence review has surfaced</w:t>
      </w:r>
      <w:r>
        <w:t xml:space="preserve"> </w:t>
      </w:r>
      <w:r>
        <w:rPr>
          <w:b/>
          <w:bCs/>
        </w:rPr>
        <w:t xml:space="preserve">twelve (12) material red flags</w:t>
      </w:r>
      <w:r>
        <w:t xml:space="preserve"> </w:t>
      </w:r>
      <w:r>
        <w:t xml:space="preserve">across six risk categories: (1) Financial / Quality of Earnings, (2) Environmental, (3) Regulatory &amp; Permitting, (4) Contractual &amp; Customer, (5) Structural / Legal, and (6) Human Capital. Several of these issues are individually capable of materially affecting valuation, deal structure, or closing certainty. Collectively, they warrant significant negotiation of price, indemnification, and closing conditions before proceeding.</w:t>
      </w:r>
    </w:p>
    <w:p>
      <w:pPr>
        <w:pStyle w:val="BodyText"/>
      </w:pPr>
      <w:r>
        <w:t xml:space="preserve">A summary risk matrix is provided in Section II. Detailed findings follow in Sections III through VIII.</w:t>
      </w:r>
    </w:p>
    <w:p>
      <w:r>
        <w:pict>
          <v:rect style="width:0;height:1.5pt" o:hralign="center" o:hrstd="t" o:hr="t"/>
        </w:pict>
      </w:r>
    </w:p>
    <w:bookmarkEnd w:id="22"/>
    <w:bookmarkStart w:id="23" w:name="ii.-red-flag-summary-matrix"/>
    <w:p>
      <w:pPr>
        <w:pStyle w:val="Heading2"/>
      </w:pPr>
      <w:r>
        <w:t xml:space="preserve">II. RED FLAG SUMMARY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Red Flag</w:t>
            </w:r>
          </w:p>
        </w:tc>
        <w:tc>
          <w:tcPr/>
          <w:p>
            <w:pPr>
              <w:pStyle w:val="Compact"/>
              <w:jc w:val="left"/>
            </w:pPr>
            <w:r>
              <w:t xml:space="preserve">Severity</w:t>
            </w:r>
          </w:p>
        </w:tc>
        <w:tc>
          <w:tcPr/>
          <w:p>
            <w:pPr>
              <w:pStyle w:val="Compact"/>
              <w:jc w:val="left"/>
            </w:pPr>
            <w:r>
              <w:t xml:space="preserve">Estimated Financial Impact</w:t>
            </w:r>
          </w:p>
        </w:tc>
      </w:tr>
      <w:tr>
        <w:tc>
          <w:tcPr/>
          <w:p>
            <w:pPr>
              <w:pStyle w:val="Compact"/>
              <w:jc w:val="left"/>
            </w:pPr>
            <w:r>
              <w:t xml:space="preserve">RF-01</w:t>
            </w:r>
          </w:p>
        </w:tc>
        <w:tc>
          <w:tcPr/>
          <w:p>
            <w:pPr>
              <w:pStyle w:val="Compact"/>
              <w:jc w:val="left"/>
            </w:pPr>
            <w:r>
              <w:t xml:space="preserve">Financial / QoE</w:t>
            </w:r>
          </w:p>
        </w:tc>
        <w:tc>
          <w:tcPr/>
          <w:p>
            <w:pPr>
              <w:pStyle w:val="Compact"/>
              <w:jc w:val="left"/>
            </w:pPr>
            <w:r>
              <w:t xml:space="preserve">Adjusted EBITDA Discrepancy — CIM vs. QoE Schedule</w:t>
            </w:r>
          </w:p>
        </w:tc>
        <w:tc>
          <w:tcPr/>
          <w:p>
            <w:pPr>
              <w:pStyle w:val="Compact"/>
              <w:jc w:val="left"/>
            </w:pPr>
            <w:r>
              <w:rPr>
                <w:b/>
                <w:bCs/>
              </w:rPr>
              <w:t xml:space="preserve">HIGH</w:t>
            </w:r>
          </w:p>
        </w:tc>
        <w:tc>
          <w:tcPr/>
          <w:p>
            <w:pPr>
              <w:pStyle w:val="Compact"/>
              <w:jc w:val="left"/>
            </w:pPr>
            <w:r>
              <w:t xml:space="preserve">$1.0M EBITDA overstatement</w:t>
            </w:r>
          </w:p>
        </w:tc>
      </w:tr>
      <w:tr>
        <w:tc>
          <w:tcPr/>
          <w:p>
            <w:pPr>
              <w:pStyle w:val="Compact"/>
              <w:jc w:val="left"/>
            </w:pPr>
            <w:r>
              <w:t xml:space="preserve">RF-02</w:t>
            </w:r>
          </w:p>
        </w:tc>
        <w:tc>
          <w:tcPr/>
          <w:p>
            <w:pPr>
              <w:pStyle w:val="Compact"/>
              <w:jc w:val="left"/>
            </w:pPr>
            <w:r>
              <w:t xml:space="preserve">Financial / QoE</w:t>
            </w:r>
          </w:p>
        </w:tc>
        <w:tc>
          <w:tcPr/>
          <w:p>
            <w:pPr>
              <w:pStyle w:val="Compact"/>
              <w:jc w:val="left"/>
            </w:pPr>
            <w:r>
              <w:t xml:space="preserve">Aggressive / Unsupported EBITDA Add-Backs</w:t>
            </w:r>
          </w:p>
        </w:tc>
        <w:tc>
          <w:tcPr/>
          <w:p>
            <w:pPr>
              <w:pStyle w:val="Compact"/>
              <w:jc w:val="left"/>
            </w:pPr>
            <w:r>
              <w:rPr>
                <w:b/>
                <w:bCs/>
              </w:rPr>
              <w:t xml:space="preserve">HIGH</w:t>
            </w:r>
          </w:p>
        </w:tc>
        <w:tc>
          <w:tcPr/>
          <w:p>
            <w:pPr>
              <w:pStyle w:val="Compact"/>
              <w:jc w:val="left"/>
            </w:pPr>
            <w:r>
              <w:t xml:space="preserve">Up to $5.4M in disputed adjustments</w:t>
            </w:r>
          </w:p>
        </w:tc>
      </w:tr>
      <w:tr>
        <w:tc>
          <w:tcPr/>
          <w:p>
            <w:pPr>
              <w:pStyle w:val="Compact"/>
              <w:jc w:val="left"/>
            </w:pPr>
            <w:r>
              <w:t xml:space="preserve">RF-03</w:t>
            </w:r>
          </w:p>
        </w:tc>
        <w:tc>
          <w:tcPr/>
          <w:p>
            <w:pPr>
              <w:pStyle w:val="Compact"/>
              <w:jc w:val="left"/>
            </w:pPr>
            <w:r>
              <w:t xml:space="preserve">Financial / QoE</w:t>
            </w:r>
          </w:p>
        </w:tc>
        <w:tc>
          <w:tcPr/>
          <w:p>
            <w:pPr>
              <w:pStyle w:val="Compact"/>
              <w:jc w:val="left"/>
            </w:pPr>
            <w:r>
              <w:t xml:space="preserve">DOE IDIQ Ceiling Near Exhaustion — Revenue Cliff Risk</w:t>
            </w:r>
          </w:p>
        </w:tc>
        <w:tc>
          <w:tcPr/>
          <w:p>
            <w:pPr>
              <w:pStyle w:val="Compact"/>
              <w:jc w:val="left"/>
            </w:pPr>
            <w:r>
              <w:rPr>
                <w:b/>
                <w:bCs/>
              </w:rPr>
              <w:t xml:space="preserve">CRITICAL</w:t>
            </w:r>
          </w:p>
        </w:tc>
        <w:tc>
          <w:tcPr/>
          <w:p>
            <w:pPr>
              <w:pStyle w:val="Compact"/>
              <w:jc w:val="left"/>
            </w:pPr>
            <w:r>
              <w:t xml:space="preserve">$12.1M+ FY2025 revenue headwind</w:t>
            </w:r>
          </w:p>
        </w:tc>
      </w:tr>
      <w:tr>
        <w:tc>
          <w:tcPr/>
          <w:p>
            <w:pPr>
              <w:pStyle w:val="Compact"/>
              <w:jc w:val="left"/>
            </w:pPr>
            <w:r>
              <w:t xml:space="preserve">RF-04</w:t>
            </w:r>
          </w:p>
        </w:tc>
        <w:tc>
          <w:tcPr/>
          <w:p>
            <w:pPr>
              <w:pStyle w:val="Compact"/>
              <w:jc w:val="left"/>
            </w:pPr>
            <w:r>
              <w:t xml:space="preserve">Financial / QoE</w:t>
            </w:r>
          </w:p>
        </w:tc>
        <w:tc>
          <w:tcPr/>
          <w:p>
            <w:pPr>
              <w:pStyle w:val="Compact"/>
              <w:jc w:val="left"/>
            </w:pPr>
            <w:r>
              <w:t xml:space="preserve">Fleet Deferred Replacement — Understated Maintenance CapEx</w:t>
            </w:r>
          </w:p>
        </w:tc>
        <w:tc>
          <w:tcPr/>
          <w:p>
            <w:pPr>
              <w:pStyle w:val="Compact"/>
              <w:jc w:val="left"/>
            </w:pPr>
            <w:r>
              <w:rPr>
                <w:b/>
                <w:bCs/>
              </w:rPr>
              <w:t xml:space="preserve">HIGH</w:t>
            </w:r>
          </w:p>
        </w:tc>
        <w:tc>
          <w:tcPr/>
          <w:p>
            <w:pPr>
              <w:pStyle w:val="Compact"/>
              <w:jc w:val="left"/>
            </w:pPr>
            <w:r>
              <w:t xml:space="preserve">$3.3M/yr catch-up CapEx above stated run-rate</w:t>
            </w:r>
          </w:p>
        </w:tc>
      </w:tr>
      <w:tr>
        <w:tc>
          <w:tcPr/>
          <w:p>
            <w:pPr>
              <w:pStyle w:val="Compact"/>
              <w:jc w:val="left"/>
            </w:pPr>
            <w:r>
              <w:t xml:space="preserve">RF-05</w:t>
            </w:r>
          </w:p>
        </w:tc>
        <w:tc>
          <w:tcPr/>
          <w:p>
            <w:pPr>
              <w:pStyle w:val="Compact"/>
              <w:jc w:val="left"/>
            </w:pPr>
            <w:r>
              <w:t xml:space="preserve">Environmental</w:t>
            </w:r>
          </w:p>
        </w:tc>
        <w:tc>
          <w:tcPr/>
          <w:p>
            <w:pPr>
              <w:pStyle w:val="Compact"/>
              <w:jc w:val="left"/>
            </w:pPr>
            <w:r>
              <w:t xml:space="preserve">Grand Junction Contamination — Stale ESA, Unquantified Upside Risk</w:t>
            </w:r>
          </w:p>
        </w:tc>
        <w:tc>
          <w:tcPr/>
          <w:p>
            <w:pPr>
              <w:pStyle w:val="Compact"/>
              <w:jc w:val="left"/>
            </w:pPr>
            <w:r>
              <w:rPr>
                <w:b/>
                <w:bCs/>
              </w:rPr>
              <w:t xml:space="preserve">HIGH</w:t>
            </w:r>
          </w:p>
        </w:tc>
        <w:tc>
          <w:tcPr/>
          <w:p>
            <w:pPr>
              <w:pStyle w:val="Compact"/>
              <w:jc w:val="left"/>
            </w:pPr>
            <w:r>
              <w:t xml:space="preserve">$1.8M–$2.6M+ (2019 estimate; likely higher)</w:t>
            </w:r>
          </w:p>
        </w:tc>
      </w:tr>
      <w:tr>
        <w:tc>
          <w:tcPr/>
          <w:p>
            <w:pPr>
              <w:pStyle w:val="Compact"/>
              <w:jc w:val="left"/>
            </w:pPr>
            <w:r>
              <w:t xml:space="preserve">RF-06</w:t>
            </w:r>
          </w:p>
        </w:tc>
        <w:tc>
          <w:tcPr/>
          <w:p>
            <w:pPr>
              <w:pStyle w:val="Compact"/>
              <w:jc w:val="left"/>
            </w:pPr>
            <w:r>
              <w:t xml:space="preserve">Environmental</w:t>
            </w:r>
          </w:p>
        </w:tc>
        <w:tc>
          <w:tcPr/>
          <w:p>
            <w:pPr>
              <w:pStyle w:val="Compact"/>
              <w:jc w:val="left"/>
            </w:pPr>
            <w:r>
              <w:t xml:space="preserve">Vapor Intrusion Pathway — Unassessed Occupational Exposure</w:t>
            </w:r>
          </w:p>
        </w:tc>
        <w:tc>
          <w:tcPr/>
          <w:p>
            <w:pPr>
              <w:pStyle w:val="Compact"/>
              <w:jc w:val="left"/>
            </w:pPr>
            <w:r>
              <w:rPr>
                <w:b/>
                <w:bCs/>
              </w:rPr>
              <w:t xml:space="preserve">HIGH</w:t>
            </w:r>
          </w:p>
        </w:tc>
        <w:tc>
          <w:tcPr/>
          <w:p>
            <w:pPr>
              <w:pStyle w:val="Compact"/>
              <w:jc w:val="left"/>
            </w:pPr>
            <w:r>
              <w:t xml:space="preserve">Unquantified; potential OSHA/tort liability</w:t>
            </w:r>
          </w:p>
        </w:tc>
      </w:tr>
      <w:tr>
        <w:tc>
          <w:tcPr/>
          <w:p>
            <w:pPr>
              <w:pStyle w:val="Compact"/>
              <w:jc w:val="left"/>
            </w:pPr>
            <w:r>
              <w:t xml:space="preserve">RF-07</w:t>
            </w:r>
          </w:p>
        </w:tc>
        <w:tc>
          <w:tcPr/>
          <w:p>
            <w:pPr>
              <w:pStyle w:val="Compact"/>
              <w:jc w:val="left"/>
            </w:pPr>
            <w:r>
              <w:t xml:space="preserve">Regulatory</w:t>
            </w:r>
          </w:p>
        </w:tc>
        <w:tc>
          <w:tcPr/>
          <w:p>
            <w:pPr>
              <w:pStyle w:val="Compact"/>
              <w:jc w:val="left"/>
            </w:pPr>
            <w:r>
              <w:t xml:space="preserve">CDPHE Enforcement Action — Unaccrued Penalty Exposure</w:t>
            </w:r>
          </w:p>
        </w:tc>
        <w:tc>
          <w:tcPr/>
          <w:p>
            <w:pPr>
              <w:pStyle w:val="Compact"/>
              <w:jc w:val="left"/>
            </w:pPr>
            <w:r>
              <w:rPr>
                <w:b/>
                <w:bCs/>
              </w:rPr>
              <w:t xml:space="preserve">MEDIUM</w:t>
            </w:r>
          </w:p>
        </w:tc>
        <w:tc>
          <w:tcPr/>
          <w:p>
            <w:pPr>
              <w:pStyle w:val="Compact"/>
              <w:jc w:val="left"/>
            </w:pPr>
            <w:r>
              <w:t xml:space="preserve">$200K–$1.16M</w:t>
            </w:r>
          </w:p>
        </w:tc>
      </w:tr>
      <w:tr>
        <w:tc>
          <w:tcPr/>
          <w:p>
            <w:pPr>
              <w:pStyle w:val="Compact"/>
              <w:jc w:val="left"/>
            </w:pPr>
            <w:r>
              <w:t xml:space="preserve">RF-08</w:t>
            </w:r>
          </w:p>
        </w:tc>
        <w:tc>
          <w:tcPr/>
          <w:p>
            <w:pPr>
              <w:pStyle w:val="Compact"/>
              <w:jc w:val="left"/>
            </w:pPr>
            <w:r>
              <w:t xml:space="preserve">Regulatory</w:t>
            </w:r>
          </w:p>
        </w:tc>
        <w:tc>
          <w:tcPr/>
          <w:p>
            <w:pPr>
              <w:pStyle w:val="Compact"/>
              <w:jc w:val="left"/>
            </w:pPr>
            <w:r>
              <w:t xml:space="preserve">Wyoming Permit Expired — Operating Under Timely Renewal</w:t>
            </w:r>
          </w:p>
        </w:tc>
        <w:tc>
          <w:tcPr/>
          <w:p>
            <w:pPr>
              <w:pStyle w:val="Compact"/>
              <w:jc w:val="left"/>
            </w:pPr>
            <w:r>
              <w:rPr>
                <w:b/>
                <w:bCs/>
              </w:rPr>
              <w:t xml:space="preserve">MEDIUM</w:t>
            </w:r>
          </w:p>
        </w:tc>
        <w:tc>
          <w:tcPr/>
          <w:p>
            <w:pPr>
              <w:pStyle w:val="Compact"/>
              <w:jc w:val="left"/>
            </w:pPr>
            <w:r>
              <w:t xml:space="preserve">Operational disruption risk</w:t>
            </w:r>
          </w:p>
        </w:tc>
      </w:tr>
      <w:tr>
        <w:tc>
          <w:tcPr/>
          <w:p>
            <w:pPr>
              <w:pStyle w:val="Compact"/>
              <w:jc w:val="left"/>
            </w:pPr>
            <w:r>
              <w:t xml:space="preserve">RF-09</w:t>
            </w:r>
          </w:p>
        </w:tc>
        <w:tc>
          <w:tcPr/>
          <w:p>
            <w:pPr>
              <w:pStyle w:val="Compact"/>
              <w:jc w:val="left"/>
            </w:pPr>
            <w:r>
              <w:t xml:space="preserve">Regulatory</w:t>
            </w:r>
          </w:p>
        </w:tc>
        <w:tc>
          <w:tcPr/>
          <w:p>
            <w:pPr>
              <w:pStyle w:val="Compact"/>
              <w:jc w:val="left"/>
            </w:pPr>
            <w:r>
              <w:t xml:space="preserve">Utah SLC Permit Not Transferred — Regulatory Exposure</w:t>
            </w:r>
          </w:p>
        </w:tc>
        <w:tc>
          <w:tcPr/>
          <w:p>
            <w:pPr>
              <w:pStyle w:val="Compact"/>
              <w:jc w:val="left"/>
            </w:pPr>
            <w:r>
              <w:rPr>
                <w:b/>
                <w:bCs/>
              </w:rPr>
              <w:t xml:space="preserve">MEDIUM</w:t>
            </w:r>
          </w:p>
        </w:tc>
        <w:tc>
          <w:tcPr/>
          <w:p>
            <w:pPr>
              <w:pStyle w:val="Compact"/>
              <w:jc w:val="left"/>
            </w:pPr>
            <w:r>
              <w:t xml:space="preserve">Facility shutdown risk; $16.2M revenue at risk</w:t>
            </w:r>
          </w:p>
        </w:tc>
      </w:tr>
      <w:tr>
        <w:tc>
          <w:tcPr/>
          <w:p>
            <w:pPr>
              <w:pStyle w:val="Compact"/>
              <w:jc w:val="left"/>
            </w:pPr>
            <w:r>
              <w:t xml:space="preserve">RF-10</w:t>
            </w:r>
          </w:p>
        </w:tc>
        <w:tc>
          <w:tcPr/>
          <w:p>
            <w:pPr>
              <w:pStyle w:val="Compact"/>
              <w:jc w:val="left"/>
            </w:pPr>
            <w:r>
              <w:t xml:space="preserve">Contractual</w:t>
            </w:r>
          </w:p>
        </w:tc>
        <w:tc>
          <w:tcPr/>
          <w:p>
            <w:pPr>
              <w:pStyle w:val="Compact"/>
              <w:jc w:val="left"/>
            </w:pPr>
            <w:r>
              <w:t xml:space="preserve">SLC Lease — Dual Consent Failure; Potential Default</w:t>
            </w:r>
          </w:p>
        </w:tc>
        <w:tc>
          <w:tcPr/>
          <w:p>
            <w:pPr>
              <w:pStyle w:val="Compact"/>
              <w:jc w:val="left"/>
            </w:pPr>
            <w:r>
              <w:rPr>
                <w:b/>
                <w:bCs/>
              </w:rPr>
              <w:t xml:space="preserve">HIGH</w:t>
            </w:r>
          </w:p>
        </w:tc>
        <w:tc>
          <w:tcPr/>
          <w:p>
            <w:pPr>
              <w:pStyle w:val="Compact"/>
              <w:jc w:val="left"/>
            </w:pPr>
            <w:r>
              <w:t xml:space="preserve">$16.2M revenue at risk; lease termination risk</w:t>
            </w:r>
          </w:p>
        </w:tc>
      </w:tr>
      <w:tr>
        <w:tc>
          <w:tcPr/>
          <w:p>
            <w:pPr>
              <w:pStyle w:val="Compact"/>
              <w:jc w:val="left"/>
            </w:pPr>
            <w:r>
              <w:t xml:space="preserve">RF-11</w:t>
            </w:r>
          </w:p>
        </w:tc>
        <w:tc>
          <w:tcPr/>
          <w:p>
            <w:pPr>
              <w:pStyle w:val="Compact"/>
              <w:jc w:val="left"/>
            </w:pPr>
            <w:r>
              <w:t xml:space="preserve">Contractual</w:t>
            </w:r>
          </w:p>
        </w:tc>
        <w:tc>
          <w:tcPr/>
          <w:p>
            <w:pPr>
              <w:pStyle w:val="Compact"/>
              <w:jc w:val="left"/>
            </w:pPr>
            <w:r>
              <w:t xml:space="preserve">DOE Contract Non-Assignability / Novation Requirement</w:t>
            </w:r>
          </w:p>
        </w:tc>
        <w:tc>
          <w:tcPr/>
          <w:p>
            <w:pPr>
              <w:pStyle w:val="Compact"/>
              <w:jc w:val="left"/>
            </w:pPr>
            <w:r>
              <w:rPr>
                <w:b/>
                <w:bCs/>
              </w:rPr>
              <w:t xml:space="preserve">HIGH</w:t>
            </w:r>
          </w:p>
        </w:tc>
        <w:tc>
          <w:tcPr/>
          <w:p>
            <w:pPr>
              <w:pStyle w:val="Compact"/>
              <w:jc w:val="left"/>
            </w:pPr>
            <w:r>
              <w:t xml:space="preserve">$24.4M revenue at risk</w:t>
            </w:r>
          </w:p>
        </w:tc>
      </w:tr>
      <w:tr>
        <w:tc>
          <w:tcPr/>
          <w:p>
            <w:pPr>
              <w:pStyle w:val="Compact"/>
              <w:jc w:val="left"/>
            </w:pPr>
            <w:r>
              <w:t xml:space="preserve">RF-12</w:t>
            </w:r>
          </w:p>
        </w:tc>
        <w:tc>
          <w:tcPr/>
          <w:p>
            <w:pPr>
              <w:pStyle w:val="Compact"/>
              <w:jc w:val="left"/>
            </w:pPr>
            <w:r>
              <w:t xml:space="preserve">Structural</w:t>
            </w:r>
          </w:p>
        </w:tc>
        <w:tc>
          <w:tcPr/>
          <w:p>
            <w:pPr>
              <w:pStyle w:val="Compact"/>
              <w:jc w:val="left"/>
            </w:pPr>
            <w:r>
              <w:t xml:space="preserve">Single-Trigger CoC Severance — Certain $2.625M Closing Cost</w:t>
            </w:r>
          </w:p>
        </w:tc>
        <w:tc>
          <w:tcPr/>
          <w:p>
            <w:pPr>
              <w:pStyle w:val="Compact"/>
              <w:jc w:val="left"/>
            </w:pPr>
            <w:r>
              <w:rPr>
                <w:b/>
                <w:bCs/>
              </w:rPr>
              <w:t xml:space="preserve">MEDIUM</w:t>
            </w:r>
          </w:p>
        </w:tc>
        <w:tc>
          <w:tcPr/>
          <w:p>
            <w:pPr>
              <w:pStyle w:val="Compact"/>
              <w:jc w:val="left"/>
            </w:pPr>
            <w:r>
              <w:t xml:space="preserve">$2.625M–$3.775M unallocated liability</w:t>
            </w:r>
          </w:p>
        </w:tc>
      </w:tr>
      <w:tr>
        <w:tc>
          <w:tcPr/>
          <w:p>
            <w:pPr>
              <w:pStyle w:val="Compact"/>
              <w:jc w:val="left"/>
            </w:pPr>
            <w:r>
              <w:t xml:space="preserve">RF-13</w:t>
            </w:r>
          </w:p>
        </w:tc>
        <w:tc>
          <w:tcPr/>
          <w:p>
            <w:pPr>
              <w:pStyle w:val="Compact"/>
              <w:jc w:val="left"/>
            </w:pPr>
            <w:r>
              <w:t xml:space="preserve">Human Capital</w:t>
            </w:r>
          </w:p>
        </w:tc>
        <w:tc>
          <w:tcPr/>
          <w:p>
            <w:pPr>
              <w:pStyle w:val="Compact"/>
              <w:jc w:val="left"/>
            </w:pPr>
            <w:r>
              <w:t xml:space="preserve">NLRB Unionization Petition — 62 Field Technicians</w:t>
            </w:r>
          </w:p>
        </w:tc>
        <w:tc>
          <w:tcPr/>
          <w:p>
            <w:pPr>
              <w:pStyle w:val="Compact"/>
              <w:jc w:val="left"/>
            </w:pPr>
            <w:r>
              <w:rPr>
                <w:b/>
                <w:bCs/>
              </w:rPr>
              <w:t xml:space="preserve">MEDIUM</w:t>
            </w:r>
          </w:p>
        </w:tc>
        <w:tc>
          <w:tcPr/>
          <w:p>
            <w:pPr>
              <w:pStyle w:val="Compact"/>
              <w:jc w:val="left"/>
            </w:pPr>
            <w:r>
              <w:t xml:space="preserve">Labor cost escalation; operational disruption</w:t>
            </w:r>
          </w:p>
        </w:tc>
      </w:tr>
      <w:tr>
        <w:tc>
          <w:tcPr/>
          <w:p>
            <w:pPr>
              <w:pStyle w:val="Compact"/>
              <w:jc w:val="left"/>
            </w:pPr>
            <w:r>
              <w:t xml:space="preserve">RF-14</w:t>
            </w:r>
          </w:p>
        </w:tc>
        <w:tc>
          <w:tcPr/>
          <w:p>
            <w:pPr>
              <w:pStyle w:val="Compact"/>
              <w:jc w:val="left"/>
            </w:pPr>
            <w:r>
              <w:t xml:space="preserve">Financial / QoE</w:t>
            </w:r>
          </w:p>
        </w:tc>
        <w:tc>
          <w:tcPr/>
          <w:p>
            <w:pPr>
              <w:pStyle w:val="Compact"/>
              <w:jc w:val="left"/>
            </w:pPr>
            <w:r>
              <w:t xml:space="preserve">Asbestos Abatement Long-Tail — Insurance Gap Pre-2015</w:t>
            </w:r>
          </w:p>
        </w:tc>
        <w:tc>
          <w:tcPr/>
          <w:p>
            <w:pPr>
              <w:pStyle w:val="Compact"/>
              <w:jc w:val="left"/>
            </w:pPr>
            <w:r>
              <w:rPr>
                <w:b/>
                <w:bCs/>
              </w:rPr>
              <w:t xml:space="preserve">MEDIUM</w:t>
            </w:r>
          </w:p>
        </w:tc>
        <w:tc>
          <w:tcPr/>
          <w:p>
            <w:pPr>
              <w:pStyle w:val="Compact"/>
              <w:jc w:val="left"/>
            </w:pPr>
            <w:r>
              <w:t xml:space="preserve">Unquantified; no reserve; coverage gap</w:t>
            </w:r>
          </w:p>
        </w:tc>
      </w:tr>
    </w:tbl>
    <w:p>
      <w:r>
        <w:pict>
          <v:rect style="width:0;height:1.5pt" o:hralign="center" o:hrstd="t" o:hr="t"/>
        </w:pict>
      </w:r>
    </w:p>
    <w:bookmarkEnd w:id="23"/>
    <w:bookmarkStart w:id="28" w:name="X53d61c68c991e6aaae2de535604016e95576d84"/>
    <w:p>
      <w:pPr>
        <w:pStyle w:val="Heading2"/>
      </w:pPr>
      <w:r>
        <w:t xml:space="preserve">III. FINANCIAL / QUALITY OF EARNINGS RED FLAGS</w:t>
      </w:r>
    </w:p>
    <w:bookmarkStart w:id="24" w:name="X2e66c44b64b96e7c9ed72f9a6ffb5cfeb301329"/>
    <w:p>
      <w:pPr>
        <w:pStyle w:val="Heading3"/>
      </w:pPr>
      <w:r>
        <w:t xml:space="preserve">RF-01 — Adjusted EBITDA Discrepancy: CIM vs. QoE Schedule</w:t>
      </w:r>
    </w:p>
    <w:p>
      <w:pPr>
        <w:pStyle w:val="FirstParagraph"/>
      </w:pPr>
      <w:r>
        <w:rPr>
          <w:b/>
          <w:bCs/>
        </w:rPr>
        <w:t xml:space="preserve">Severity: HIGH</w:t>
      </w:r>
    </w:p>
    <w:p>
      <w:pPr>
        <w:pStyle w:val="BodyText"/>
      </w:pPr>
      <w:r>
        <w:t xml:space="preserve">The Confidential Information Memorandum presents FY2024 Adjusted EBITDA of</w:t>
      </w:r>
      <w:r>
        <w:t xml:space="preserve"> </w:t>
      </w:r>
      <w:r>
        <w:rPr>
          <w:b/>
          <w:bCs/>
        </w:rPr>
        <w:t xml:space="preserve">$22.8 million</w:t>
      </w:r>
      <w:r>
        <w:t xml:space="preserve">, which forms the basis for the LOI’s indicative enterprise value range of $182M–$205M (8.0x–9.0x). However, the detailed EBITDA Bridge &amp; Adjustments tab in the QoE data package calculates Management Adjusted EBITDA of</w:t>
      </w:r>
      <w:r>
        <w:t xml:space="preserve"> </w:t>
      </w:r>
      <w:r>
        <w:rPr>
          <w:b/>
          <w:bCs/>
        </w:rPr>
        <w:t xml:space="preserve">$23.8 million</w:t>
      </w:r>
      <w:r>
        <w:t xml:space="preserve"> </w:t>
      </w:r>
      <w:r>
        <w:t xml:space="preserve">— a</w:t>
      </w:r>
      <w:r>
        <w:t xml:space="preserve"> </w:t>
      </w:r>
      <w:r>
        <w:rPr>
          <w:b/>
          <w:bCs/>
        </w:rPr>
        <w:t xml:space="preserve">$1.0 million discrepancy</w:t>
      </w:r>
      <w:r>
        <w:t xml:space="preserve"> </w:t>
      </w:r>
      <w:r>
        <w:t xml:space="preserve">that management has acknowledged but not yet reconciled. The specific adjustment category causing the discrepancy has not been identified.</w:t>
      </w:r>
    </w:p>
    <w:p>
      <w:pPr>
        <w:pStyle w:val="BodyText"/>
      </w:pPr>
      <w:r>
        <w:rPr>
          <w:b/>
          <w:bCs/>
        </w:rPr>
        <w:t xml:space="preserve">Diligence Implications:</w:t>
      </w:r>
      <w:r>
        <w:t xml:space="preserve"> </w:t>
      </w:r>
      <w:r>
        <w:t xml:space="preserve">- At 8.0x–9.0x, a $1.0M EBITDA discrepancy implies a</w:t>
      </w:r>
      <w:r>
        <w:t xml:space="preserve"> </w:t>
      </w:r>
      <w:r>
        <w:rPr>
          <w:b/>
          <w:bCs/>
        </w:rPr>
        <w:t xml:space="preserve">$8M–$9M purchase price variance</w:t>
      </w:r>
      <w:r>
        <w:t xml:space="preserve"> </w:t>
      </w:r>
      <w:r>
        <w:t xml:space="preserve">depending on which figure is correct.</w:t>
      </w:r>
      <w:r>
        <w:t xml:space="preserve"> </w:t>
      </w:r>
      <w:r>
        <w:t xml:space="preserve">- If the CIM figure ($22.8M) is correct, the QoE schedule overstates EBITDA by $1.0M, suggesting an error in the adjustment schedule.</w:t>
      </w:r>
      <w:r>
        <w:t xml:space="preserve"> </w:t>
      </w:r>
      <w:r>
        <w:t xml:space="preserve">- If the QoE figure ($23.8M) is correct, the CIM understates EBITDA — but this is inconsistent with the LOI’s stated basis.</w:t>
      </w:r>
      <w:r>
        <w:t xml:space="preserve"> </w:t>
      </w:r>
      <w:r>
        <w:t xml:space="preserve">- Management’s failure to identify the source of the discrepancy after it was flagged by Bridgewater Forsyth Group is a process-quality concern.</w:t>
      </w:r>
    </w:p>
    <w:p>
      <w:pPr>
        <w:pStyle w:val="BodyText"/>
      </w:pPr>
      <w:r>
        <w:rPr>
          <w:b/>
          <w:bCs/>
        </w:rPr>
        <w:t xml:space="preserve">Required Action:</w:t>
      </w:r>
      <w:r>
        <w:t xml:space="preserve"> </w:t>
      </w:r>
      <w:r>
        <w:t xml:space="preserve">Demand a fully reconciled EBITDA bridge with line-item support before proceeding to definitive agreement. The reconciled figure should be the basis for final enterprise value negotiation.</w:t>
      </w:r>
    </w:p>
    <w:p>
      <w:r>
        <w:pict>
          <v:rect style="width:0;height:1.5pt" o:hralign="center" o:hrstd="t" o:hr="t"/>
        </w:pict>
      </w:r>
    </w:p>
    <w:bookmarkEnd w:id="24"/>
    <w:bookmarkStart w:id="25" w:name="X6960012a309c17e2ba13ce31218fcca8189bc2b"/>
    <w:p>
      <w:pPr>
        <w:pStyle w:val="Heading3"/>
      </w:pPr>
      <w:r>
        <w:t xml:space="preserve">RF-02 — Aggressive and Partially Unsupported EBITDA Add-Backs</w:t>
      </w:r>
    </w:p>
    <w:p>
      <w:pPr>
        <w:pStyle w:val="FirstParagraph"/>
      </w:pPr>
      <w:r>
        <w:rPr>
          <w:b/>
          <w:bCs/>
        </w:rPr>
        <w:t xml:space="preserve">Severity: HIGH</w:t>
      </w:r>
    </w:p>
    <w:p>
      <w:pPr>
        <w:pStyle w:val="BodyText"/>
      </w:pPr>
      <w:r>
        <w:t xml:space="preserve">Management’s $5.4M in total EBITDA adjustments (bridging reported EBITDA of $18.4M to adjusted EBITDA of $22.8M–$23.8M) includes several items that are either recurring in nature, inadequately supported, or expressly excluded under the bank’s credit agreement definition of Consolidated EBITDA. Key concerns:</w:t>
      </w:r>
    </w:p>
    <w:p>
      <w:pPr>
        <w:pStyle w:val="BodyText"/>
      </w:pPr>
      <w:r>
        <w:rPr>
          <w:b/>
          <w:bCs/>
        </w:rPr>
        <w:t xml:space="preserve">a) Owner Compensation Normalization ($950K):</w:t>
      </w:r>
      <w:r>
        <w:t xml:space="preserve"> </w:t>
      </w:r>
      <w:r>
        <w:t xml:space="preserve">The adjustment normalizes CEO and COO compensation from $875K each ($1.75M total) to $400K each ($800K total). However, the employment agreements confirm that both founders’ change-of-control severance is calculated on the $875K base salary — meaning the buyer will pay $2.625M in certain severance at closing based on the actual (not normalized) compensation level. The normalization also assumes replacement executives can be hired at $400K each, which may be optimistic for a $127M environmental services platform in the Mountain West.</w:t>
      </w:r>
    </w:p>
    <w:p>
      <w:pPr>
        <w:pStyle w:val="BodyText"/>
      </w:pPr>
      <w:r>
        <w:rPr>
          <w:b/>
          <w:bCs/>
        </w:rPr>
        <w:t xml:space="preserve">b) Acquisition Integration Costs ($800K in FY2024):</w:t>
      </w:r>
      <w:r>
        <w:t xml:space="preserve"> </w:t>
      </w:r>
      <w:r>
        <w:t xml:space="preserve">The Pinnacle acquisition closed in March 2022 — over two years before the TTM period. Integration costs of $800K in FY2024 (and $620K in FY2023) suggest integration is not as</w:t>
      </w:r>
      <w:r>
        <w:t xml:space="preserve"> </w:t>
      </w:r>
      <w:r>
        <w:t xml:space="preserve">“</w:t>
      </w:r>
      <w:r>
        <w:t xml:space="preserve">substantially complete</w:t>
      </w:r>
      <w:r>
        <w:t xml:space="preserve">”</w:t>
      </w:r>
      <w:r>
        <w:t xml:space="preserve"> </w:t>
      </w:r>
      <w:r>
        <w:t xml:space="preserve">as represented. The credit agreement expressly excludes these costs from Consolidated EBITDA.</w:t>
      </w:r>
    </w:p>
    <w:p>
      <w:pPr>
        <w:pStyle w:val="BodyText"/>
      </w:pPr>
      <w:r>
        <w:rPr>
          <w:b/>
          <w:bCs/>
        </w:rPr>
        <w:t xml:space="preserve">c) ERP Implementation ($650K):</w:t>
      </w:r>
      <w:r>
        <w:t xml:space="preserve"> </w:t>
      </w:r>
      <w:r>
        <w:t xml:space="preserve">The QoE schedule notes that Phase 2 of the ERP implementation is expected to be completed in Q2 FY2025, meaning additional implementation costs may be incurred post-closing. This is not a clean non-recurring item.</w:t>
      </w:r>
    </w:p>
    <w:p>
      <w:pPr>
        <w:pStyle w:val="BodyText"/>
      </w:pPr>
      <w:r>
        <w:rPr>
          <w:b/>
          <w:bCs/>
        </w:rPr>
        <w:t xml:space="preserve">d) Asbestos Wind-Down ($1.8M):</w:t>
      </w:r>
      <w:r>
        <w:t xml:space="preserve"> </w:t>
      </w:r>
      <w:r>
        <w:t xml:space="preserve">While the service line was discontinued, the wind-down costs span FY2023 ($920K) and FY2024 ($1.8M), suggesting a multi-year pattern. Open workers’ compensation claims from former asbestos employees remain unresolved.</w:t>
      </w:r>
    </w:p>
    <w:p>
      <w:pPr>
        <w:pStyle w:val="BodyText"/>
      </w:pPr>
      <w:r>
        <w:rPr>
          <w:b/>
          <w:bCs/>
        </w:rPr>
        <w:t xml:space="preserve">e) Litigation Settlement ($1.2M):</w:t>
      </w:r>
      <w:r>
        <w:t xml:space="preserve"> </w:t>
      </w:r>
      <w:r>
        <w:t xml:space="preserve">The settlement relates to a net receipt from Clearwater Logistics — i.e., this is income, not an expense. Adding back income as a non-recurring item inflates adjusted EBITDA. The appropriate treatment is to exclude this receipt from normalized earnings, not add it back as if it were a cost.</w:t>
      </w:r>
    </w:p>
    <w:p>
      <w:pPr>
        <w:pStyle w:val="BodyText"/>
      </w:pPr>
      <w:r>
        <w:rPr>
          <w:b/>
          <w:bCs/>
        </w:rPr>
        <w:t xml:space="preserve">Bank EBITDA vs. Management EBITDA:</w:t>
      </w:r>
      <w:r>
        <w:t xml:space="preserve"> </w:t>
      </w:r>
      <w:r>
        <w:t xml:space="preserve">The credit agreement’s Consolidated EBITDA definition permits only up to $500K of non-recurring add-backs. The bank’s calculated leverage ratio of 2.10x (using $18.4M EBITDA) is materially different from management’s implied 1.70x (using $22.8M). Buyer should use the bank’s definition as a conservative baseline for valuation.</w:t>
      </w:r>
    </w:p>
    <w:p>
      <w:pPr>
        <w:pStyle w:val="BodyText"/>
      </w:pPr>
      <w:r>
        <w:rPr>
          <w:b/>
          <w:bCs/>
        </w:rPr>
        <w:t xml:space="preserve">Required Action:</w:t>
      </w:r>
      <w:r>
        <w:t xml:space="preserve"> </w:t>
      </w:r>
      <w:r>
        <w:t xml:space="preserve">Conduct independent QoE analysis to validate each add-back. Negotiate purchase price based on a defensible, conservatively adjusted EBITDA figure. Consider a price adjustment mechanism tied to QoE findings.</w:t>
      </w:r>
    </w:p>
    <w:p>
      <w:r>
        <w:pict>
          <v:rect style="width:0;height:1.5pt" o:hralign="center" o:hrstd="t" o:hr="t"/>
        </w:pict>
      </w:r>
    </w:p>
    <w:bookmarkEnd w:id="25"/>
    <w:bookmarkStart w:id="26" w:name="Xb4849a4dda23027a9ceab2c694c04db0b062292"/>
    <w:p>
      <w:pPr>
        <w:pStyle w:val="Heading3"/>
      </w:pPr>
      <w:r>
        <w:t xml:space="preserve">RF-03 — DOE IDIQ Ceiling Near Exhaustion: Material FY2025 Revenue Cliff</w:t>
      </w:r>
    </w:p>
    <w:p>
      <w:pPr>
        <w:pStyle w:val="FirstParagraph"/>
      </w:pPr>
      <w:r>
        <w:rPr>
          <w:b/>
          <w:bCs/>
        </w:rPr>
        <w:t xml:space="preserve">Severity: CRITICAL</w:t>
      </w:r>
    </w:p>
    <w:p>
      <w:pPr>
        <w:pStyle w:val="BodyText"/>
      </w:pPr>
      <w:r>
        <w:t xml:space="preserve">The U.S. Department of Energy represents</w:t>
      </w:r>
      <w:r>
        <w:t xml:space="preserve"> </w:t>
      </w:r>
      <w:r>
        <w:rPr>
          <w:b/>
          <w:bCs/>
        </w:rPr>
        <w:t xml:space="preserve">19.2% of TTM revenue ($24.4M)</w:t>
      </w:r>
      <w:r>
        <w:t xml:space="preserve"> </w:t>
      </w:r>
      <w:r>
        <w:t xml:space="preserve">— the Company’s single largest customer. Revenue is generated under IDIQ Contract No. DE-EM-0005523, which has a</w:t>
      </w:r>
      <w:r>
        <w:t xml:space="preserve"> </w:t>
      </w:r>
      <w:r>
        <w:rPr>
          <w:b/>
          <w:bCs/>
        </w:rPr>
        <w:t xml:space="preserve">$45.0M ceiling value</w:t>
      </w:r>
      <w:r>
        <w:t xml:space="preserve"> </w:t>
      </w:r>
      <w:r>
        <w:t xml:space="preserve">and expires August 31, 2026.</w:t>
      </w:r>
    </w:p>
    <w:p>
      <w:pPr>
        <w:pStyle w:val="BodyText"/>
      </w:pPr>
      <w:r>
        <w:rPr>
          <w:b/>
          <w:bCs/>
        </w:rPr>
        <w:t xml:space="preserve">The Critical Issue:</w:t>
      </w:r>
      <w:r>
        <w:t xml:space="preserve"> </w:t>
      </w:r>
      <w:r>
        <w:t xml:space="preserve">As of September 30, 2024,</w:t>
      </w:r>
      <w:r>
        <w:t xml:space="preserve"> </w:t>
      </w:r>
      <w:r>
        <w:rPr>
          <w:b/>
          <w:bCs/>
        </w:rPr>
        <w:t xml:space="preserve">$32.7M of the $45.0M ceiling has been consumed</w:t>
      </w:r>
      <w:r>
        <w:t xml:space="preserve"> </w:t>
      </w:r>
      <w:r>
        <w:t xml:space="preserve">(72.7% utilization) in only 61.7% of the contract period. At the current TTM run rate of approximately $24.4M/year (~$2.03M/month), the</w:t>
      </w:r>
      <w:r>
        <w:t xml:space="preserve"> </w:t>
      </w:r>
      <w:r>
        <w:rPr>
          <w:b/>
          <w:bCs/>
        </w:rPr>
        <w:t xml:space="preserve">remaining $12.3M ceiling will be exhausted by approximately April–May 2025</w:t>
      </w:r>
      <w:r>
        <w:t xml:space="preserve"> </w:t>
      </w:r>
      <w:r>
        <w:t xml:space="preserve">— coinciding precisely with the target closing date.</w:t>
      </w:r>
    </w:p>
    <w:p>
      <w:pPr>
        <w:pStyle w:val="BodyText"/>
      </w:pPr>
      <w:r>
        <w:rPr>
          <w:b/>
          <w:bCs/>
        </w:rPr>
        <w:t xml:space="preserve">Projected Impact:</w:t>
      </w:r>
      <w:r>
        <w:t xml:space="preserve"> </w:t>
      </w:r>
      <w:r>
        <w:t xml:space="preserve">- If the ceiling is not increased via contract modification, DOE revenue could decline from $24.4M (FY2024) to</w:t>
      </w:r>
      <w:r>
        <w:t xml:space="preserve"> </w:t>
      </w:r>
      <w:r>
        <w:rPr>
          <w:b/>
          <w:bCs/>
        </w:rPr>
        <w:t xml:space="preserve">≤$12.3M in FY2025</w:t>
      </w:r>
      <w:r>
        <w:t xml:space="preserve"> </w:t>
      </w:r>
      <w:r>
        <w:t xml:space="preserve">— a</w:t>
      </w:r>
      <w:r>
        <w:t xml:space="preserve"> </w:t>
      </w:r>
      <w:r>
        <w:rPr>
          <w:b/>
          <w:bCs/>
        </w:rPr>
        <w:t xml:space="preserve">$12.1M revenue headwind</w:t>
      </w:r>
      <w:r>
        <w:t xml:space="preserve"> </w:t>
      </w:r>
      <w:r>
        <w:t xml:space="preserve">representing approximately 9.5% of total revenue.</w:t>
      </w:r>
      <w:r>
        <w:t xml:space="preserve"> </w:t>
      </w:r>
      <w:r>
        <w:t xml:space="preserve">- At 8.0x–9.0x EBITDA, assuming 35% gross margins on DOE revenue, a $12.1M revenue decline implies approximately $4.2M of gross profit at risk, or a</w:t>
      </w:r>
      <w:r>
        <w:t xml:space="preserve"> </w:t>
      </w:r>
      <w:r>
        <w:rPr>
          <w:b/>
          <w:bCs/>
        </w:rPr>
        <w:t xml:space="preserve">$33.6M–$37.8M enterprise value impact</w:t>
      </w:r>
      <w:r>
        <w:t xml:space="preserve">.</w:t>
      </w:r>
      <w:r>
        <w:t xml:space="preserve"> </w:t>
      </w:r>
      <w:r>
        <w:t xml:space="preserve">- The contract expires August 31, 2026, leaving approximately 16 months of unfunded contract period after ceiling exhaustion.</w:t>
      </w:r>
    </w:p>
    <w:p>
      <w:pPr>
        <w:pStyle w:val="BodyText"/>
      </w:pPr>
      <w:r>
        <w:rPr>
          <w:b/>
          <w:bCs/>
        </w:rPr>
        <w:t xml:space="preserve">Additional Risk:</w:t>
      </w:r>
      <w:r>
        <w:t xml:space="preserve"> </w:t>
      </w:r>
      <w:r>
        <w:t xml:space="preserve">The DOE contract is</w:t>
      </w:r>
      <w:r>
        <w:t xml:space="preserve"> </w:t>
      </w:r>
      <w:r>
        <w:rPr>
          <w:b/>
          <w:bCs/>
        </w:rPr>
        <w:t xml:space="preserve">non-assignable</w:t>
      </w:r>
      <w:r>
        <w:t xml:space="preserve"> </w:t>
      </w:r>
      <w:r>
        <w:t xml:space="preserve">under the Anti-Assignment Act (41 U.S.C. § 6305) and FAR 42.12. While a stock acquisition may not technically constitute an assignment, the contract’s Section H, Clause H-12 requires written notification to the Contracting Officer within 30 days of any change in ownership exceeding 50%. Failure to notify may be grounds for termination for default. A novation agreement may be required.</w:t>
      </w:r>
    </w:p>
    <w:p>
      <w:pPr>
        <w:pStyle w:val="BodyText"/>
      </w:pPr>
      <w:r>
        <w:rPr>
          <w:b/>
          <w:bCs/>
        </w:rPr>
        <w:t xml:space="preserve">Required Action:</w:t>
      </w:r>
      <w:r>
        <w:t xml:space="preserve"> </w:t>
      </w:r>
      <w:r>
        <w:t xml:space="preserve">(1) Obtain written confirmation from the DOE Contracting Officer regarding the ceiling modification pipeline and likelihood of ceiling increase; (2) Assess novation requirements and timeline; (3) Adjust valuation to reflect realistic FY2025 DOE revenue; (4) Consider an earnout or price adjustment mechanism tied to DOE contract continuation.</w:t>
      </w:r>
    </w:p>
    <w:p>
      <w:r>
        <w:pict>
          <v:rect style="width:0;height:1.5pt" o:hralign="center" o:hrstd="t" o:hr="t"/>
        </w:pict>
      </w:r>
    </w:p>
    <w:bookmarkEnd w:id="26"/>
    <w:bookmarkStart w:id="27" w:name="Xf2c7881b1abcc2d53b900ce4d6e1bdba2c7a8a3"/>
    <w:p>
      <w:pPr>
        <w:pStyle w:val="Heading3"/>
      </w:pPr>
      <w:r>
        <w:t xml:space="preserve">RF-04 — Fleet Deferred Replacement: Understated Maintenance CapEx</w:t>
      </w:r>
    </w:p>
    <w:p>
      <w:pPr>
        <w:pStyle w:val="FirstParagraph"/>
      </w:pPr>
      <w:r>
        <w:rPr>
          <w:b/>
          <w:bCs/>
        </w:rPr>
        <w:t xml:space="preserve">Severity: HIGH</w:t>
      </w:r>
    </w:p>
    <w:p>
      <w:pPr>
        <w:pStyle w:val="BodyText"/>
      </w:pPr>
      <w:r>
        <w:t xml:space="preserve">Management represents normalized annual maintenance CapEx of</w:t>
      </w:r>
      <w:r>
        <w:t xml:space="preserve"> </w:t>
      </w:r>
      <w:r>
        <w:rPr>
          <w:b/>
          <w:bCs/>
        </w:rPr>
        <w:t xml:space="preserve">$4.0M–$4.5M</w:t>
      </w:r>
      <w:r>
        <w:t xml:space="preserve">. The Fleet &amp; Equipment Schedule reveals a materially different picture:</w:t>
      </w:r>
    </w:p>
    <w:p>
      <w:pPr>
        <w:pStyle w:val="Compact"/>
        <w:numPr>
          <w:ilvl w:val="0"/>
          <w:numId w:val="1001"/>
        </w:numPr>
      </w:pPr>
      <w:r>
        <w:rPr>
          <w:b/>
          <w:bCs/>
        </w:rPr>
        <w:t xml:space="preserve">38 of 85 fleet assets (44.7%) are at or past their stated useful life</w:t>
      </w:r>
      <w:r>
        <w:t xml:space="preserve">, with many flagged as</w:t>
      </w:r>
      <w:r>
        <w:t xml:space="preserve"> </w:t>
      </w:r>
      <w:r>
        <w:t xml:space="preserve">“</w:t>
      </w:r>
      <w:r>
        <w:t xml:space="preserve">Replacement Deferred.</w:t>
      </w:r>
      <w:r>
        <w:t xml:space="preserve">”</w:t>
      </w:r>
    </w:p>
    <w:p>
      <w:pPr>
        <w:pStyle w:val="Compact"/>
        <w:numPr>
          <w:ilvl w:val="0"/>
          <w:numId w:val="1001"/>
        </w:numPr>
      </w:pPr>
      <w:r>
        <w:t xml:space="preserve">The average fleet age of</w:t>
      </w:r>
      <w:r>
        <w:t xml:space="preserve"> </w:t>
      </w:r>
      <w:r>
        <w:rPr>
          <w:b/>
          <w:bCs/>
        </w:rPr>
        <w:t xml:space="preserve">8.2 years</w:t>
      </w:r>
      <w:r>
        <w:t xml:space="preserve"> </w:t>
      </w:r>
      <w:r>
        <w:t xml:space="preserve">exceeds the weighted average useful life of 7.0 years.</w:t>
      </w:r>
    </w:p>
    <w:p>
      <w:pPr>
        <w:pStyle w:val="Compact"/>
        <w:numPr>
          <w:ilvl w:val="0"/>
          <w:numId w:val="1001"/>
        </w:numPr>
      </w:pPr>
      <w:r>
        <w:t xml:space="preserve">Total estimated replacement cost for past-useful-life units is</w:t>
      </w:r>
      <w:r>
        <w:t xml:space="preserve"> </w:t>
      </w:r>
      <w:r>
        <w:rPr>
          <w:b/>
          <w:bCs/>
        </w:rPr>
        <w:t xml:space="preserve">$9.8M</w:t>
      </w:r>
      <w:r>
        <w:t xml:space="preserve">.</w:t>
      </w:r>
    </w:p>
    <w:p>
      <w:pPr>
        <w:pStyle w:val="Compact"/>
        <w:numPr>
          <w:ilvl w:val="0"/>
          <w:numId w:val="1001"/>
        </w:numPr>
      </w:pPr>
      <w:r>
        <w:t xml:space="preserve">Spreading this backlog over 3 years implies approximately</w:t>
      </w:r>
      <w:r>
        <w:t xml:space="preserve"> </w:t>
      </w:r>
      <w:r>
        <w:rPr>
          <w:b/>
          <w:bCs/>
        </w:rPr>
        <w:t xml:space="preserve">$3.3M/year in catch-up CapEx</w:t>
      </w:r>
      <w:r>
        <w:t xml:space="preserve"> </w:t>
      </w:r>
      <w:r>
        <w:t xml:space="preserve">above the stated maintenance run-rate.</w:t>
      </w:r>
    </w:p>
    <w:p>
      <w:pPr>
        <w:pStyle w:val="Compact"/>
        <w:numPr>
          <w:ilvl w:val="0"/>
          <w:numId w:val="1001"/>
        </w:numPr>
      </w:pPr>
      <w:r>
        <w:t xml:space="preserve">Several units are flagged as</w:t>
      </w:r>
      <w:r>
        <w:t xml:space="preserve"> </w:t>
      </w:r>
      <w:r>
        <w:t xml:space="preserve">“</w:t>
      </w:r>
      <w:r>
        <w:t xml:space="preserve">At End of Life — No Replacement Scheduled,</w:t>
      </w:r>
      <w:r>
        <w:t xml:space="preserve">”</w:t>
      </w:r>
      <w:r>
        <w:t xml:space="preserve"> </w:t>
      </w:r>
      <w:r>
        <w:t xml:space="preserve">suggesting the deferred replacement problem is not being actively managed.</w:t>
      </w:r>
    </w:p>
    <w:p>
      <w:pPr>
        <w:pStyle w:val="FirstParagraph"/>
      </w:pPr>
      <w:r>
        <w:rPr>
          <w:b/>
          <w:bCs/>
        </w:rPr>
        <w:t xml:space="preserve">Implication for Valuation:</w:t>
      </w:r>
      <w:r>
        <w:t xml:space="preserve"> </w:t>
      </w:r>
      <w:r>
        <w:t xml:space="preserve">True normalized maintenance CapEx is likely</w:t>
      </w:r>
      <w:r>
        <w:t xml:space="preserve"> </w:t>
      </w:r>
      <w:r>
        <w:rPr>
          <w:b/>
          <w:bCs/>
        </w:rPr>
        <w:t xml:space="preserve">$7.3M–$7.8M/year</w:t>
      </w:r>
      <w:r>
        <w:t xml:space="preserve"> </w:t>
      </w:r>
      <w:r>
        <w:t xml:space="preserve">(stated $4.0M–$4.5M + $3.3M catch-up), not $4.0M–$4.5M. This reduces normalized free cash flow by approximately $3.3M annually, implying a</w:t>
      </w:r>
      <w:r>
        <w:t xml:space="preserve"> </w:t>
      </w:r>
      <w:r>
        <w:rPr>
          <w:b/>
          <w:bCs/>
        </w:rPr>
        <w:t xml:space="preserve">$26.4M–$29.7M enterprise value overstatement</w:t>
      </w:r>
      <w:r>
        <w:t xml:space="preserve"> </w:t>
      </w:r>
      <w:r>
        <w:t xml:space="preserve">at 8.0x–9.0x.</w:t>
      </w:r>
    </w:p>
    <w:p>
      <w:pPr>
        <w:pStyle w:val="BodyText"/>
      </w:pPr>
      <w:r>
        <w:rPr>
          <w:b/>
          <w:bCs/>
        </w:rPr>
        <w:t xml:space="preserve">Required Action:</w:t>
      </w:r>
      <w:r>
        <w:t xml:space="preserve"> </w:t>
      </w:r>
      <w:r>
        <w:t xml:space="preserve">Commission an independent fleet appraisal. Adjust CapEx assumptions in the financial model. Negotiate a purchase price reduction or escrow to address the deferred replacement backlog.</w:t>
      </w:r>
    </w:p>
    <w:p>
      <w:r>
        <w:pict>
          <v:rect style="width:0;height:1.5pt" o:hralign="center" o:hrstd="t" o:hr="t"/>
        </w:pict>
      </w:r>
    </w:p>
    <w:bookmarkEnd w:id="27"/>
    <w:bookmarkEnd w:id="28"/>
    <w:bookmarkStart w:id="31" w:name="iv.-environmental-red-flags"/>
    <w:p>
      <w:pPr>
        <w:pStyle w:val="Heading2"/>
      </w:pPr>
      <w:r>
        <w:t xml:space="preserve">IV. ENVIRONMENTAL RED FLAGS</w:t>
      </w:r>
    </w:p>
    <w:bookmarkStart w:id="29" w:name="X0667a766b842af7058bb4c95daedb207dc3429c"/>
    <w:p>
      <w:pPr>
        <w:pStyle w:val="Heading3"/>
      </w:pPr>
      <w:r>
        <w:t xml:space="preserve">RF-05 — Grand Junction Contamination: Stale ESA and Unquantified Upside Risk</w:t>
      </w:r>
    </w:p>
    <w:p>
      <w:pPr>
        <w:pStyle w:val="FirstParagraph"/>
      </w:pPr>
      <w:r>
        <w:rPr>
          <w:b/>
          <w:bCs/>
        </w:rPr>
        <w:t xml:space="preserve">Severity: HIGH</w:t>
      </w:r>
    </w:p>
    <w:p>
      <w:pPr>
        <w:pStyle w:val="BodyText"/>
      </w:pPr>
      <w:r>
        <w:t xml:space="preserve">The Company’s owned headquarters property at 8750 Industrial Parkway, Grand Junction, CO has documented soil and groundwater contamination from pre-acquisition industrial operations. The Phase II ESA (Elkhorn Environmental Consultants, June 2019) identified:</w:t>
      </w:r>
    </w:p>
    <w:p>
      <w:pPr>
        <w:pStyle w:val="Compact"/>
        <w:numPr>
          <w:ilvl w:val="0"/>
          <w:numId w:val="1002"/>
        </w:numPr>
      </w:pPr>
      <w:r>
        <w:rPr>
          <w:b/>
          <w:bCs/>
        </w:rPr>
        <w:t xml:space="preserve">Area 1 (Former UST Area):</w:t>
      </w:r>
      <w:r>
        <w:t xml:space="preserve"> </w:t>
      </w:r>
      <w:r>
        <w:t xml:space="preserve">Petroleum hydrocarbon contamination (TPH-diesel up to 4,200 mg/kg; benzene up to 2.4 mg/kg) exceeding CDPHE commercial/industrial cleanup levels across approximately 8,500 sq. ft.</w:t>
      </w:r>
    </w:p>
    <w:p>
      <w:pPr>
        <w:pStyle w:val="Compact"/>
        <w:numPr>
          <w:ilvl w:val="0"/>
          <w:numId w:val="1002"/>
        </w:numPr>
      </w:pPr>
      <w:r>
        <w:rPr>
          <w:b/>
          <w:bCs/>
        </w:rPr>
        <w:t xml:space="preserve">Area 2 (Former Degreasing Area):</w:t>
      </w:r>
      <w:r>
        <w:t xml:space="preserve"> </w:t>
      </w:r>
      <w:r>
        <w:t xml:space="preserve">Chlorinated solvent contamination (PCE up to 18 mg/kg; TCE up to 6.8 mg/kg) exceeding CDPHE cleanup levels across approximately 12,000 sq. ft., with active reductive dechlorination indicating an ongoing contaminant source.</w:t>
      </w:r>
    </w:p>
    <w:p>
      <w:pPr>
        <w:pStyle w:val="Compact"/>
        <w:numPr>
          <w:ilvl w:val="0"/>
          <w:numId w:val="1002"/>
        </w:numPr>
      </w:pPr>
      <w:r>
        <w:rPr>
          <w:b/>
          <w:bCs/>
        </w:rPr>
        <w:t xml:space="preserve">Groundwater Impact:</w:t>
      </w:r>
      <w:r>
        <w:t xml:space="preserve"> </w:t>
      </w:r>
      <w:r>
        <w:t xml:space="preserve">Benzene at 12 µg/L (exceeds 5 µg/L standard) and PCE at 22 µg/L (exceeds 5 µg/L standard) confirmed in monitoring wells.</w:t>
      </w:r>
    </w:p>
    <w:p>
      <w:pPr>
        <w:pStyle w:val="FirstParagraph"/>
      </w:pPr>
      <w:r>
        <w:rPr>
          <w:b/>
          <w:bCs/>
        </w:rPr>
        <w:t xml:space="preserve">Critical Concerns:</w:t>
      </w:r>
    </w:p>
    <w:p>
      <w:pPr>
        <w:numPr>
          <w:ilvl w:val="0"/>
          <w:numId w:val="1003"/>
        </w:numPr>
      </w:pPr>
      <w:r>
        <w:rPr>
          <w:b/>
          <w:bCs/>
        </w:rPr>
        <w:t xml:space="preserve">The ESA is over 5 years old.</w:t>
      </w:r>
      <w:r>
        <w:t xml:space="preserve"> </w:t>
      </w:r>
      <w:r>
        <w:t xml:space="preserve">Elkhorn expressly recommended that the ESA be updated prior to any property transaction. No updated investigation has been performed. Contaminant conditions — particularly the DNAPL chlorinated solvents — may have migrated materially since 2019.</w:t>
      </w:r>
    </w:p>
    <w:p>
      <w:pPr>
        <w:numPr>
          <w:ilvl w:val="0"/>
          <w:numId w:val="1003"/>
        </w:numPr>
      </w:pPr>
      <w:r>
        <w:rPr>
          <w:b/>
          <w:bCs/>
        </w:rPr>
        <w:t xml:space="preserve">Off-site migration unconfirmed.</w:t>
      </w:r>
      <w:r>
        <w:t xml:space="preserve"> </w:t>
      </w:r>
      <w:r>
        <w:t xml:space="preserve">The 2019 ESA recommended installation of off-site downgradient monitoring wells to confirm plume containment. This has not been done. If off-site migration is confirmed, remediation costs could increase substantially and additional regulatory notification requirements under Colorado Regulation No. 41 would be triggered.</w:t>
      </w:r>
    </w:p>
    <w:p>
      <w:pPr>
        <w:numPr>
          <w:ilvl w:val="0"/>
          <w:numId w:val="1003"/>
        </w:numPr>
      </w:pPr>
      <w:r>
        <w:rPr>
          <w:b/>
          <w:bCs/>
        </w:rPr>
        <w:t xml:space="preserve">The $3.2M accrual is based on 2019 cost estimates.</w:t>
      </w:r>
      <w:r>
        <w:t xml:space="preserve"> </w:t>
      </w:r>
      <w:r>
        <w:t xml:space="preserve">The 2019 estimate of $1.8M–$2.6M has not been updated for inflation, potential plume migration, or the unassessed vapor intrusion pathway. The current accrual of $2.2M attributable to Grand Junction may be materially insufficient.</w:t>
      </w:r>
    </w:p>
    <w:p>
      <w:pPr>
        <w:numPr>
          <w:ilvl w:val="0"/>
          <w:numId w:val="1003"/>
        </w:numPr>
      </w:pPr>
      <w:r>
        <w:rPr>
          <w:b/>
          <w:bCs/>
        </w:rPr>
        <w:t xml:space="preserve">The pollution liability insurance policy explicitly excludes gradual contamination at owned facilities.</w:t>
      </w:r>
      <w:r>
        <w:t xml:space="preserve"> </w:t>
      </w:r>
      <w:r>
        <w:t xml:space="preserve">The Phase II ESA characterizes the contamination as resulting from</w:t>
      </w:r>
      <w:r>
        <w:t xml:space="preserve"> </w:t>
      </w:r>
      <w:r>
        <w:t xml:space="preserve">“</w:t>
      </w:r>
      <w:r>
        <w:t xml:space="preserve">gradual releases over extended periods of time.</w:t>
      </w:r>
      <w:r>
        <w:t xml:space="preserve">”</w:t>
      </w:r>
      <w:r>
        <w:t xml:space="preserve"> </w:t>
      </w:r>
      <w:r>
        <w:t xml:space="preserve">This means the existing contamination is</w:t>
      </w:r>
      <w:r>
        <w:t xml:space="preserve"> </w:t>
      </w:r>
      <w:r>
        <w:rPr>
          <w:b/>
          <w:bCs/>
        </w:rPr>
        <w:t xml:space="preserve">not covered</w:t>
      </w:r>
      <w:r>
        <w:t xml:space="preserve"> </w:t>
      </w:r>
      <w:r>
        <w:t xml:space="preserve">by the Company’s Pollution Legal Liability policy.</w:t>
      </w:r>
    </w:p>
    <w:p>
      <w:pPr>
        <w:numPr>
          <w:ilvl w:val="0"/>
          <w:numId w:val="1003"/>
        </w:numPr>
      </w:pPr>
      <w:r>
        <w:rPr>
          <w:b/>
          <w:bCs/>
        </w:rPr>
        <w:t xml:space="preserve">The property is pledged as collateral</w:t>
      </w:r>
      <w:r>
        <w:t xml:space="preserve"> </w:t>
      </w:r>
      <w:r>
        <w:t xml:space="preserve">under the High Plains National Bank credit facility. The bank received a reliance letter on the 2019 ESA. A new lender will need to evaluate the environmental condition of the collateral.</w:t>
      </w:r>
    </w:p>
    <w:p>
      <w:pPr>
        <w:pStyle w:val="FirstParagraph"/>
      </w:pPr>
      <w:r>
        <w:rPr>
          <w:b/>
          <w:bCs/>
        </w:rPr>
        <w:t xml:space="preserve">Required Action:</w:t>
      </w:r>
      <w:r>
        <w:t xml:space="preserve"> </w:t>
      </w:r>
      <w:r>
        <w:t xml:space="preserve">Commission an updated Phase II ESA, including off-site monitoring wells and a vapor intrusion assessment, before closing. Obtain an independent remediation cost estimate. Negotiate specific environmental indemnification with an extended survival period (the LOI contemplates 6 years) and a separate escrow or reserve for environmental liabilities.</w:t>
      </w:r>
    </w:p>
    <w:p>
      <w:r>
        <w:pict>
          <v:rect style="width:0;height:1.5pt" o:hralign="center" o:hrstd="t" o:hr="t"/>
        </w:pict>
      </w:r>
    </w:p>
    <w:bookmarkEnd w:id="29"/>
    <w:bookmarkStart w:id="30" w:name="X2aff0626d2c909c4c903237d89063226714877d"/>
    <w:p>
      <w:pPr>
        <w:pStyle w:val="Heading3"/>
      </w:pPr>
      <w:r>
        <w:t xml:space="preserve">RF-06 — Vapor Intrusion Pathway: Unassessed Occupational Exposure</w:t>
      </w:r>
    </w:p>
    <w:p>
      <w:pPr>
        <w:pStyle w:val="FirstParagraph"/>
      </w:pPr>
      <w:r>
        <w:rPr>
          <w:b/>
          <w:bCs/>
        </w:rPr>
        <w:t xml:space="preserve">Severity: HIGH</w:t>
      </w:r>
    </w:p>
    <w:p>
      <w:pPr>
        <w:pStyle w:val="BodyText"/>
      </w:pPr>
      <w:r>
        <w:t xml:space="preserve">The 2019 Phase II ESA identified elevated chlorinated solvent vapors (PCE at 450 µg/m³ and TCE at 120 µg/m³, both exceeding EPA Regional Screening Levels) in soil gas adjacent to the</w:t>
      </w:r>
      <w:r>
        <w:t xml:space="preserve"> </w:t>
      </w:r>
      <w:r>
        <w:rPr>
          <w:b/>
          <w:bCs/>
        </w:rPr>
        <w:t xml:space="preserve">28,000 sq. ft. vehicle maintenance and equipment storage building</w:t>
      </w:r>
      <w:r>
        <w:t xml:space="preserve"> </w:t>
      </w:r>
      <w:r>
        <w:t xml:space="preserve">at the Grand Junction facility. This building is occupied daily by RES employees.</w:t>
      </w:r>
    </w:p>
    <w:p>
      <w:pPr>
        <w:pStyle w:val="BodyText"/>
      </w:pPr>
      <w:r>
        <w:t xml:space="preserve">Elkhorn specifically flagged this as</w:t>
      </w:r>
      <w:r>
        <w:t xml:space="preserve"> </w:t>
      </w:r>
      <w:r>
        <w:t xml:space="preserve">“</w:t>
      </w:r>
      <w:r>
        <w:t xml:space="preserve">a matter warranting prompt attention</w:t>
      </w:r>
      <w:r>
        <w:t xml:space="preserve">”</w:t>
      </w:r>
      <w:r>
        <w:t xml:space="preserve"> </w:t>
      </w:r>
      <w:r>
        <w:t xml:space="preserve">and recommended a vapor intrusion assessment including sub-slab soil gas sampling and indoor air quality monitoring.</w:t>
      </w:r>
      <w:r>
        <w:t xml:space="preserve"> </w:t>
      </w:r>
      <w:r>
        <w:rPr>
          <w:b/>
          <w:bCs/>
        </w:rPr>
        <w:t xml:space="preserve">This assessment has not been performed in the five years since the recommendation was made.</w:t>
      </w:r>
    </w:p>
    <w:p>
      <w:pPr>
        <w:pStyle w:val="BodyText"/>
      </w:pPr>
      <w:r>
        <w:rPr>
          <w:b/>
          <w:bCs/>
        </w:rPr>
        <w:t xml:space="preserve">Risks:</w:t>
      </w:r>
      <w:r>
        <w:t xml:space="preserve"> </w:t>
      </w:r>
      <w:r>
        <w:t xml:space="preserve">- If vapor intrusion is occurring at concentrations posing unacceptable risk, OSHA may require immediate occupational health measures and building mitigation systems (sub-slab depressurization).</w:t>
      </w:r>
      <w:r>
        <w:t xml:space="preserve"> </w:t>
      </w:r>
      <w:r>
        <w:t xml:space="preserve">- Employees exposed to chlorinated solvent vapors may have tort claims for occupational exposure — similar in nature to the pending</w:t>
      </w:r>
      <w:r>
        <w:t xml:space="preserve"> </w:t>
      </w:r>
      <w:r>
        <w:rPr>
          <w:i/>
          <w:iCs/>
        </w:rPr>
        <w:t xml:space="preserve">Ramirez v. RES</w:t>
      </w:r>
      <w:r>
        <w:t xml:space="preserve"> </w:t>
      </w:r>
      <w:r>
        <w:t xml:space="preserve">matter.</w:t>
      </w:r>
      <w:r>
        <w:t xml:space="preserve"> </w:t>
      </w:r>
      <w:r>
        <w:t xml:space="preserve">- The</w:t>
      </w:r>
      <w:r>
        <w:t xml:space="preserve"> </w:t>
      </w:r>
      <w:r>
        <w:rPr>
          <w:i/>
          <w:iCs/>
        </w:rPr>
        <w:t xml:space="preserve">Ramirez</w:t>
      </w:r>
      <w:r>
        <w:t xml:space="preserve"> </w:t>
      </w:r>
      <w:r>
        <w:t xml:space="preserve">case (alleging VOC and heavy metal exposure at a Wyoming job site) demonstrates that RES has already faced this type of claim. A vapor intrusion finding at the Grand Junction facility could trigger additional claims from current or former employees.</w:t>
      </w:r>
      <w:r>
        <w:t xml:space="preserve"> </w:t>
      </w:r>
      <w:r>
        <w:t xml:space="preserve">- The CGL policy contains a blanket asbestos exclusion; the PLL policy excludes gradual contamination at owned facilities. Coverage for vapor intrusion claims at the Grand Junction facility is uncertain.</w:t>
      </w:r>
    </w:p>
    <w:p>
      <w:pPr>
        <w:pStyle w:val="BodyText"/>
      </w:pPr>
      <w:r>
        <w:rPr>
          <w:b/>
          <w:bCs/>
        </w:rPr>
        <w:t xml:space="preserve">Required Action:</w:t>
      </w:r>
      <w:r>
        <w:t xml:space="preserve"> </w:t>
      </w:r>
      <w:r>
        <w:t xml:space="preserve">Commission an immediate vapor intrusion assessment. Evaluate OSHA notification obligations. Quantify potential remediation and mitigation costs. Assess insurance coverage adequacy.</w:t>
      </w:r>
    </w:p>
    <w:p>
      <w:r>
        <w:pict>
          <v:rect style="width:0;height:1.5pt" o:hralign="center" o:hrstd="t" o:hr="t"/>
        </w:pict>
      </w:r>
    </w:p>
    <w:bookmarkEnd w:id="30"/>
    <w:bookmarkEnd w:id="31"/>
    <w:bookmarkStart w:id="35" w:name="v.-regulatory-and-permitting-red-flags"/>
    <w:p>
      <w:pPr>
        <w:pStyle w:val="Heading2"/>
      </w:pPr>
      <w:r>
        <w:t xml:space="preserve">V. REGULATORY AND PERMITTING RED FLAGS</w:t>
      </w:r>
    </w:p>
    <w:bookmarkStart w:id="32" w:name="Xe4d873d6c74a77675b19e8452a81d93c1bbb265"/>
    <w:p>
      <w:pPr>
        <w:pStyle w:val="Heading3"/>
      </w:pPr>
      <w:r>
        <w:t xml:space="preserve">RF-07 — CDPHE Enforcement Action: Unaccrued Penalty Exposure</w:t>
      </w:r>
    </w:p>
    <w:p>
      <w:pPr>
        <w:pStyle w:val="FirstParagraph"/>
      </w:pPr>
      <w:r>
        <w:rPr>
          <w:b/>
          <w:bCs/>
        </w:rPr>
        <w:t xml:space="preserve">Severity: MEDIUM</w:t>
      </w:r>
    </w:p>
    <w:p>
      <w:pPr>
        <w:pStyle w:val="BodyText"/>
      </w:pPr>
      <w:r>
        <w:t xml:space="preserve">CDPHE issued a Notice of Violation (Docket No. CDPHE-HW-2024-0093) on July 18, 2024, alleging improper storage of approximately 14,000 gallons of F001/F002 listed hazardous waste at the Grand Junction facility in violation of RCRA Part B Permit No. COD-098-2761.</w:t>
      </w:r>
    </w:p>
    <w:p>
      <w:pPr>
        <w:pStyle w:val="BodyText"/>
      </w:pPr>
      <w:r>
        <w:rPr>
          <w:b/>
          <w:bCs/>
        </w:rPr>
        <w:t xml:space="preserve">Key Dispute:</w:t>
      </w:r>
      <w:r>
        <w:t xml:space="preserve"> </w:t>
      </w:r>
      <w:r>
        <w:t xml:space="preserve">The parties disagree on the violation period:</w:t>
      </w:r>
      <w:r>
        <w:t xml:space="preserve"> </w:t>
      </w:r>
      <w:r>
        <w:t xml:space="preserve">-</w:t>
      </w:r>
      <w:r>
        <w:t xml:space="preserve"> </w:t>
      </w:r>
      <w:r>
        <w:rPr>
          <w:b/>
          <w:bCs/>
        </w:rPr>
        <w:t xml:space="preserve">Company’s position:</w:t>
      </w:r>
      <w:r>
        <w:t xml:space="preserve"> </w:t>
      </w:r>
      <w:r>
        <w:t xml:space="preserve">12-day violation → maximum penalty of</w:t>
      </w:r>
      <w:r>
        <w:t xml:space="preserve"> </w:t>
      </w:r>
      <w:r>
        <w:rPr>
          <w:b/>
          <w:bCs/>
        </w:rPr>
        <w:t xml:space="preserve">$450,000</w:t>
      </w:r>
      <w:r>
        <w:t xml:space="preserve"> </w:t>
      </w:r>
      <w:r>
        <w:t xml:space="preserve">(12 × $37,500/day)</w:t>
      </w:r>
      <w:r>
        <w:t xml:space="preserve"> </w:t>
      </w:r>
      <w:r>
        <w:t xml:space="preserve">-</w:t>
      </w:r>
      <w:r>
        <w:t xml:space="preserve"> </w:t>
      </w:r>
      <w:r>
        <w:rPr>
          <w:b/>
          <w:bCs/>
        </w:rPr>
        <w:t xml:space="preserve">CDPHE’s position:</w:t>
      </w:r>
      <w:r>
        <w:t xml:space="preserve"> </w:t>
      </w:r>
      <w:r>
        <w:t xml:space="preserve">31-day violation → maximum penalty of</w:t>
      </w:r>
      <w:r>
        <w:t xml:space="preserve"> </w:t>
      </w:r>
      <w:r>
        <w:rPr>
          <w:b/>
          <w:bCs/>
        </w:rPr>
        <w:t xml:space="preserve">$1,162,500</w:t>
      </w:r>
      <w:r>
        <w:t xml:space="preserve"> </w:t>
      </w:r>
      <w:r>
        <w:t xml:space="preserve">(31 × $37,500/day)</w:t>
      </w:r>
    </w:p>
    <w:p>
      <w:pPr>
        <w:pStyle w:val="BodyText"/>
      </w:pPr>
      <w:r>
        <w:rPr>
          <w:b/>
          <w:bCs/>
        </w:rPr>
        <w:t xml:space="preserve">Concerns:</w:t>
      </w:r>
      <w:r>
        <w:t xml:space="preserve"> </w:t>
      </w:r>
      <w:r>
        <w:t xml:space="preserve">-</w:t>
      </w:r>
      <w:r>
        <w:t xml:space="preserve"> </w:t>
      </w:r>
      <w:r>
        <w:rPr>
          <w:b/>
          <w:bCs/>
        </w:rPr>
        <w:t xml:space="preserve">No accrual has been recorded</w:t>
      </w:r>
      <w:r>
        <w:t xml:space="preserve"> </w:t>
      </w:r>
      <w:r>
        <w:t xml:space="preserve">as of September 30, 2024, despite management assessing the probability of some penalty as</w:t>
      </w:r>
      <w:r>
        <w:t xml:space="preserve"> </w:t>
      </w:r>
      <w:r>
        <w:t xml:space="preserve">“</w:t>
      </w:r>
      <w:r>
        <w:t xml:space="preserve">Probable.</w:t>
      </w:r>
      <w:r>
        <w:t xml:space="preserve">”</w:t>
      </w:r>
      <w:r>
        <w:t xml:space="preserve"> </w:t>
      </w:r>
      <w:r>
        <w:t xml:space="preserve">- The settlement conference is expected in Q1 2025 — potentially during the pre-closing period. A settlement above $100K would require buyer consent under the LOI’s pre-closing covenants.</w:t>
      </w:r>
      <w:r>
        <w:t xml:space="preserve"> </w:t>
      </w:r>
      <w:r>
        <w:t xml:space="preserve">- The enforcement action involves the Company’s primary RCRA Part B permit (COD-098-2761), which expires December 31, 2026. A pattern of violations could complicate the 2026 renewal.</w:t>
      </w:r>
      <w:r>
        <w:t xml:space="preserve"> </w:t>
      </w:r>
      <w:r>
        <w:t xml:space="preserve">- The credit agreement requires prompt notice (within 5 business days) of any material regulatory action. Buyer should confirm this notice was provided to High Plains National Bank.</w:t>
      </w:r>
    </w:p>
    <w:p>
      <w:pPr>
        <w:pStyle w:val="BodyText"/>
      </w:pPr>
      <w:r>
        <w:rPr>
          <w:b/>
          <w:bCs/>
        </w:rPr>
        <w:t xml:space="preserve">Required Action:</w:t>
      </w:r>
      <w:r>
        <w:t xml:space="preserve"> </w:t>
      </w:r>
      <w:r>
        <w:t xml:space="preserve">Obtain a specific indemnification for the CDPHE enforcement action with a separate escrow or holdback. Require resolution of the enforcement action as a closing condition, or establish a reserve at the high end of the exposure range ($1.16M). Confirm bank notification compliance.</w:t>
      </w:r>
    </w:p>
    <w:p>
      <w:r>
        <w:pict>
          <v:rect style="width:0;height:1.5pt" o:hralign="center" o:hrstd="t" o:hr="t"/>
        </w:pict>
      </w:r>
    </w:p>
    <w:bookmarkEnd w:id="32"/>
    <w:bookmarkStart w:id="33" w:name="Xedae1c9546b3cb28ed8a504f7468c1a79d25b53"/>
    <w:p>
      <w:pPr>
        <w:pStyle w:val="Heading3"/>
      </w:pPr>
      <w:r>
        <w:t xml:space="preserve">RF-08 — Wyoming Permit Expired: Operating Under Timely Renewal Provisions</w:t>
      </w:r>
    </w:p>
    <w:p>
      <w:pPr>
        <w:pStyle w:val="FirstParagraph"/>
      </w:pPr>
      <w:r>
        <w:rPr>
          <w:b/>
          <w:bCs/>
        </w:rPr>
        <w:t xml:space="preserve">Severity: MEDIUM</w:t>
      </w:r>
    </w:p>
    <w:p>
      <w:pPr>
        <w:pStyle w:val="BodyText"/>
      </w:pPr>
      <w:r>
        <w:t xml:space="preserve">Wyoming Hazardous Waste Management Permit No. WY-HW-2019-033 for the Casper facility</w:t>
      </w:r>
      <w:r>
        <w:t xml:space="preserve"> </w:t>
      </w:r>
      <w:r>
        <w:rPr>
          <w:b/>
          <w:bCs/>
        </w:rPr>
        <w:t xml:space="preserve">expired November 30, 2024</w:t>
      </w:r>
      <w:r>
        <w:t xml:space="preserve">. The Company filed a renewal application on October 15, 2024 (46 days prior to expiration) and is currently operating under Wyoming’s timely renewal provisions.</w:t>
      </w:r>
    </w:p>
    <w:p>
      <w:pPr>
        <w:pStyle w:val="BodyText"/>
      </w:pPr>
      <w:r>
        <w:rPr>
          <w:b/>
          <w:bCs/>
        </w:rPr>
        <w:t xml:space="preserve">Concerns:</w:t>
      </w:r>
      <w:r>
        <w:t xml:space="preserve"> </w:t>
      </w:r>
      <w:r>
        <w:t xml:space="preserve">- While timely renewal provisions are a recognized legal mechanism, the permit is technically expired. Any regulatory action, inspection finding, or change in Wyoming DEQ’s posture could disrupt operations at the Casper facility (68 employees; significant Wyoming revenue base).</w:t>
      </w:r>
      <w:r>
        <w:t xml:space="preserve"> </w:t>
      </w:r>
      <w:r>
        <w:t xml:space="preserve">- The credit agreement lists</w:t>
      </w:r>
      <w:r>
        <w:t xml:space="preserve"> </w:t>
      </w:r>
      <w:r>
        <w:t xml:space="preserve">“</w:t>
      </w:r>
      <w:r>
        <w:t xml:space="preserve">revocation, suspension, or non-renewal of any material permit</w:t>
      </w:r>
      <w:r>
        <w:t xml:space="preserve">”</w:t>
      </w:r>
      <w:r>
        <w:t xml:space="preserve"> </w:t>
      </w:r>
      <w:r>
        <w:t xml:space="preserve">as an Event of Default. While timely renewal provisions should protect against this, the expired status creates technical uncertainty.</w:t>
      </w:r>
      <w:r>
        <w:t xml:space="preserve"> </w:t>
      </w:r>
      <w:r>
        <w:t xml:space="preserve">- The Casper facility serves several significant customers including High Plains Energy Partners ($8.3M), Bridger Valley Ranches ($4.1M), and Powder River Resources ($3.5M).</w:t>
      </w:r>
    </w:p>
    <w:p>
      <w:pPr>
        <w:pStyle w:val="BodyText"/>
      </w:pPr>
      <w:r>
        <w:rPr>
          <w:b/>
          <w:bCs/>
        </w:rPr>
        <w:t xml:space="preserve">Required Action:</w:t>
      </w:r>
      <w:r>
        <w:t xml:space="preserve"> </w:t>
      </w:r>
      <w:r>
        <w:t xml:space="preserve">Obtain written confirmation from Wyoming DEQ of the timely renewal status and expected timeline for permit issuance. Consider making permit renewal a closing condition or obtaining a representation from sellers regarding permit status.</w:t>
      </w:r>
    </w:p>
    <w:p>
      <w:r>
        <w:pict>
          <v:rect style="width:0;height:1.5pt" o:hralign="center" o:hrstd="t" o:hr="t"/>
        </w:pict>
      </w:r>
    </w:p>
    <w:bookmarkEnd w:id="33"/>
    <w:bookmarkStart w:id="34" w:name="Xccbc5344a45b6f9820fa5e7750c6dce91b7948f"/>
    <w:p>
      <w:pPr>
        <w:pStyle w:val="Heading3"/>
      </w:pPr>
      <w:r>
        <w:t xml:space="preserve">RF-09 — Utah Salt Lake City Permit Not Transferred: Regulatory Exposure</w:t>
      </w:r>
    </w:p>
    <w:p>
      <w:pPr>
        <w:pStyle w:val="FirstParagraph"/>
      </w:pPr>
      <w:r>
        <w:rPr>
          <w:b/>
          <w:bCs/>
        </w:rPr>
        <w:t xml:space="preserve">Severity: MEDIUM</w:t>
      </w:r>
    </w:p>
    <w:p>
      <w:pPr>
        <w:pStyle w:val="BodyText"/>
      </w:pPr>
      <w:r>
        <w:t xml:space="preserve">Utah Hazardous Waste Transfer Station Permit No. UTH-0441 for the Salt Lake City facility remains in the name of</w:t>
      </w:r>
      <w:r>
        <w:t xml:space="preserve"> </w:t>
      </w:r>
      <w:r>
        <w:rPr>
          <w:b/>
          <w:bCs/>
        </w:rPr>
        <w:t xml:space="preserve">Pinnacle Waste Solutions, LLC</w:t>
      </w:r>
      <w:r>
        <w:t xml:space="preserve"> </w:t>
      </w:r>
      <w:r>
        <w:t xml:space="preserve">— not RES — despite the Pinnacle acquisition closing in March 2022. The permit transfer application has been pending with the Utah Division of Waste Management for over two and a half years.</w:t>
      </w:r>
    </w:p>
    <w:p>
      <w:pPr>
        <w:pStyle w:val="BodyText"/>
      </w:pPr>
      <w:r>
        <w:rPr>
          <w:b/>
          <w:bCs/>
        </w:rPr>
        <w:t xml:space="preserve">Concerns:</w:t>
      </w:r>
      <w:r>
        <w:t xml:space="preserve"> </w:t>
      </w:r>
      <w:r>
        <w:t xml:space="preserve">- Under Utah Administrative Code R315-3, permit modifications reflecting changes in ownership or operational control require Division approval</w:t>
      </w:r>
      <w:r>
        <w:t xml:space="preserve"> </w:t>
      </w:r>
      <w:r>
        <w:rPr>
          <w:b/>
          <w:bCs/>
        </w:rPr>
        <w:t xml:space="preserve">prior to becoming effective</w:t>
      </w:r>
      <w:r>
        <w:t xml:space="preserve">. RES has been operating the facility under Pinnacle’s permit without formal authorization.</w:t>
      </w:r>
      <w:r>
        <w:t xml:space="preserve"> </w:t>
      </w:r>
      <w:r>
        <w:t xml:space="preserve">- The proposed acquisition of RES by Sycamore Capital would constitute a second change-of-control event layered on top of the unresolved first transfer, potentially complicating the transfer application further.</w:t>
      </w:r>
      <w:r>
        <w:t xml:space="preserve"> </w:t>
      </w:r>
      <w:r>
        <w:t xml:space="preserve">- The Salt Lake City facility serves approximately</w:t>
      </w:r>
      <w:r>
        <w:t xml:space="preserve"> </w:t>
      </w:r>
      <w:r>
        <w:rPr>
          <w:b/>
          <w:bCs/>
        </w:rPr>
        <w:t xml:space="preserve">$16.2M of annual revenue</w:t>
      </w:r>
      <w:r>
        <w:t xml:space="preserve"> </w:t>
      </w:r>
      <w:r>
        <w:t xml:space="preserve">(12.7% of total), including Wasatch Front Petroleum ($6.4M), Silver Creek Mining ($5.8M), Utah DEQ ($4.6M), and others.</w:t>
      </w:r>
      <w:r>
        <w:t xml:space="preserve"> </w:t>
      </w:r>
      <w:r>
        <w:t xml:space="preserve">- If the Utah Division of Waste Management determines that the facility has been operating without proper permit authorization, it could issue a stop-work order or enforcement action.</w:t>
      </w:r>
    </w:p>
    <w:p>
      <w:pPr>
        <w:pStyle w:val="BodyText"/>
      </w:pPr>
      <w:r>
        <w:rPr>
          <w:b/>
          <w:bCs/>
        </w:rPr>
        <w:t xml:space="preserve">Required Action:</w:t>
      </w:r>
      <w:r>
        <w:t xml:space="preserve"> </w:t>
      </w:r>
      <w:r>
        <w:t xml:space="preserve">Engage Utah environmental counsel to assess the regulatory risk of the pending transfer. Require completion of the permit transfer as a closing condition, or obtain a written comfort letter from the Utah Division of Waste Management. Establish a specific indemnification for any regulatory action arising from the permit transfer delay.</w:t>
      </w:r>
    </w:p>
    <w:p>
      <w:r>
        <w:pict>
          <v:rect style="width:0;height:1.5pt" o:hralign="center" o:hrstd="t" o:hr="t"/>
        </w:pict>
      </w:r>
    </w:p>
    <w:bookmarkEnd w:id="34"/>
    <w:bookmarkEnd w:id="35"/>
    <w:bookmarkStart w:id="38" w:name="vi.-contractual-and-customer-red-flags"/>
    <w:p>
      <w:pPr>
        <w:pStyle w:val="Heading2"/>
      </w:pPr>
      <w:r>
        <w:t xml:space="preserve">VI. CONTRACTUAL AND CUSTOMER RED FLAGS</w:t>
      </w:r>
    </w:p>
    <w:bookmarkStart w:id="36" w:name="X5678c2f984caa11a7c6d3be5fa155c16cad1194"/>
    <w:p>
      <w:pPr>
        <w:pStyle w:val="Heading3"/>
      </w:pPr>
      <w:r>
        <w:t xml:space="preserve">RF-10 — Salt Lake City Lease: Dual Consent Failure and Potential Default</w:t>
      </w:r>
    </w:p>
    <w:p>
      <w:pPr>
        <w:pStyle w:val="FirstParagraph"/>
      </w:pPr>
      <w:r>
        <w:rPr>
          <w:b/>
          <w:bCs/>
        </w:rPr>
        <w:t xml:space="preserve">Severity: HIGH</w:t>
      </w:r>
    </w:p>
    <w:p>
      <w:pPr>
        <w:pStyle w:val="BodyText"/>
      </w:pPr>
      <w:r>
        <w:t xml:space="preserve">The Salt Lake City transfer station lease (2100 West North Temple, Salt Lake City, UT 84116) was originally executed by Pinnacle Waste Solutions, LLC. Section 14 of the lease requires prior written landlord consent for any assignment or change of control of the tenant.</w:t>
      </w:r>
    </w:p>
    <w:p>
      <w:pPr>
        <w:pStyle w:val="BodyText"/>
      </w:pPr>
      <w:r>
        <w:rPr>
          <w:b/>
          <w:bCs/>
        </w:rPr>
        <w:t xml:space="preserve">The Problem:</w:t>
      </w:r>
      <w:r>
        <w:t xml:space="preserve"> </w:t>
      </w:r>
      <w:r>
        <w:t xml:space="preserve">RES submitted a consent-to-assignment request to landlord Wasatch Industrial Properties, LLC on April 12, 2022 — and has</w:t>
      </w:r>
      <w:r>
        <w:t xml:space="preserve"> </w:t>
      </w:r>
      <w:r>
        <w:rPr>
          <w:b/>
          <w:bCs/>
        </w:rPr>
        <w:t xml:space="preserve">never received a written response</w:t>
      </w:r>
      <w:r>
        <w:t xml:space="preserve">. Despite follow-up correspondence in July and November 2022, the landlord has not provided written consent. RES has been occupying and operating the facility for over two and a half years without landlord consent.</w:t>
      </w:r>
    </w:p>
    <w:p>
      <w:pPr>
        <w:pStyle w:val="BodyText"/>
      </w:pPr>
      <w:r>
        <w:rPr>
          <w:b/>
          <w:bCs/>
        </w:rPr>
        <w:t xml:space="preserve">Compounding Issue:</w:t>
      </w:r>
      <w:r>
        <w:t xml:space="preserve"> </w:t>
      </w:r>
      <w:r>
        <w:t xml:space="preserve">The proposed Sycamore acquisition would constitute a</w:t>
      </w:r>
      <w:r>
        <w:t xml:space="preserve"> </w:t>
      </w:r>
      <w:r>
        <w:rPr>
          <w:b/>
          <w:bCs/>
        </w:rPr>
        <w:t xml:space="preserve">second change-of-control event</w:t>
      </w:r>
      <w:r>
        <w:t xml:space="preserve"> </w:t>
      </w:r>
      <w:r>
        <w:t xml:space="preserve">under the lease, requiring a separate consent. Transaction counsel must address both the unresolved 2022 assignment and the new transaction-level consent simultaneously.</w:t>
      </w:r>
    </w:p>
    <w:p>
      <w:pPr>
        <w:pStyle w:val="BodyText"/>
      </w:pPr>
      <w:r>
        <w:rPr>
          <w:b/>
          <w:bCs/>
        </w:rPr>
        <w:t xml:space="preserve">Risks:</w:t>
      </w:r>
      <w:r>
        <w:t xml:space="preserve"> </w:t>
      </w:r>
      <w:r>
        <w:t xml:space="preserve">- The landlord’s acceptance of rent payments without objection may or may not constitute implied consent under Utah law — this is a fact-specific legal question.</w:t>
      </w:r>
      <w:r>
        <w:t xml:space="preserve"> </w:t>
      </w:r>
      <w:r>
        <w:t xml:space="preserve">- If the landlord asserts a default, it could seek to terminate the lease, which would disrupt operations at a facility generating approximately</w:t>
      </w:r>
      <w:r>
        <w:t xml:space="preserve"> </w:t>
      </w:r>
      <w:r>
        <w:rPr>
          <w:b/>
          <w:bCs/>
        </w:rPr>
        <w:t xml:space="preserve">$16.2M of annual revenue</w:t>
      </w:r>
      <w:r>
        <w:t xml:space="preserve"> </w:t>
      </w:r>
      <w:r>
        <w:t xml:space="preserve">and housing the SLC transfer station permit (UTH-0441).</w:t>
      </w:r>
      <w:r>
        <w:t xml:space="preserve"> </w:t>
      </w:r>
      <w:r>
        <w:t xml:space="preserve">- Wasatch Industrial Properties, LLC is already listed as an additional insured on the CGL policy, suggesting an active landlord relationship — but the consent issue remains unresolved.</w:t>
      </w:r>
      <w:r>
        <w:t xml:space="preserve"> </w:t>
      </w:r>
      <w:r>
        <w:t xml:space="preserve">- The LOI’s closing conditions require obtaining all required third-party consents, including landlord consents under material leases.</w:t>
      </w:r>
    </w:p>
    <w:p>
      <w:pPr>
        <w:pStyle w:val="BodyText"/>
      </w:pPr>
      <w:r>
        <w:rPr>
          <w:b/>
          <w:bCs/>
        </w:rPr>
        <w:t xml:space="preserve">Required Action:</w:t>
      </w:r>
      <w:r>
        <w:t xml:space="preserve"> </w:t>
      </w:r>
      <w:r>
        <w:t xml:space="preserve">Engage Utah real estate counsel to assess the default risk and the legal effect of the landlord’s acceptance of rent. Obtain written landlord consent to both the 2022 Pinnacle-to-RES assignment and the Sycamore acquisition as a closing condition. If consent cannot be obtained, evaluate alternative facility options and the impact on the SLC-based customer relationships.</w:t>
      </w:r>
    </w:p>
    <w:p>
      <w:r>
        <w:pict>
          <v:rect style="width:0;height:1.5pt" o:hralign="center" o:hrstd="t" o:hr="t"/>
        </w:pict>
      </w:r>
    </w:p>
    <w:bookmarkEnd w:id="36"/>
    <w:bookmarkStart w:id="37" w:name="X84da5220b1be766d1013c48c0323b7c183729f5"/>
    <w:p>
      <w:pPr>
        <w:pStyle w:val="Heading3"/>
      </w:pPr>
      <w:r>
        <w:t xml:space="preserve">RF-11 — DOE Contract Non-Assignability and Novation Requirement</w:t>
      </w:r>
    </w:p>
    <w:p>
      <w:pPr>
        <w:pStyle w:val="FirstParagraph"/>
      </w:pPr>
      <w:r>
        <w:rPr>
          <w:b/>
          <w:bCs/>
        </w:rPr>
        <w:t xml:space="preserve">Severity: HIGH</w:t>
      </w:r>
    </w:p>
    <w:p>
      <w:pPr>
        <w:pStyle w:val="BodyText"/>
      </w:pPr>
      <w:r>
        <w:t xml:space="preserve">As noted in RF-03, the DOE IDIQ contract (DE-EM-0005523) is subject to the Anti-Assignment Act (41 U.S.C. § 6305) and FAR 42.12. The contract’s Section H, Clause H-12 requires written notification to the Contracting Officer within 30 days of any change in ownership exceeding 50%.</w:t>
      </w:r>
    </w:p>
    <w:p>
      <w:pPr>
        <w:pStyle w:val="BodyText"/>
      </w:pPr>
      <w:r>
        <w:rPr>
          <w:b/>
          <w:bCs/>
        </w:rPr>
        <w:t xml:space="preserve">Additional Concerns:</w:t>
      </w:r>
      <w:r>
        <w:t xml:space="preserve"> </w:t>
      </w:r>
      <w:r>
        <w:t xml:space="preserve">- While a stock acquisition technically does not constitute an assignment of the contract (the contracting entity — RES — remains the same), the DOE may require a novation agreement to formally recognize the change in ownership. Novation under FAR 42.12 requires execution by the Government, the original contractor, and the successor entity, and can take several months to complete.</w:t>
      </w:r>
      <w:r>
        <w:t xml:space="preserve"> </w:t>
      </w:r>
      <w:r>
        <w:t xml:space="preserve">- Failure to notify the Contracting Officer within 30 days of closing may be grounds for termination for default.</w:t>
      </w:r>
      <w:r>
        <w:t xml:space="preserve"> </w:t>
      </w:r>
      <w:r>
        <w:t xml:space="preserve">- The DOE contract generates $24.4M of annual revenue (19.2% of total). Any disruption to this relationship — whether from ceiling exhaustion, novation delays, or a change-of-control-related review — would be material.</w:t>
      </w:r>
      <w:r>
        <w:t xml:space="preserve"> </w:t>
      </w:r>
      <w:r>
        <w:t xml:space="preserve">- The most recent CPARS rating for Task Order 0008 is</w:t>
      </w:r>
      <w:r>
        <w:t xml:space="preserve"> </w:t>
      </w:r>
      <w:r>
        <w:t xml:space="preserve">“</w:t>
      </w:r>
      <w:r>
        <w:t xml:space="preserve">Satisfactory</w:t>
      </w:r>
      <w:r>
        <w:t xml:space="preserve">”</w:t>
      </w:r>
      <w:r>
        <w:t xml:space="preserve"> </w:t>
      </w:r>
      <w:r>
        <w:t xml:space="preserve">(not</w:t>
      </w:r>
      <w:r>
        <w:t xml:space="preserve"> </w:t>
      </w:r>
      <w:r>
        <w:t xml:space="preserve">“</w:t>
      </w:r>
      <w:r>
        <w:t xml:space="preserve">Exceptional</w:t>
      </w:r>
      <w:r>
        <w:t xml:space="preserve">”</w:t>
      </w:r>
      <w:r>
        <w:t xml:space="preserve"> </w:t>
      </w:r>
      <w:r>
        <w:t xml:space="preserve">or</w:t>
      </w:r>
      <w:r>
        <w:t xml:space="preserve"> </w:t>
      </w:r>
      <w:r>
        <w:t xml:space="preserve">“</w:t>
      </w:r>
      <w:r>
        <w:t xml:space="preserve">Very Good</w:t>
      </w:r>
      <w:r>
        <w:t xml:space="preserve">”</w:t>
      </w:r>
      <w:r>
        <w:t xml:space="preserve"> </w:t>
      </w:r>
      <w:r>
        <w:t xml:space="preserve">as in prior task orders), which may indicate a slight performance trend worth monitoring.</w:t>
      </w:r>
    </w:p>
    <w:p>
      <w:pPr>
        <w:pStyle w:val="BodyText"/>
      </w:pPr>
      <w:r>
        <w:rPr>
          <w:b/>
          <w:bCs/>
        </w:rPr>
        <w:t xml:space="preserve">Required Action:</w:t>
      </w:r>
      <w:r>
        <w:t xml:space="preserve"> </w:t>
      </w:r>
      <w:r>
        <w:t xml:space="preserve">Engage government contracts counsel to assess novation requirements. Contact the DOE Contracting Officer pre-closing to discuss the transaction and confirm the notification and novation process. Make DOE notification and novation (or written confirmation that novation is not required) a closing condition.</w:t>
      </w:r>
    </w:p>
    <w:p>
      <w:r>
        <w:pict>
          <v:rect style="width:0;height:1.5pt" o:hralign="center" o:hrstd="t" o:hr="t"/>
        </w:pict>
      </w:r>
    </w:p>
    <w:bookmarkEnd w:id="37"/>
    <w:bookmarkEnd w:id="38"/>
    <w:bookmarkStart w:id="40" w:name="vii.-structural-and-legal-red-flags"/>
    <w:p>
      <w:pPr>
        <w:pStyle w:val="Heading2"/>
      </w:pPr>
      <w:r>
        <w:t xml:space="preserve">VII. STRUCTURAL AND LEGAL RED FLAGS</w:t>
      </w:r>
    </w:p>
    <w:bookmarkStart w:id="39" w:name="X769de9d6d12f797b9c96e70bf59712c0b044837"/>
    <w:p>
      <w:pPr>
        <w:pStyle w:val="Heading3"/>
      </w:pPr>
      <w:r>
        <w:t xml:space="preserve">RF-12 — Single-Trigger Change-of-Control Severance: Certain $2.625M Closing Cost</w:t>
      </w:r>
    </w:p>
    <w:p>
      <w:pPr>
        <w:pStyle w:val="FirstParagraph"/>
      </w:pPr>
      <w:r>
        <w:rPr>
          <w:b/>
          <w:bCs/>
        </w:rPr>
        <w:t xml:space="preserve">Severity: MEDIUM</w:t>
      </w:r>
    </w:p>
    <w:p>
      <w:pPr>
        <w:pStyle w:val="BodyText"/>
      </w:pPr>
      <w:r>
        <w:t xml:space="preserve">The employment agreements for Derek Calloway (CEO) and Jason Calloway (COO) contain</w:t>
      </w:r>
      <w:r>
        <w:t xml:space="preserve"> </w:t>
      </w:r>
      <w:r>
        <w:rPr>
          <w:b/>
          <w:bCs/>
        </w:rPr>
        <w:t xml:space="preserve">single-trigger</w:t>
      </w:r>
      <w:r>
        <w:t xml:space="preserve"> </w:t>
      </w:r>
      <w:r>
        <w:t xml:space="preserve">change-of-control severance provisions. Upon closing of the proposed 100% stock acquisition, each founder is entitled to a lump-sum payment of</w:t>
      </w:r>
      <w:r>
        <w:t xml:space="preserve"> </w:t>
      </w:r>
      <w:r>
        <w:rPr>
          <w:b/>
          <w:bCs/>
        </w:rPr>
        <w:t xml:space="preserve">$1,312,500</w:t>
      </w:r>
      <w:r>
        <w:t xml:space="preserve"> </w:t>
      </w:r>
      <w:r>
        <w:t xml:space="preserve">(18 months × $875,000 base salary), payable within 30 days of closing — regardless of whether their employment continues post-closing.</w:t>
      </w:r>
    </w:p>
    <w:p>
      <w:pPr>
        <w:pStyle w:val="BodyText"/>
      </w:pPr>
      <w:r>
        <w:rPr>
          <w:b/>
          <w:bCs/>
        </w:rPr>
        <w:t xml:space="preserve">Total Certain Severance at Closing: $2,625,000</w:t>
      </w:r>
    </w:p>
    <w:p>
      <w:pPr>
        <w:pStyle w:val="BodyText"/>
      </w:pPr>
      <w:r>
        <w:rPr>
          <w:b/>
          <w:bCs/>
        </w:rPr>
        <w:t xml:space="preserve">Additional Potential Severance:</w:t>
      </w:r>
      <w:r>
        <w:t xml:space="preserve"> </w:t>
      </w:r>
      <w:r>
        <w:t xml:space="preserve">The double-trigger provisions for Patricia Engel (CFO, $425K), Kurt Dillon (VP Ops, $375K), and Sandra Oakes (VP BD, $350K) total an additional</w:t>
      </w:r>
      <w:r>
        <w:t xml:space="preserve"> </w:t>
      </w:r>
      <w:r>
        <w:rPr>
          <w:b/>
          <w:bCs/>
        </w:rPr>
        <w:t xml:space="preserve">$1,150,000</w:t>
      </w:r>
      <w:r>
        <w:t xml:space="preserve"> </w:t>
      </w:r>
      <w:r>
        <w:t xml:space="preserve">if any of these executives are terminated or have their duties materially diminished within 12 months of closing.</w:t>
      </w:r>
    </w:p>
    <w:p>
      <w:pPr>
        <w:pStyle w:val="BodyText"/>
      </w:pPr>
      <w:r>
        <w:rPr>
          <w:b/>
          <w:bCs/>
        </w:rPr>
        <w:t xml:space="preserve">Total Maximum Severance Exposure: $3,775,000</w:t>
      </w:r>
    </w:p>
    <w:p>
      <w:pPr>
        <w:pStyle w:val="BodyText"/>
      </w:pPr>
      <w:r>
        <w:rPr>
          <w:b/>
          <w:bCs/>
        </w:rPr>
        <w:t xml:space="preserve">Concerns:</w:t>
      </w:r>
      <w:r>
        <w:t xml:space="preserve"> </w:t>
      </w:r>
      <w:r>
        <w:t xml:space="preserve">- The LOI’s definition of</w:t>
      </w:r>
      <w:r>
        <w:t xml:space="preserve"> </w:t>
      </w:r>
      <w:r>
        <w:t xml:space="preserve">“</w:t>
      </w:r>
      <w:r>
        <w:t xml:space="preserve">Transaction Expenses</w:t>
      </w:r>
      <w:r>
        <w:t xml:space="preserve">”</w:t>
      </w:r>
      <w:r>
        <w:t xml:space="preserve"> </w:t>
      </w:r>
      <w:r>
        <w:t xml:space="preserve">does not expressly address change-of-control severance payments. The allocation of these costs (seller vs. buyer) has not been resolved.</w:t>
      </w:r>
      <w:r>
        <w:t xml:space="preserve"> </w:t>
      </w:r>
      <w:r>
        <w:t xml:space="preserve">- The single-trigger nature of the Calloway payments means the buyer will pay $2.625M at closing even if both founders remain employed — effectively a transaction bonus funded by the buyer.</w:t>
      </w:r>
      <w:r>
        <w:t xml:space="preserve"> </w:t>
      </w:r>
      <w:r>
        <w:t xml:space="preserve">- The owner compensation normalization EBITDA add-back ($950K) assumes replacement executives at $400K each. If the founders depart post-closing (having received their severance), the buyer must hire replacements at market rates — potentially higher than $400K each given the specialized nature of the business.</w:t>
      </w:r>
      <w:r>
        <w:t xml:space="preserve"> </w:t>
      </w:r>
      <w:r>
        <w:t xml:space="preserve">- The non-compete provisions (2 years, five-state geography) are subject to enforceability risk under Colorado’s amended non-compete statute (C.R.S. § 8-2-113, effective August 10, 2022) and may not be fully enforceable in all five states.</w:t>
      </w:r>
    </w:p>
    <w:p>
      <w:pPr>
        <w:pStyle w:val="BodyText"/>
      </w:pPr>
      <w:r>
        <w:rPr>
          <w:b/>
          <w:bCs/>
        </w:rPr>
        <w:t xml:space="preserve">Required Action:</w:t>
      </w:r>
      <w:r>
        <w:t xml:space="preserve"> </w:t>
      </w:r>
      <w:r>
        <w:t xml:space="preserve">Negotiate the treatment of change-of-control severance in the purchase price mechanism (deduct from purchase price as a transaction expense). Confirm post-closing employment arrangements with both founders. Evaluate non-compete enforceability in each state with local counsel.</w:t>
      </w:r>
    </w:p>
    <w:p>
      <w:r>
        <w:pict>
          <v:rect style="width:0;height:1.5pt" o:hralign="center" o:hrstd="t" o:hr="t"/>
        </w:pict>
      </w:r>
    </w:p>
    <w:bookmarkEnd w:id="39"/>
    <w:bookmarkEnd w:id="40"/>
    <w:bookmarkStart w:id="43" w:name="viii.-human-capital-red-flags"/>
    <w:p>
      <w:pPr>
        <w:pStyle w:val="Heading2"/>
      </w:pPr>
      <w:r>
        <w:t xml:space="preserve">VIII. HUMAN CAPITAL RED FLAGS</w:t>
      </w:r>
    </w:p>
    <w:bookmarkStart w:id="41" w:name="Xbb4be2dbf2c376c249445129191db9ddb69765b"/>
    <w:p>
      <w:pPr>
        <w:pStyle w:val="Heading3"/>
      </w:pPr>
      <w:r>
        <w:t xml:space="preserve">RF-13 — NLRB Unionization Petition: 62 Field Technicians</w:t>
      </w:r>
    </w:p>
    <w:p>
      <w:pPr>
        <w:pStyle w:val="FirstParagraph"/>
      </w:pPr>
      <w:r>
        <w:rPr>
          <w:b/>
          <w:bCs/>
        </w:rPr>
        <w:t xml:space="preserve">Severity: MEDIUM</w:t>
      </w:r>
    </w:p>
    <w:p>
      <w:pPr>
        <w:pStyle w:val="BodyText"/>
      </w:pPr>
      <w:r>
        <w:t xml:space="preserve">A footnote in the Employee Benefits Summary discloses that on</w:t>
      </w:r>
      <w:r>
        <w:t xml:space="preserve"> </w:t>
      </w:r>
      <w:r>
        <w:rPr>
          <w:b/>
          <w:bCs/>
        </w:rPr>
        <w:t xml:space="preserve">November 4, 2024</w:t>
      </w:r>
      <w:r>
        <w:t xml:space="preserve">, the International Brotherhood of Teamsters Local 455 filed an NLRB election petition covering</w:t>
      </w:r>
      <w:r>
        <w:t xml:space="preserve"> </w:t>
      </w:r>
      <w:r>
        <w:rPr>
          <w:b/>
          <w:bCs/>
        </w:rPr>
        <w:t xml:space="preserve">62 field technicians</w:t>
      </w:r>
      <w:r>
        <w:t xml:space="preserve"> </w:t>
      </w:r>
      <w:r>
        <w:t xml:space="preserve">at the Grand Junction and Casper facilities. This disclosure was buried in a footnote and was not prominently disclosed in the CIM or Litigation and Regulatory Summary.</w:t>
      </w:r>
    </w:p>
    <w:p>
      <w:pPr>
        <w:pStyle w:val="BodyText"/>
      </w:pPr>
      <w:r>
        <w:rPr>
          <w:b/>
          <w:bCs/>
        </w:rPr>
        <w:t xml:space="preserve">Concerns:</w:t>
      </w:r>
      <w:r>
        <w:t xml:space="preserve"> </w:t>
      </w:r>
      <w:r>
        <w:t xml:space="preserve">- Grand Junction and Casper are the Company’s two largest operational facilities, collectively employing approximately 210 field-based personnel. The 62 petitioned employees represent approximately 30% of the combined workforce at these facilities.</w:t>
      </w:r>
      <w:r>
        <w:t xml:space="preserve"> </w:t>
      </w:r>
      <w:r>
        <w:t xml:space="preserve">- If the union election succeeds, the Company would be required to bargain collectively with the Teamsters, potentially resulting in higher wages, benefits, and work rules that could compress margins.</w:t>
      </w:r>
      <w:r>
        <w:t xml:space="preserve"> </w:t>
      </w:r>
      <w:r>
        <w:t xml:space="preserve">- The credit agreement lists</w:t>
      </w:r>
      <w:r>
        <w:t xml:space="preserve"> </w:t>
      </w:r>
      <w:r>
        <w:t xml:space="preserve">“</w:t>
      </w:r>
      <w:r>
        <w:t xml:space="preserve">material labor dispute, strike, or work stoppage lasting more than 10 business days</w:t>
      </w:r>
      <w:r>
        <w:t xml:space="preserve">”</w:t>
      </w:r>
      <w:r>
        <w:t xml:space="preserve"> </w:t>
      </w:r>
      <w:r>
        <w:t xml:space="preserve">as an Event of Default.</w:t>
      </w:r>
      <w:r>
        <w:t xml:space="preserve"> </w:t>
      </w:r>
      <w:r>
        <w:t xml:space="preserve">- The CIM prominently represents that the workforce is</w:t>
      </w:r>
      <w:r>
        <w:t xml:space="preserve"> </w:t>
      </w:r>
      <w:r>
        <w:t xml:space="preserve">“</w:t>
      </w:r>
      <w:r>
        <w:t xml:space="preserve">entirely non-unionized</w:t>
      </w:r>
      <w:r>
        <w:t xml:space="preserve">”</w:t>
      </w:r>
      <w:r>
        <w:t xml:space="preserve"> </w:t>
      </w:r>
      <w:r>
        <w:t xml:space="preserve">and that management</w:t>
      </w:r>
      <w:r>
        <w:t xml:space="preserve"> </w:t>
      </w:r>
      <w:r>
        <w:t xml:space="preserve">“</w:t>
      </w:r>
      <w:r>
        <w:t xml:space="preserve">maintains positive and productive relations with employees.</w:t>
      </w:r>
      <w:r>
        <w:t xml:space="preserve">”</w:t>
      </w:r>
      <w:r>
        <w:t xml:space="preserve"> </w:t>
      </w:r>
      <w:r>
        <w:t xml:space="preserve">The NLRB petition contradicts this representation.</w:t>
      </w:r>
      <w:r>
        <w:t xml:space="preserve"> </w:t>
      </w:r>
      <w:r>
        <w:t xml:space="preserve">- The petition was filed after the LOI was signed (October 28, 2024) but before the data room was opened (December 16, 2024). The Company had an obligation under the LOI’s pre-closing covenants to promptly notify the buyer of material developments.</w:t>
      </w:r>
    </w:p>
    <w:p>
      <w:pPr>
        <w:pStyle w:val="BodyText"/>
      </w:pPr>
      <w:r>
        <w:rPr>
          <w:b/>
          <w:bCs/>
        </w:rPr>
        <w:t xml:space="preserve">Required Action:</w:t>
      </w:r>
      <w:r>
        <w:t xml:space="preserve"> </w:t>
      </w:r>
      <w:r>
        <w:t xml:space="preserve">Obtain a full briefing from management on the NLRB petition, including the timeline, the union’s organizing basis, and the Company’s response strategy. Assess the potential labor cost impact of unionization. Confirm whether the LOI’s notification obligation was satisfied. Consider making resolution of the NLRB petition a closing condition or obtaining a specific representation and indemnification.</w:t>
      </w:r>
    </w:p>
    <w:p>
      <w:r>
        <w:pict>
          <v:rect style="width:0;height:1.5pt" o:hralign="center" o:hrstd="t" o:hr="t"/>
        </w:pict>
      </w:r>
    </w:p>
    <w:bookmarkEnd w:id="41"/>
    <w:bookmarkStart w:id="42" w:name="X824655b2e3ff76f09924ac30a389033c5a6195a"/>
    <w:p>
      <w:pPr>
        <w:pStyle w:val="Heading3"/>
      </w:pPr>
      <w:r>
        <w:t xml:space="preserve">RF-14 — Asbestos Abatement Long-Tail: Insurance Gap for Pre-2015 Work</w:t>
      </w:r>
    </w:p>
    <w:p>
      <w:pPr>
        <w:pStyle w:val="FirstParagraph"/>
      </w:pPr>
      <w:r>
        <w:rPr>
          <w:b/>
          <w:bCs/>
        </w:rPr>
        <w:t xml:space="preserve">Severity: MEDIUM</w:t>
      </w:r>
    </w:p>
    <w:p>
      <w:pPr>
        <w:pStyle w:val="BodyText"/>
      </w:pPr>
      <w:r>
        <w:t xml:space="preserve">RES operated an asbestos abatement service line from 2012 through September 30, 2023, performing work at approximately 145 commercial and industrial sites across Colorado, Utah, and Wyoming. Two workers’ compensation claims from former asbestos abatement employees remain open (filed 2021 and 2022), alleging occupational respiratory exposure.</w:t>
      </w:r>
    </w:p>
    <w:p>
      <w:pPr>
        <w:pStyle w:val="BodyText"/>
      </w:pPr>
      <w:r>
        <w:rPr>
          <w:b/>
          <w:bCs/>
        </w:rPr>
        <w:t xml:space="preserve">Insurance Gap:</w:t>
      </w:r>
      <w:r>
        <w:t xml:space="preserve"> </w:t>
      </w:r>
      <w:r>
        <w:t xml:space="preserve">The current Pollution Legal Liability policy (FSI-PLL-2024-08873) has a</w:t>
      </w:r>
      <w:r>
        <w:t xml:space="preserve"> </w:t>
      </w:r>
      <w:r>
        <w:rPr>
          <w:b/>
          <w:bCs/>
        </w:rPr>
        <w:t xml:space="preserve">retroactive date of January 1, 2015</w:t>
      </w:r>
      <w:r>
        <w:t xml:space="preserve">. Work performed during the period</w:t>
      </w:r>
      <w:r>
        <w:t xml:space="preserve"> </w:t>
      </w:r>
      <w:r>
        <w:rPr>
          <w:b/>
          <w:bCs/>
        </w:rPr>
        <w:t xml:space="preserve">2012 through 2014</w:t>
      </w:r>
      <w:r>
        <w:t xml:space="preserve"> </w:t>
      </w:r>
      <w:r>
        <w:t xml:space="preserve">— approximately 3 years of asbestos abatement operations — is</w:t>
      </w:r>
      <w:r>
        <w:t xml:space="preserve"> </w:t>
      </w:r>
      <w:r>
        <w:rPr>
          <w:b/>
          <w:bCs/>
        </w:rPr>
        <w:t xml:space="preserve">not covered</w:t>
      </w:r>
      <w:r>
        <w:t xml:space="preserve"> </w:t>
      </w:r>
      <w:r>
        <w:t xml:space="preserve">under the current policy. The CGL policy contains a</w:t>
      </w:r>
      <w:r>
        <w:t xml:space="preserve"> </w:t>
      </w:r>
      <w:r>
        <w:rPr>
          <w:b/>
          <w:bCs/>
        </w:rPr>
        <w:t xml:space="preserve">blanket asbestos exclusion</w:t>
      </w:r>
      <w:r>
        <w:t xml:space="preserve"> </w:t>
      </w:r>
      <w:r>
        <w:t xml:space="preserve">applicable to all bodily injury claims arising from asbestos handling, regardless of when exposure occurred.</w:t>
      </w:r>
    </w:p>
    <w:p>
      <w:pPr>
        <w:pStyle w:val="BodyText"/>
      </w:pPr>
      <w:r>
        <w:rPr>
          <w:b/>
          <w:bCs/>
        </w:rPr>
        <w:t xml:space="preserve">Concerns:</w:t>
      </w:r>
      <w:r>
        <w:t xml:space="preserve"> </w:t>
      </w:r>
      <w:r>
        <w:t xml:space="preserve">- Asbestos-related diseases (mesothelioma, asbestosis) have latency periods of 10–40 years. Claims from work performed in 2012–2014 may not manifest for decades.</w:t>
      </w:r>
      <w:r>
        <w:t xml:space="preserve"> </w:t>
      </w:r>
      <w:r>
        <w:t xml:space="preserve">- No reserve has been established for potential future asbestos-related claims.</w:t>
      </w:r>
      <w:r>
        <w:t xml:space="preserve"> </w:t>
      </w:r>
      <w:r>
        <w:t xml:space="preserve">- The two open workers’ compensation claims demonstrate that the exposure risk is not purely theoretical.</w:t>
      </w:r>
      <w:r>
        <w:t xml:space="preserve"> </w:t>
      </w:r>
      <w:r>
        <w:t xml:space="preserve">- The LOI contemplates a 6-year survival period for environmental representations — but asbestos long-tail claims could arise well beyond 6 years.</w:t>
      </w:r>
    </w:p>
    <w:p>
      <w:pPr>
        <w:pStyle w:val="BodyText"/>
      </w:pPr>
      <w:r>
        <w:rPr>
          <w:b/>
          <w:bCs/>
        </w:rPr>
        <w:t xml:space="preserve">Required Action:</w:t>
      </w:r>
      <w:r>
        <w:t xml:space="preserve"> </w:t>
      </w:r>
      <w:r>
        <w:t xml:space="preserve">Investigate the availability and cost of tail coverage for the pre-2015 asbestos abatement period. Negotiate a specific indemnification for asbestos-related claims with an extended survival period. Establish a reserve or escrow for potential asbestos long-tail liability.</w:t>
      </w:r>
    </w:p>
    <w:p>
      <w:r>
        <w:pict>
          <v:rect style="width:0;height:1.5pt" o:hralign="center" o:hrstd="t" o:hr="t"/>
        </w:pict>
      </w:r>
    </w:p>
    <w:bookmarkEnd w:id="42"/>
    <w:bookmarkEnd w:id="43"/>
    <w:bookmarkStart w:id="48" w:name="ix.-additional-observations"/>
    <w:p>
      <w:pPr>
        <w:pStyle w:val="Heading2"/>
      </w:pPr>
      <w:r>
        <w:t xml:space="preserve">IX. ADDITIONAL OBSERVATIONS</w:t>
      </w:r>
    </w:p>
    <w:bookmarkStart w:id="44" w:name="governance-concerns"/>
    <w:p>
      <w:pPr>
        <w:pStyle w:val="Heading3"/>
      </w:pPr>
      <w:r>
        <w:t xml:space="preserve">Governance Concerns</w:t>
      </w:r>
    </w:p>
    <w:p>
      <w:pPr>
        <w:pStyle w:val="FirstParagraph"/>
      </w:pPr>
      <w:r>
        <w:t xml:space="preserve">The Board of Directors consists of three members: Derek Calloway (Chairman/CEO), Jason Calloway (COO), and Linda Calloway (mother of both founders and Trustee of the Calloway Family Trust, which holds 35% of the equity). This structure means the Board is entirely composed of family members with no independent directors. The absence of independent oversight may have contributed to some of the issues identified in this review (e.g., deferred fleet replacement, unresolved permit transfers, undisclosed NLRB petition).</w:t>
      </w:r>
    </w:p>
    <w:bookmarkEnd w:id="44"/>
    <w:bookmarkStart w:id="45" w:name="audit-quality"/>
    <w:p>
      <w:pPr>
        <w:pStyle w:val="Heading3"/>
      </w:pPr>
      <w:r>
        <w:t xml:space="preserve">Audit Quality</w:t>
      </w:r>
    </w:p>
    <w:p>
      <w:pPr>
        <w:pStyle w:val="FirstParagraph"/>
      </w:pPr>
      <w:r>
        <w:t xml:space="preserve">FY2020–FY2023 financial statements were audited by Plante Moran PLLC. The FY2024 TTM period is reviewed (unaudited). The LOI requires delivery of audited FY2022, FY2023, and FY2024 financial statements as a closing condition. The CIM references annual financial statements</w:t>
      </w:r>
      <w:r>
        <w:t xml:space="preserve"> </w:t>
      </w:r>
      <w:r>
        <w:t xml:space="preserve">“</w:t>
      </w:r>
      <w:r>
        <w:t xml:space="preserve">reviewed by the Company’s independent accountants, Hansen &amp; Whitfield, CPAs</w:t>
      </w:r>
      <w:r>
        <w:t xml:space="preserve">”</w:t>
      </w:r>
      <w:r>
        <w:t xml:space="preserve"> </w:t>
      </w:r>
      <w:r>
        <w:t xml:space="preserve">— a different, smaller firm than Plante Moran. This inconsistency should be clarified.</w:t>
      </w:r>
    </w:p>
    <w:bookmarkEnd w:id="45"/>
    <w:bookmarkStart w:id="46" w:name="pueblo-storage-yard-lease-expiration"/>
    <w:p>
      <w:pPr>
        <w:pStyle w:val="Heading3"/>
      </w:pPr>
      <w:r>
        <w:t xml:space="preserve">Pueblo Storage Yard Lease Expiration</w:t>
      </w:r>
    </w:p>
    <w:p>
      <w:pPr>
        <w:pStyle w:val="FirstParagraph"/>
      </w:pPr>
      <w:r>
        <w:t xml:space="preserve">The Pueblo, Colorado storage yard lease expires April 30, 2025 — the same date as the target closing. Renewal negotiations are underway but not complete. If the lease is not renewed, equipment and vehicles at this facility must be relocated, potentially disrupting operations.</w:t>
      </w:r>
    </w:p>
    <w:bookmarkEnd w:id="46"/>
    <w:bookmarkStart w:id="47" w:name="X30b91e79004cf57acb4bfa6f389d4c29fcdca70"/>
    <w:p>
      <w:pPr>
        <w:pStyle w:val="Heading3"/>
      </w:pPr>
      <w:r>
        <w:t xml:space="preserve">Intermountain Health Systems Contract Renewal</w:t>
      </w:r>
    </w:p>
    <w:p>
      <w:pPr>
        <w:pStyle w:val="FirstParagraph"/>
      </w:pPr>
      <w:r>
        <w:t xml:space="preserve">The Intermountain Health Systems contract ($7.1M, 5.6% of revenue) expires June 30, 2025, with a renewal option requiring 120-day advance notice. The renewal decision is expected by February 2025 — during the pre-closing period. Non-renewal would represent a material revenue loss.</w:t>
      </w:r>
    </w:p>
    <w:p>
      <w:r>
        <w:pict>
          <v:rect style="width:0;height:1.5pt" o:hralign="center" o:hrstd="t" o:hr="t"/>
        </w:pict>
      </w:r>
    </w:p>
    <w:bookmarkEnd w:id="47"/>
    <w:bookmarkEnd w:id="48"/>
    <w:bookmarkStart w:id="49" w:name="x.-recommended-actions-before-proceeding"/>
    <w:p>
      <w:pPr>
        <w:pStyle w:val="Heading2"/>
      </w:pPr>
      <w:r>
        <w:t xml:space="preserve">X. RECOMMENDED ACTIONS BEFORE PROCEEDING</w:t>
      </w:r>
    </w:p>
    <w:p>
      <w:pPr>
        <w:pStyle w:val="Compact"/>
        <w:numPr>
          <w:ilvl w:val="0"/>
          <w:numId w:val="1004"/>
        </w:numPr>
      </w:pPr>
      <w:r>
        <w:rPr>
          <w:b/>
          <w:bCs/>
        </w:rPr>
        <w:t xml:space="preserve">Demand a fully reconciled EBITDA bridge</w:t>
      </w:r>
      <w:r>
        <w:t xml:space="preserve"> </w:t>
      </w:r>
      <w:r>
        <w:t xml:space="preserve">resolving the $1.0M CIM vs. QoE discrepancy before finalizing enterprise value.</w:t>
      </w:r>
    </w:p>
    <w:p>
      <w:pPr>
        <w:pStyle w:val="Compact"/>
        <w:numPr>
          <w:ilvl w:val="0"/>
          <w:numId w:val="1004"/>
        </w:numPr>
      </w:pPr>
      <w:r>
        <w:rPr>
          <w:b/>
          <w:bCs/>
        </w:rPr>
        <w:t xml:space="preserve">Commission an updated Phase II ESA</w:t>
      </w:r>
      <w:r>
        <w:t xml:space="preserve"> </w:t>
      </w:r>
      <w:r>
        <w:t xml:space="preserve">at the Grand Junction facility, including off-site monitoring wells and a vapor intrusion assessment.</w:t>
      </w:r>
    </w:p>
    <w:p>
      <w:pPr>
        <w:pStyle w:val="Compact"/>
        <w:numPr>
          <w:ilvl w:val="0"/>
          <w:numId w:val="1004"/>
        </w:numPr>
      </w:pPr>
      <w:r>
        <w:rPr>
          <w:b/>
          <w:bCs/>
        </w:rPr>
        <w:t xml:space="preserve">Contact the DOE Contracting Officer</w:t>
      </w:r>
      <w:r>
        <w:t xml:space="preserve"> </w:t>
      </w:r>
      <w:r>
        <w:t xml:space="preserve">to assess novation requirements and ceiling modification prospects before closing.</w:t>
      </w:r>
    </w:p>
    <w:p>
      <w:pPr>
        <w:pStyle w:val="Compact"/>
        <w:numPr>
          <w:ilvl w:val="0"/>
          <w:numId w:val="1004"/>
        </w:numPr>
      </w:pPr>
      <w:r>
        <w:rPr>
          <w:b/>
          <w:bCs/>
        </w:rPr>
        <w:t xml:space="preserve">Obtain landlord consent</w:t>
      </w:r>
      <w:r>
        <w:t xml:space="preserve"> </w:t>
      </w:r>
      <w:r>
        <w:t xml:space="preserve">from Wasatch Industrial Properties, LLC for both the 2022 Pinnacle-to-RES assignment and the Sycamore acquisition.</w:t>
      </w:r>
    </w:p>
    <w:p>
      <w:pPr>
        <w:pStyle w:val="Compact"/>
        <w:numPr>
          <w:ilvl w:val="0"/>
          <w:numId w:val="1004"/>
        </w:numPr>
      </w:pPr>
      <w:r>
        <w:rPr>
          <w:b/>
          <w:bCs/>
        </w:rPr>
        <w:t xml:space="preserve">Require completion of the Utah SLC permit transfer</w:t>
      </w:r>
      <w:r>
        <w:t xml:space="preserve"> </w:t>
      </w:r>
      <w:r>
        <w:t xml:space="preserve">as a closing condition.</w:t>
      </w:r>
    </w:p>
    <w:p>
      <w:pPr>
        <w:pStyle w:val="Compact"/>
        <w:numPr>
          <w:ilvl w:val="0"/>
          <w:numId w:val="1004"/>
        </w:numPr>
      </w:pPr>
      <w:r>
        <w:rPr>
          <w:b/>
          <w:bCs/>
        </w:rPr>
        <w:t xml:space="preserve">Commission an independent fleet appraisal</w:t>
      </w:r>
      <w:r>
        <w:t xml:space="preserve"> </w:t>
      </w:r>
      <w:r>
        <w:t xml:space="preserve">and adjust CapEx assumptions in the financial model.</w:t>
      </w:r>
    </w:p>
    <w:p>
      <w:pPr>
        <w:pStyle w:val="Compact"/>
        <w:numPr>
          <w:ilvl w:val="0"/>
          <w:numId w:val="1004"/>
        </w:numPr>
      </w:pPr>
      <w:r>
        <w:rPr>
          <w:b/>
          <w:bCs/>
        </w:rPr>
        <w:t xml:space="preserve">Negotiate specific indemnification</w:t>
      </w:r>
      <w:r>
        <w:t xml:space="preserve"> </w:t>
      </w:r>
      <w:r>
        <w:t xml:space="preserve">for the CDPHE enforcement action, Grand Junction environmental remediation, asbestos long-tail claims, and the NLRB petition.</w:t>
      </w:r>
    </w:p>
    <w:p>
      <w:pPr>
        <w:pStyle w:val="Compact"/>
        <w:numPr>
          <w:ilvl w:val="0"/>
          <w:numId w:val="1004"/>
        </w:numPr>
      </w:pPr>
      <w:r>
        <w:rPr>
          <w:b/>
          <w:bCs/>
        </w:rPr>
        <w:t xml:space="preserve">Resolve the change-of-control severance allocation</w:t>
      </w:r>
      <w:r>
        <w:t xml:space="preserve"> </w:t>
      </w:r>
      <w:r>
        <w:t xml:space="preserve">in the purchase price mechanism.</w:t>
      </w:r>
    </w:p>
    <w:p>
      <w:pPr>
        <w:pStyle w:val="Compact"/>
        <w:numPr>
          <w:ilvl w:val="0"/>
          <w:numId w:val="1004"/>
        </w:numPr>
      </w:pPr>
      <w:r>
        <w:rPr>
          <w:b/>
          <w:bCs/>
        </w:rPr>
        <w:t xml:space="preserve">Engage government contracts counsel</w:t>
      </w:r>
      <w:r>
        <w:t xml:space="preserve"> </w:t>
      </w:r>
      <w:r>
        <w:t xml:space="preserve">to assess DOE contract novation and notification requirements.</w:t>
      </w:r>
    </w:p>
    <w:p>
      <w:pPr>
        <w:pStyle w:val="Compact"/>
        <w:numPr>
          <w:ilvl w:val="0"/>
          <w:numId w:val="1004"/>
        </w:numPr>
      </w:pPr>
      <w:r>
        <w:rPr>
          <w:b/>
          <w:bCs/>
        </w:rPr>
        <w:t xml:space="preserve">Evaluate non-compete enforceability</w:t>
      </w:r>
      <w:r>
        <w:t xml:space="preserve"> </w:t>
      </w:r>
      <w:r>
        <w:t xml:space="preserve">in all five states with local counsel.</w:t>
      </w:r>
    </w:p>
    <w:p>
      <w:r>
        <w:pict>
          <v:rect style="width:0;height:1.5pt" o:hralign="center" o:hrstd="t" o:hr="t"/>
        </w:pict>
      </w:r>
    </w:p>
    <w:p>
      <w:pPr>
        <w:pStyle w:val="FirstParagraph"/>
      </w:pPr>
      <w:r>
        <w:rPr>
          <w:i/>
          <w:iCs/>
        </w:rPr>
        <w:t xml:space="preserve">This memorandum is prepared solely for the use of Sycamore Capital Partners, LP and its advisors in connection with the evaluation of the proposed acquisition of Ridgeline Environmental Services, Inc. It is based on information available in the Project Ridgeline data room as of December 2024 and does not constitute a complete due diligence review. Sycamore Capital Partners, LP should conduct such additional investigation as it deems appropriate before proceeding with the transaction.</w:t>
      </w:r>
    </w:p>
    <w:p>
      <w:r>
        <w:pict>
          <v:rect style="width:0;height:1.5pt" o:hralign="center" o:hrstd="t" o:hr="t"/>
        </w:pict>
      </w:r>
    </w:p>
    <w:p>
      <w:pPr>
        <w:pStyle w:val="FirstParagraph"/>
      </w:pPr>
      <w:r>
        <w:rPr>
          <w:b/>
          <w:bCs/>
        </w:rPr>
        <w:t xml:space="preserve">PRIVILEGED AND CONFIDENTIAL — ATTORNEY-CLIENT COMMUNICATION</w:t>
      </w:r>
      <w:r>
        <w:t xml:space="preserve"> </w:t>
      </w:r>
      <w:r>
        <w:rPr>
          <w:b/>
          <w:bCs/>
        </w:rPr>
        <w:t xml:space="preserve">PREPARED IN ANTICIPATION OF LITIGATION</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2026-08-14T20:38:01Z</dcterms:created>
  <dcterms:modified xsi:type="dcterms:W3CDTF">2026-08-14T20:38:01Z</dcterms:modified>
</cp:coreProperties>
</file>

<file path=docProps/custom.xml><?xml version="1.0" encoding="utf-8"?>
<Properties xmlns="http://schemas.openxmlformats.org/officeDocument/2006/custom-properties" xmlns:vt="http://schemas.openxmlformats.org/officeDocument/2006/docPropsVTypes"/>
</file>