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AC328" w14:textId="77777777" w:rsidR="00270CA0" w:rsidRPr="002A256D" w:rsidRDefault="00270CA0" w:rsidP="00A433CC">
      <w:pPr>
        <w:pStyle w:val="PosterTitle"/>
        <w:jc w:val="left"/>
        <w:rPr>
          <w:b/>
        </w:rPr>
      </w:pPr>
    </w:p>
    <w:p w14:paraId="569DC22D" w14:textId="77777777" w:rsidR="00A433CC" w:rsidRPr="002A256D" w:rsidRDefault="102B89B6" w:rsidP="00A433CC">
      <w:pPr>
        <w:pStyle w:val="PosterTitle"/>
        <w:rPr>
          <w:b/>
        </w:rPr>
      </w:pPr>
      <w:r w:rsidRPr="102B89B6">
        <w:rPr>
          <w:rFonts w:eastAsia="Times New Roman"/>
          <w:b/>
          <w:bCs/>
        </w:rPr>
        <w:t>Selection between differently scaled actions</w:t>
      </w:r>
    </w:p>
    <w:p w14:paraId="7D2F20B8" w14:textId="77777777" w:rsidR="00A433CC" w:rsidRPr="0045554F" w:rsidRDefault="00A433CC" w:rsidP="00A433CC">
      <w:pPr>
        <w:pStyle w:val="PosterText"/>
        <w:jc w:val="center"/>
        <w:rPr>
          <w:sz w:val="24"/>
        </w:rPr>
      </w:pPr>
    </w:p>
    <w:p w14:paraId="14073406" w14:textId="77777777" w:rsidR="3D4D542B" w:rsidRDefault="102B89B6" w:rsidP="3D4D542B">
      <w:pPr>
        <w:pStyle w:val="Author"/>
      </w:pPr>
      <w:r w:rsidRPr="102B89B6">
        <w:rPr>
          <w:rFonts w:eastAsia="Times New Roman"/>
          <w:b w:val="0"/>
          <w:bCs w:val="0"/>
        </w:rPr>
        <w:t xml:space="preserve">Henry S. Harrison, </w:t>
      </w:r>
      <w:r w:rsidR="003353F8">
        <w:rPr>
          <w:rFonts w:eastAsia="Times New Roman"/>
          <w:b w:val="0"/>
          <w:bCs w:val="0"/>
        </w:rPr>
        <w:t xml:space="preserve">Devin Kwolek, &amp; </w:t>
      </w:r>
      <w:r w:rsidRPr="102B89B6">
        <w:rPr>
          <w:rFonts w:eastAsia="Times New Roman"/>
          <w:b w:val="0"/>
          <w:bCs w:val="0"/>
        </w:rPr>
        <w:t>Tehran J. Davis</w:t>
      </w:r>
    </w:p>
    <w:p w14:paraId="73638359" w14:textId="77777777" w:rsidR="00A433CC" w:rsidRPr="0045554F" w:rsidRDefault="00A433CC" w:rsidP="00A433CC">
      <w:pPr>
        <w:pStyle w:val="PosterText"/>
        <w:jc w:val="center"/>
        <w:rPr>
          <w:sz w:val="24"/>
        </w:rPr>
      </w:pPr>
    </w:p>
    <w:p w14:paraId="4BB2DDE0" w14:textId="77777777" w:rsidR="00A433CC" w:rsidRPr="002A256D" w:rsidRDefault="005072C0" w:rsidP="00235142">
      <w:pPr>
        <w:pStyle w:val="Affiliation"/>
        <w:rPr>
          <w:sz w:val="18"/>
        </w:rPr>
      </w:pPr>
      <w:r>
        <w:rPr>
          <w:rFonts w:eastAsia="Times New Roman"/>
          <w:sz w:val="18"/>
          <w:szCs w:val="18"/>
        </w:rPr>
        <w:t>CESPA, University of Connecticut, Storrs, CT</w:t>
      </w:r>
      <w:r w:rsidR="0083082F">
        <w:rPr>
          <w:rFonts w:eastAsia="Times New Roman"/>
          <w:sz w:val="18"/>
          <w:szCs w:val="18"/>
        </w:rPr>
        <w:t xml:space="preserve">, </w:t>
      </w:r>
      <w:r w:rsidR="0083082F">
        <w:rPr>
          <w:sz w:val="18"/>
        </w:rPr>
        <w:t>06269</w:t>
      </w:r>
      <w:r w:rsidR="0083082F">
        <w:rPr>
          <w:sz w:val="18"/>
        </w:rPr>
        <w:t>, USA.</w:t>
      </w:r>
    </w:p>
    <w:p w14:paraId="27F6AD9F" w14:textId="77777777" w:rsidR="00A433CC" w:rsidRPr="00C36B9A" w:rsidRDefault="00A433CC" w:rsidP="00A433CC">
      <w:pPr>
        <w:pStyle w:val="Affiliation"/>
        <w:rPr>
          <w:sz w:val="24"/>
        </w:rPr>
      </w:pPr>
    </w:p>
    <w:p w14:paraId="3D6F7F09" w14:textId="77777777" w:rsidR="00A433CC" w:rsidRPr="00C36B9A" w:rsidRDefault="00A433CC" w:rsidP="10158996">
      <w:pPr>
        <w:pStyle w:val="PosterText"/>
        <w:ind w:firstLine="360"/>
        <w:rPr>
          <w:sz w:val="24"/>
        </w:rPr>
      </w:pPr>
    </w:p>
    <w:p w14:paraId="796940AD" w14:textId="77777777" w:rsidR="10158996" w:rsidRDefault="10158996" w:rsidP="10158996">
      <w:pPr>
        <w:pStyle w:val="PosterText"/>
        <w:ind w:firstLine="360"/>
      </w:pPr>
      <w:r w:rsidRPr="10158996">
        <w:rPr>
          <w:rFonts w:eastAsia="Times New Roman"/>
          <w:sz w:val="20"/>
          <w:szCs w:val="20"/>
        </w:rPr>
        <w:t>According to the π-number approach to affordance perception</w:t>
      </w:r>
      <w:r w:rsidR="0083082F">
        <w:rPr>
          <w:rFonts w:eastAsia="Times New Roman"/>
          <w:sz w:val="20"/>
          <w:szCs w:val="20"/>
        </w:rPr>
        <w:t xml:space="preserve"> (Warren, 1984)</w:t>
      </w:r>
      <w:r w:rsidRPr="10158996">
        <w:rPr>
          <w:rFonts w:eastAsia="Times New Roman"/>
          <w:sz w:val="20"/>
          <w:szCs w:val="20"/>
        </w:rPr>
        <w:t>, the perceivable distinction between possible and impossible actions is delineated by a dimensionless ratio of environmental dimensions to organism dimensions</w:t>
      </w:r>
      <w:r w:rsidR="0083082F">
        <w:rPr>
          <w:rFonts w:eastAsia="Times New Roman"/>
          <w:sz w:val="20"/>
          <w:szCs w:val="20"/>
        </w:rPr>
        <w:t>.</w:t>
      </w:r>
      <w:r w:rsidRPr="10158996">
        <w:rPr>
          <w:rFonts w:eastAsia="Times New Roman"/>
          <w:sz w:val="20"/>
          <w:szCs w:val="20"/>
        </w:rPr>
        <w:t xml:space="preserve"> </w:t>
      </w:r>
      <w:r w:rsidR="003353F8">
        <w:rPr>
          <w:rFonts w:eastAsia="Times New Roman"/>
          <w:sz w:val="20"/>
          <w:szCs w:val="20"/>
        </w:rPr>
        <w:t>Such s</w:t>
      </w:r>
      <w:r w:rsidRPr="10158996">
        <w:rPr>
          <w:rFonts w:eastAsia="Times New Roman"/>
          <w:sz w:val="20"/>
          <w:szCs w:val="20"/>
        </w:rPr>
        <w:t xml:space="preserve">caling allows critical and optimal points to be understood as invariant across many of the differences between individual actors. </w:t>
      </w:r>
      <w:r w:rsidR="00E00DF0">
        <w:rPr>
          <w:rFonts w:eastAsia="Times New Roman"/>
          <w:sz w:val="20"/>
          <w:szCs w:val="20"/>
        </w:rPr>
        <w:t>For example</w:t>
      </w:r>
      <w:r w:rsidRPr="10158996">
        <w:rPr>
          <w:rFonts w:eastAsia="Times New Roman"/>
          <w:sz w:val="20"/>
          <w:szCs w:val="20"/>
        </w:rPr>
        <w:t xml:space="preserve">, Warren showed that the affordance boundary for </w:t>
      </w:r>
      <w:r w:rsidR="003353F8" w:rsidRPr="10158996">
        <w:rPr>
          <w:rFonts w:eastAsia="Times New Roman"/>
          <w:sz w:val="20"/>
          <w:szCs w:val="20"/>
        </w:rPr>
        <w:t>stair climbing</w:t>
      </w:r>
      <w:r w:rsidRPr="10158996">
        <w:rPr>
          <w:rFonts w:eastAsia="Times New Roman"/>
          <w:sz w:val="20"/>
          <w:szCs w:val="20"/>
        </w:rPr>
        <w:t xml:space="preserve"> is a fixed ratio of riser height to leg length.</w:t>
      </w:r>
    </w:p>
    <w:p w14:paraId="55E326D4" w14:textId="2DD3C8BB" w:rsidR="10158996" w:rsidRDefault="10158996" w:rsidP="00FA3D67">
      <w:pPr>
        <w:pStyle w:val="PosterText"/>
        <w:ind w:firstLine="360"/>
      </w:pPr>
      <w:r w:rsidRPr="10158996">
        <w:rPr>
          <w:rFonts w:eastAsia="Times New Roman"/>
          <w:sz w:val="20"/>
          <w:szCs w:val="20"/>
        </w:rPr>
        <w:t xml:space="preserve"> </w:t>
      </w:r>
      <w:r w:rsidR="0083082F">
        <w:rPr>
          <w:rFonts w:eastAsia="Times New Roman"/>
          <w:sz w:val="20"/>
          <w:szCs w:val="20"/>
        </w:rPr>
        <w:t>Similar</w:t>
      </w:r>
      <w:r w:rsidRPr="10158996">
        <w:rPr>
          <w:rFonts w:eastAsia="Times New Roman"/>
          <w:sz w:val="20"/>
          <w:szCs w:val="20"/>
        </w:rPr>
        <w:t xml:space="preserve"> dimensionless, body-scaled </w:t>
      </w:r>
      <w:r w:rsidR="0083082F">
        <w:rPr>
          <w:rFonts w:eastAsia="Times New Roman"/>
          <w:sz w:val="20"/>
          <w:szCs w:val="20"/>
        </w:rPr>
        <w:t>ratios were</w:t>
      </w:r>
      <w:r w:rsidRPr="10158996">
        <w:rPr>
          <w:rFonts w:eastAsia="Times New Roman"/>
          <w:sz w:val="20"/>
          <w:szCs w:val="20"/>
        </w:rPr>
        <w:t xml:space="preserve"> </w:t>
      </w:r>
      <w:r w:rsidR="0083082F">
        <w:rPr>
          <w:rFonts w:eastAsia="Times New Roman"/>
          <w:sz w:val="20"/>
          <w:szCs w:val="20"/>
        </w:rPr>
        <w:t>applied</w:t>
      </w:r>
      <w:r w:rsidRPr="10158996">
        <w:rPr>
          <w:rFonts w:eastAsia="Times New Roman"/>
          <w:sz w:val="20"/>
          <w:szCs w:val="20"/>
        </w:rPr>
        <w:t xml:space="preserve"> t</w:t>
      </w:r>
      <w:r w:rsidR="0083082F">
        <w:rPr>
          <w:rFonts w:eastAsia="Times New Roman"/>
          <w:sz w:val="20"/>
          <w:szCs w:val="20"/>
        </w:rPr>
        <w:t xml:space="preserve">o action-selection by </w:t>
      </w:r>
      <w:r w:rsidR="004E088D">
        <w:rPr>
          <w:rFonts w:eastAsia="Times New Roman"/>
          <w:sz w:val="20"/>
          <w:szCs w:val="20"/>
        </w:rPr>
        <w:t xml:space="preserve">Lopresti-Goodman, Turvey, </w:t>
      </w:r>
      <w:r w:rsidR="003C2FF1">
        <w:rPr>
          <w:rFonts w:eastAsia="Times New Roman"/>
          <w:sz w:val="20"/>
          <w:szCs w:val="20"/>
        </w:rPr>
        <w:t xml:space="preserve">and </w:t>
      </w:r>
      <w:r w:rsidR="004E088D">
        <w:rPr>
          <w:rFonts w:eastAsia="Times New Roman"/>
          <w:sz w:val="20"/>
          <w:szCs w:val="20"/>
        </w:rPr>
        <w:t xml:space="preserve">Frank </w:t>
      </w:r>
      <w:r w:rsidR="003353F8">
        <w:rPr>
          <w:rFonts w:eastAsia="Times New Roman"/>
          <w:sz w:val="20"/>
          <w:szCs w:val="20"/>
        </w:rPr>
        <w:t>(</w:t>
      </w:r>
      <w:r w:rsidR="004E088D">
        <w:rPr>
          <w:rFonts w:eastAsia="Times New Roman"/>
          <w:sz w:val="20"/>
          <w:szCs w:val="20"/>
        </w:rPr>
        <w:t>2011</w:t>
      </w:r>
      <w:r w:rsidRPr="10158996">
        <w:rPr>
          <w:rFonts w:eastAsia="Times New Roman"/>
          <w:sz w:val="20"/>
          <w:szCs w:val="20"/>
        </w:rPr>
        <w:t>)</w:t>
      </w:r>
      <w:r w:rsidR="0083082F">
        <w:rPr>
          <w:rFonts w:eastAsia="Times New Roman"/>
          <w:sz w:val="20"/>
          <w:szCs w:val="20"/>
        </w:rPr>
        <w:t>, who</w:t>
      </w:r>
      <w:r w:rsidRPr="10158996">
        <w:rPr>
          <w:rFonts w:eastAsia="Times New Roman"/>
          <w:sz w:val="20"/>
          <w:szCs w:val="20"/>
        </w:rPr>
        <w:t xml:space="preserve"> investigated transitions between one-</w:t>
      </w:r>
      <w:r w:rsidR="003353F8">
        <w:rPr>
          <w:rFonts w:eastAsia="Times New Roman"/>
          <w:sz w:val="20"/>
          <w:szCs w:val="20"/>
        </w:rPr>
        <w:t>handed</w:t>
      </w:r>
      <w:r w:rsidRPr="10158996">
        <w:rPr>
          <w:rFonts w:eastAsia="Times New Roman"/>
          <w:sz w:val="20"/>
          <w:szCs w:val="20"/>
        </w:rPr>
        <w:t xml:space="preserve"> and two-handed grasping as </w:t>
      </w:r>
      <w:r w:rsidR="00431737">
        <w:rPr>
          <w:rFonts w:eastAsia="Times New Roman"/>
          <w:sz w:val="20"/>
          <w:szCs w:val="20"/>
        </w:rPr>
        <w:t>a function of the grasped object’s size</w:t>
      </w:r>
      <w:r w:rsidRPr="10158996">
        <w:rPr>
          <w:rFonts w:eastAsia="Times New Roman"/>
          <w:sz w:val="20"/>
          <w:szCs w:val="20"/>
        </w:rPr>
        <w:t xml:space="preserve">. They found </w:t>
      </w:r>
      <w:r w:rsidR="0083082F">
        <w:rPr>
          <w:rFonts w:eastAsia="Times New Roman"/>
          <w:sz w:val="20"/>
          <w:szCs w:val="20"/>
        </w:rPr>
        <w:t xml:space="preserve">that </w:t>
      </w:r>
      <w:r w:rsidRPr="10158996">
        <w:rPr>
          <w:rFonts w:eastAsia="Times New Roman"/>
          <w:sz w:val="20"/>
          <w:szCs w:val="20"/>
        </w:rPr>
        <w:t>transition</w:t>
      </w:r>
      <w:r w:rsidR="0083082F">
        <w:rPr>
          <w:rFonts w:eastAsia="Times New Roman"/>
          <w:sz w:val="20"/>
          <w:szCs w:val="20"/>
        </w:rPr>
        <w:t>s</w:t>
      </w:r>
      <w:r w:rsidRPr="10158996">
        <w:rPr>
          <w:rFonts w:eastAsia="Times New Roman"/>
          <w:sz w:val="20"/>
          <w:szCs w:val="20"/>
        </w:rPr>
        <w:t xml:space="preserve"> </w:t>
      </w:r>
      <w:r w:rsidR="00EF2FFA">
        <w:rPr>
          <w:rFonts w:eastAsia="Times New Roman"/>
          <w:sz w:val="20"/>
          <w:szCs w:val="20"/>
        </w:rPr>
        <w:t>we</w:t>
      </w:r>
      <w:r w:rsidR="0083082F">
        <w:rPr>
          <w:rFonts w:eastAsia="Times New Roman"/>
          <w:sz w:val="20"/>
          <w:szCs w:val="20"/>
        </w:rPr>
        <w:t xml:space="preserve">re driven by </w:t>
      </w:r>
      <w:r w:rsidRPr="10158996">
        <w:rPr>
          <w:rFonts w:eastAsia="Times New Roman"/>
          <w:sz w:val="20"/>
          <w:szCs w:val="20"/>
        </w:rPr>
        <w:t>object size scaled by hand size.</w:t>
      </w:r>
      <w:r w:rsidR="003C2FF1">
        <w:rPr>
          <w:rFonts w:eastAsia="Times New Roman"/>
          <w:sz w:val="20"/>
          <w:szCs w:val="20"/>
        </w:rPr>
        <w:t xml:space="preserve"> </w:t>
      </w:r>
      <w:r w:rsidRPr="10158996">
        <w:rPr>
          <w:rFonts w:eastAsia="Times New Roman"/>
          <w:sz w:val="20"/>
          <w:szCs w:val="20"/>
        </w:rPr>
        <w:t xml:space="preserve">In their model, </w:t>
      </w:r>
      <w:r w:rsidR="003C2FF1">
        <w:rPr>
          <w:rFonts w:eastAsia="Times New Roman"/>
          <w:sz w:val="20"/>
          <w:szCs w:val="20"/>
        </w:rPr>
        <w:t xml:space="preserve">this </w:t>
      </w:r>
      <w:r w:rsidR="0083082F" w:rsidRPr="10158996">
        <w:rPr>
          <w:rFonts w:eastAsia="Times New Roman"/>
          <w:sz w:val="20"/>
          <w:szCs w:val="20"/>
        </w:rPr>
        <w:t xml:space="preserve">π-number </w:t>
      </w:r>
      <w:r w:rsidR="00A26547">
        <w:rPr>
          <w:rFonts w:eastAsia="Times New Roman"/>
          <w:sz w:val="20"/>
          <w:szCs w:val="20"/>
        </w:rPr>
        <w:t>was associated with</w:t>
      </w:r>
      <w:r w:rsidR="003C2FF1">
        <w:rPr>
          <w:rFonts w:eastAsia="Times New Roman"/>
          <w:sz w:val="20"/>
          <w:szCs w:val="20"/>
        </w:rPr>
        <w:t xml:space="preserve"> both one- and two-handed grasping</w:t>
      </w:r>
      <w:r w:rsidRPr="10158996">
        <w:rPr>
          <w:rFonts w:eastAsia="Times New Roman"/>
          <w:sz w:val="20"/>
          <w:szCs w:val="20"/>
        </w:rPr>
        <w:t>. However, in eve</w:t>
      </w:r>
      <w:r w:rsidR="00A26547">
        <w:rPr>
          <w:rFonts w:eastAsia="Times New Roman"/>
          <w:sz w:val="20"/>
          <w:szCs w:val="20"/>
        </w:rPr>
        <w:t>ryday encounters with the world,</w:t>
      </w:r>
      <w:r w:rsidRPr="10158996">
        <w:rPr>
          <w:rFonts w:eastAsia="Times New Roman"/>
          <w:sz w:val="20"/>
          <w:szCs w:val="20"/>
        </w:rPr>
        <w:t xml:space="preserve"> we regularly select among actions </w:t>
      </w:r>
      <w:r w:rsidR="003C2FF1">
        <w:rPr>
          <w:rFonts w:eastAsia="Times New Roman"/>
          <w:sz w:val="20"/>
          <w:szCs w:val="20"/>
        </w:rPr>
        <w:t>associated with different environmental dimensions</w:t>
      </w:r>
      <w:r w:rsidRPr="10158996">
        <w:rPr>
          <w:rFonts w:eastAsia="Times New Roman"/>
          <w:sz w:val="20"/>
          <w:szCs w:val="20"/>
        </w:rPr>
        <w:t xml:space="preserve">. For example, imagine a hiker encountering a fallen </w:t>
      </w:r>
      <w:r w:rsidR="00442E2B">
        <w:rPr>
          <w:rFonts w:eastAsia="Times New Roman"/>
          <w:sz w:val="20"/>
          <w:szCs w:val="20"/>
        </w:rPr>
        <w:t xml:space="preserve">branch </w:t>
      </w:r>
      <w:r w:rsidRPr="10158996">
        <w:rPr>
          <w:rFonts w:eastAsia="Times New Roman"/>
          <w:sz w:val="20"/>
          <w:szCs w:val="20"/>
        </w:rPr>
        <w:t xml:space="preserve">across </w:t>
      </w:r>
      <w:r w:rsidR="00EF2FFA">
        <w:rPr>
          <w:rFonts w:eastAsia="Times New Roman"/>
          <w:sz w:val="20"/>
          <w:szCs w:val="20"/>
        </w:rPr>
        <w:t>a</w:t>
      </w:r>
      <w:r w:rsidRPr="10158996">
        <w:rPr>
          <w:rFonts w:eastAsia="Times New Roman"/>
          <w:sz w:val="20"/>
          <w:szCs w:val="20"/>
        </w:rPr>
        <w:t xml:space="preserve"> trail. </w:t>
      </w:r>
      <w:r w:rsidR="00EF2FFA">
        <w:rPr>
          <w:rFonts w:eastAsia="Times New Roman"/>
          <w:sz w:val="20"/>
          <w:szCs w:val="20"/>
        </w:rPr>
        <w:t>Multiple means of circumventing the obstacle may be afforded</w:t>
      </w:r>
      <w:r w:rsidRPr="10158996">
        <w:rPr>
          <w:rFonts w:eastAsia="Times New Roman"/>
          <w:sz w:val="20"/>
          <w:szCs w:val="20"/>
        </w:rPr>
        <w:t>, including stepping over it and walking around it. These affordances implicat</w:t>
      </w:r>
      <w:r w:rsidR="000A4064">
        <w:rPr>
          <w:rFonts w:eastAsia="Times New Roman"/>
          <w:sz w:val="20"/>
          <w:szCs w:val="20"/>
        </w:rPr>
        <w:t xml:space="preserve">e different scaling metrics. </w:t>
      </w:r>
      <w:r w:rsidR="00A26547">
        <w:rPr>
          <w:rFonts w:eastAsia="Times New Roman"/>
          <w:sz w:val="20"/>
          <w:szCs w:val="20"/>
        </w:rPr>
        <w:t>The stepping-over affordance</w:t>
      </w:r>
      <w:r w:rsidR="00EF2FFA">
        <w:rPr>
          <w:rFonts w:eastAsia="Times New Roman"/>
          <w:sz w:val="20"/>
          <w:szCs w:val="20"/>
        </w:rPr>
        <w:t xml:space="preserve"> </w:t>
      </w:r>
      <w:r w:rsidR="00A26547">
        <w:rPr>
          <w:rFonts w:eastAsia="Times New Roman"/>
          <w:sz w:val="20"/>
          <w:szCs w:val="20"/>
        </w:rPr>
        <w:t xml:space="preserve">likely involves some scaling of </w:t>
      </w:r>
      <w:r w:rsidR="00EF2FFA">
        <w:rPr>
          <w:rFonts w:eastAsia="Times New Roman"/>
          <w:sz w:val="20"/>
          <w:szCs w:val="20"/>
        </w:rPr>
        <w:t>obstacle height</w:t>
      </w:r>
      <w:r w:rsidR="00A26547">
        <w:rPr>
          <w:rFonts w:eastAsia="Times New Roman"/>
          <w:sz w:val="20"/>
          <w:szCs w:val="20"/>
        </w:rPr>
        <w:t xml:space="preserve"> but not obstacle width, and vice-versa for the walking-around affordance</w:t>
      </w:r>
      <w:r w:rsidRPr="10158996">
        <w:rPr>
          <w:rFonts w:eastAsia="Times New Roman"/>
          <w:sz w:val="20"/>
          <w:szCs w:val="20"/>
        </w:rPr>
        <w:t>.</w:t>
      </w:r>
    </w:p>
    <w:p w14:paraId="06558822" w14:textId="77777777" w:rsidR="10158996" w:rsidRDefault="10158996" w:rsidP="10158996">
      <w:pPr>
        <w:pStyle w:val="PosterText"/>
        <w:ind w:firstLine="360"/>
      </w:pPr>
      <w:r w:rsidRPr="10158996">
        <w:rPr>
          <w:rFonts w:eastAsia="Times New Roman"/>
          <w:sz w:val="20"/>
          <w:szCs w:val="20"/>
        </w:rPr>
        <w:t>Th</w:t>
      </w:r>
      <w:r w:rsidR="0083082F">
        <w:rPr>
          <w:rFonts w:eastAsia="Times New Roman"/>
          <w:sz w:val="20"/>
          <w:szCs w:val="20"/>
        </w:rPr>
        <w:t>e current study recreated this</w:t>
      </w:r>
      <w:r w:rsidRPr="10158996">
        <w:rPr>
          <w:rFonts w:eastAsia="Times New Roman"/>
          <w:sz w:val="20"/>
          <w:szCs w:val="20"/>
        </w:rPr>
        <w:t xml:space="preserve"> scenario in the lab</w:t>
      </w:r>
      <w:r w:rsidR="00EF2FFA">
        <w:rPr>
          <w:rFonts w:eastAsia="Times New Roman"/>
          <w:sz w:val="20"/>
          <w:szCs w:val="20"/>
        </w:rPr>
        <w:t>oratory.</w:t>
      </w:r>
      <w:r w:rsidR="0083082F">
        <w:rPr>
          <w:rFonts w:eastAsia="Times New Roman"/>
          <w:sz w:val="20"/>
          <w:szCs w:val="20"/>
        </w:rPr>
        <w:t xml:space="preserve"> </w:t>
      </w:r>
      <w:r w:rsidR="00EF2FFA">
        <w:rPr>
          <w:rFonts w:eastAsia="Times New Roman"/>
          <w:sz w:val="20"/>
          <w:szCs w:val="20"/>
        </w:rPr>
        <w:t xml:space="preserve">We aim to generalize </w:t>
      </w:r>
      <w:r w:rsidRPr="10158996">
        <w:rPr>
          <w:rFonts w:eastAsia="Times New Roman"/>
          <w:sz w:val="20"/>
          <w:szCs w:val="20"/>
        </w:rPr>
        <w:t xml:space="preserve">the π-number account of action selection to </w:t>
      </w:r>
      <w:r w:rsidR="00EF2FFA">
        <w:rPr>
          <w:rFonts w:eastAsia="Times New Roman"/>
          <w:sz w:val="20"/>
          <w:szCs w:val="20"/>
        </w:rPr>
        <w:t>accommodate</w:t>
      </w:r>
      <w:r w:rsidRPr="10158996">
        <w:rPr>
          <w:rFonts w:eastAsia="Times New Roman"/>
          <w:sz w:val="20"/>
          <w:szCs w:val="20"/>
        </w:rPr>
        <w:t xml:space="preserve"> the variety of affordances available in a naturalistic setting</w:t>
      </w:r>
      <w:r w:rsidR="00EF2FFA">
        <w:rPr>
          <w:rFonts w:eastAsia="Times New Roman"/>
          <w:sz w:val="20"/>
          <w:szCs w:val="20"/>
        </w:rPr>
        <w:t>, including those associated with different environmental and actor dimensions</w:t>
      </w:r>
      <w:r w:rsidRPr="10158996">
        <w:rPr>
          <w:rFonts w:eastAsia="Times New Roman"/>
          <w:sz w:val="20"/>
          <w:szCs w:val="20"/>
        </w:rPr>
        <w:t>.</w:t>
      </w:r>
    </w:p>
    <w:p w14:paraId="1A543029" w14:textId="77777777" w:rsidR="10158996" w:rsidRDefault="10158996" w:rsidP="10158996">
      <w:pPr>
        <w:pStyle w:val="PosterText"/>
        <w:ind w:firstLine="360"/>
      </w:pPr>
    </w:p>
    <w:p w14:paraId="2AC84407" w14:textId="77777777" w:rsidR="00A433CC" w:rsidRPr="002A256D" w:rsidRDefault="102B89B6" w:rsidP="00A433CC">
      <w:pPr>
        <w:pStyle w:val="PosterText"/>
        <w:ind w:firstLine="360"/>
        <w:rPr>
          <w:b/>
          <w:sz w:val="20"/>
        </w:rPr>
      </w:pPr>
      <w:r w:rsidRPr="102B89B6">
        <w:rPr>
          <w:rFonts w:eastAsia="Times New Roman"/>
          <w:b/>
          <w:bCs/>
          <w:sz w:val="20"/>
          <w:szCs w:val="20"/>
        </w:rPr>
        <w:t>Method</w:t>
      </w:r>
    </w:p>
    <w:p w14:paraId="5FE67DAF" w14:textId="77777777" w:rsidR="00A433CC" w:rsidRPr="002A256D" w:rsidRDefault="00A433CC" w:rsidP="00A433CC">
      <w:pPr>
        <w:pStyle w:val="PosterText"/>
        <w:ind w:firstLine="360"/>
        <w:rPr>
          <w:b/>
          <w:sz w:val="20"/>
        </w:rPr>
      </w:pPr>
    </w:p>
    <w:p w14:paraId="287084CF" w14:textId="3CADBFE9" w:rsidR="3D4D542B" w:rsidRDefault="102B89B6" w:rsidP="102B89B6">
      <w:pPr>
        <w:ind w:firstLine="360"/>
        <w:jc w:val="both"/>
      </w:pPr>
      <w:r w:rsidRPr="102B89B6">
        <w:rPr>
          <w:sz w:val="20"/>
          <w:szCs w:val="20"/>
        </w:rPr>
        <w:t>Twenty University of Connecticut unde</w:t>
      </w:r>
      <w:r w:rsidR="00957F51">
        <w:rPr>
          <w:sz w:val="20"/>
          <w:szCs w:val="20"/>
        </w:rPr>
        <w:t>rgraduates (ten males; ages 18-20</w:t>
      </w:r>
      <w:r w:rsidRPr="102B89B6">
        <w:rPr>
          <w:sz w:val="20"/>
          <w:szCs w:val="20"/>
        </w:rPr>
        <w:t>) participated in exchange for course credit</w:t>
      </w:r>
      <w:r w:rsidR="00A26547">
        <w:rPr>
          <w:sz w:val="20"/>
          <w:szCs w:val="20"/>
        </w:rPr>
        <w:t>,</w:t>
      </w:r>
      <w:r w:rsidRPr="102B89B6">
        <w:rPr>
          <w:sz w:val="20"/>
          <w:szCs w:val="20"/>
        </w:rPr>
        <w:t xml:space="preserve"> after giving informed consent.</w:t>
      </w:r>
    </w:p>
    <w:p w14:paraId="7FA3B1B1" w14:textId="3EF900F3" w:rsidR="3D4D542B" w:rsidRDefault="102B89B6" w:rsidP="102B89B6">
      <w:pPr>
        <w:ind w:firstLine="360"/>
        <w:jc w:val="both"/>
      </w:pPr>
      <w:r w:rsidRPr="102B89B6">
        <w:rPr>
          <w:sz w:val="20"/>
          <w:szCs w:val="20"/>
        </w:rPr>
        <w:lastRenderedPageBreak/>
        <w:t xml:space="preserve">The obstacle consisted of a horizontal beam and two vertical supports. Its height </w:t>
      </w:r>
      <w:r w:rsidR="00E00DF0">
        <w:rPr>
          <w:sz w:val="20"/>
          <w:szCs w:val="20"/>
        </w:rPr>
        <w:t>was</w:t>
      </w:r>
      <w:r w:rsidRPr="102B89B6">
        <w:rPr>
          <w:sz w:val="20"/>
          <w:szCs w:val="20"/>
        </w:rPr>
        <w:t xml:space="preserve"> </w:t>
      </w:r>
      <w:r w:rsidR="00A75A6B">
        <w:rPr>
          <w:sz w:val="20"/>
          <w:szCs w:val="20"/>
        </w:rPr>
        <w:t>manipulated</w:t>
      </w:r>
      <w:r w:rsidRPr="102B89B6">
        <w:rPr>
          <w:sz w:val="20"/>
          <w:szCs w:val="20"/>
        </w:rPr>
        <w:t xml:space="preserve"> by the placement of the beam on the supports, and its width </w:t>
      </w:r>
      <w:r w:rsidR="00E00DF0">
        <w:rPr>
          <w:sz w:val="20"/>
          <w:szCs w:val="20"/>
        </w:rPr>
        <w:t>was</w:t>
      </w:r>
      <w:r w:rsidRPr="102B89B6">
        <w:rPr>
          <w:sz w:val="20"/>
          <w:szCs w:val="20"/>
        </w:rPr>
        <w:t xml:space="preserve"> </w:t>
      </w:r>
      <w:r w:rsidR="00A75A6B">
        <w:rPr>
          <w:sz w:val="20"/>
          <w:szCs w:val="20"/>
        </w:rPr>
        <w:t>manipulated</w:t>
      </w:r>
      <w:r w:rsidR="00A75A6B" w:rsidRPr="102B89B6">
        <w:rPr>
          <w:sz w:val="20"/>
          <w:szCs w:val="20"/>
        </w:rPr>
        <w:t xml:space="preserve"> </w:t>
      </w:r>
      <w:r w:rsidRPr="102B89B6">
        <w:rPr>
          <w:sz w:val="20"/>
          <w:szCs w:val="20"/>
        </w:rPr>
        <w:t xml:space="preserve">by placing the supports at different distances </w:t>
      </w:r>
      <w:r w:rsidR="00431737">
        <w:rPr>
          <w:sz w:val="20"/>
          <w:szCs w:val="20"/>
        </w:rPr>
        <w:t xml:space="preserve">from one another </w:t>
      </w:r>
      <w:r w:rsidRPr="102B89B6">
        <w:rPr>
          <w:sz w:val="20"/>
          <w:szCs w:val="20"/>
        </w:rPr>
        <w:t>and using beams of different lengths. Start and</w:t>
      </w:r>
      <w:r w:rsidR="00957F51">
        <w:rPr>
          <w:sz w:val="20"/>
          <w:szCs w:val="20"/>
        </w:rPr>
        <w:t xml:space="preserve"> stop locations were marked on </w:t>
      </w:r>
      <w:r w:rsidRPr="102B89B6">
        <w:rPr>
          <w:sz w:val="20"/>
          <w:szCs w:val="20"/>
        </w:rPr>
        <w:t>the floor, 5 feet away from the obstacle on either side.</w:t>
      </w:r>
    </w:p>
    <w:p w14:paraId="4417DA93" w14:textId="4298DF8B" w:rsidR="004C20FA" w:rsidRDefault="102B89B6" w:rsidP="102B89B6">
      <w:pPr>
        <w:ind w:firstLine="360"/>
        <w:jc w:val="both"/>
        <w:rPr>
          <w:sz w:val="20"/>
          <w:szCs w:val="20"/>
        </w:rPr>
      </w:pPr>
      <w:r w:rsidRPr="102B89B6">
        <w:rPr>
          <w:sz w:val="20"/>
          <w:szCs w:val="20"/>
        </w:rPr>
        <w:t>To establish</w:t>
      </w:r>
      <w:r w:rsidR="00A75A6B">
        <w:rPr>
          <w:sz w:val="20"/>
          <w:szCs w:val="20"/>
        </w:rPr>
        <w:t xml:space="preserve"> a baseline for the relative-height conditions, we </w:t>
      </w:r>
      <w:r w:rsidRPr="102B89B6">
        <w:rPr>
          <w:sz w:val="20"/>
          <w:szCs w:val="20"/>
        </w:rPr>
        <w:t xml:space="preserve">determined each participant's affordance boundary for stepping over </w:t>
      </w:r>
      <w:r w:rsidR="00A75A6B">
        <w:rPr>
          <w:sz w:val="20"/>
          <w:szCs w:val="20"/>
        </w:rPr>
        <w:t>the</w:t>
      </w:r>
      <w:r w:rsidRPr="102B89B6">
        <w:rPr>
          <w:sz w:val="20"/>
          <w:szCs w:val="20"/>
        </w:rPr>
        <w:t xml:space="preserve"> obstacle. Starting at a low obstacle height, we </w:t>
      </w:r>
      <w:r w:rsidR="00E00DF0">
        <w:rPr>
          <w:sz w:val="20"/>
          <w:szCs w:val="20"/>
        </w:rPr>
        <w:t>successively</w:t>
      </w:r>
      <w:r w:rsidR="00E00DF0" w:rsidRPr="102B89B6">
        <w:rPr>
          <w:sz w:val="20"/>
          <w:szCs w:val="20"/>
        </w:rPr>
        <w:t xml:space="preserve"> </w:t>
      </w:r>
      <w:r w:rsidRPr="102B89B6">
        <w:rPr>
          <w:sz w:val="20"/>
          <w:szCs w:val="20"/>
        </w:rPr>
        <w:t xml:space="preserve">raised the </w:t>
      </w:r>
      <w:r w:rsidR="00E00DF0">
        <w:rPr>
          <w:sz w:val="20"/>
          <w:szCs w:val="20"/>
        </w:rPr>
        <w:t>horizontal beam</w:t>
      </w:r>
      <w:r w:rsidR="00E00DF0" w:rsidRPr="102B89B6">
        <w:rPr>
          <w:sz w:val="20"/>
          <w:szCs w:val="20"/>
        </w:rPr>
        <w:t xml:space="preserve"> </w:t>
      </w:r>
      <w:r w:rsidR="00E00DF0">
        <w:rPr>
          <w:sz w:val="20"/>
          <w:szCs w:val="20"/>
        </w:rPr>
        <w:t xml:space="preserve">in </w:t>
      </w:r>
      <w:r w:rsidR="00431737">
        <w:rPr>
          <w:sz w:val="20"/>
          <w:szCs w:val="20"/>
        </w:rPr>
        <w:t>2-inch</w:t>
      </w:r>
      <w:r w:rsidR="00E00DF0">
        <w:rPr>
          <w:sz w:val="20"/>
          <w:szCs w:val="20"/>
        </w:rPr>
        <w:t xml:space="preserve"> increments </w:t>
      </w:r>
      <w:r w:rsidRPr="102B89B6">
        <w:rPr>
          <w:sz w:val="20"/>
          <w:szCs w:val="20"/>
        </w:rPr>
        <w:t xml:space="preserve">until the participant could no longer </w:t>
      </w:r>
      <w:r w:rsidR="00E00DF0">
        <w:rPr>
          <w:sz w:val="20"/>
          <w:szCs w:val="20"/>
        </w:rPr>
        <w:t xml:space="preserve">step over the obstacle while keeping one foot on the ground (hopping over was not allowed) </w:t>
      </w:r>
      <w:r w:rsidRPr="102B89B6">
        <w:rPr>
          <w:sz w:val="20"/>
          <w:szCs w:val="20"/>
        </w:rPr>
        <w:t xml:space="preserve">without </w:t>
      </w:r>
      <w:r w:rsidR="00E00DF0">
        <w:rPr>
          <w:sz w:val="20"/>
          <w:szCs w:val="20"/>
        </w:rPr>
        <w:t>touching the beam</w:t>
      </w:r>
      <w:r w:rsidRPr="102B89B6">
        <w:rPr>
          <w:sz w:val="20"/>
          <w:szCs w:val="20"/>
        </w:rPr>
        <w:t xml:space="preserve">. We </w:t>
      </w:r>
      <w:r w:rsidR="00A75A6B">
        <w:rPr>
          <w:sz w:val="20"/>
          <w:szCs w:val="20"/>
        </w:rPr>
        <w:t>recorded</w:t>
      </w:r>
      <w:r w:rsidRPr="102B89B6">
        <w:rPr>
          <w:sz w:val="20"/>
          <w:szCs w:val="20"/>
        </w:rPr>
        <w:t xml:space="preserve"> this height as the participant's affordance </w:t>
      </w:r>
      <w:r w:rsidR="004C20FA" w:rsidRPr="102B89B6">
        <w:rPr>
          <w:sz w:val="20"/>
          <w:szCs w:val="20"/>
        </w:rPr>
        <w:t>boundary</w:t>
      </w:r>
      <w:r w:rsidR="004C20FA">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m:rPr>
                <m:sty m:val="p"/>
              </m:rPr>
              <w:rPr>
                <w:rFonts w:ascii="Cambria Math" w:hAnsi="Cambria Math"/>
                <w:sz w:val="20"/>
                <w:szCs w:val="20"/>
              </w:rPr>
              <m:t>max</m:t>
            </m:r>
          </m:sub>
        </m:sSub>
      </m:oMath>
      <w:r w:rsidR="004C20FA">
        <w:rPr>
          <w:sz w:val="20"/>
          <w:szCs w:val="20"/>
        </w:rPr>
        <w:t>.</w:t>
      </w:r>
    </w:p>
    <w:p w14:paraId="76539074" w14:textId="6228FFE8" w:rsidR="3D4D542B" w:rsidRDefault="102B89B6" w:rsidP="102B89B6">
      <w:pPr>
        <w:ind w:firstLine="360"/>
        <w:jc w:val="both"/>
      </w:pPr>
      <w:r w:rsidRPr="102B89B6">
        <w:rPr>
          <w:sz w:val="20"/>
          <w:szCs w:val="20"/>
        </w:rPr>
        <w:t>For the experimental trials, we instructed participants to walk from the start location to the end location, stepping over or walking around the obstacle as was "comfortable, natural, or automatic." We told participants that it did not matter</w:t>
      </w:r>
      <w:r w:rsidR="00957F51">
        <w:rPr>
          <w:sz w:val="20"/>
          <w:szCs w:val="20"/>
        </w:rPr>
        <w:t xml:space="preserve"> whether they stepped over </w:t>
      </w:r>
      <w:r w:rsidRPr="102B89B6">
        <w:rPr>
          <w:sz w:val="20"/>
          <w:szCs w:val="20"/>
        </w:rPr>
        <w:t xml:space="preserve">or walked around the obstacle </w:t>
      </w:r>
      <w:r w:rsidR="000A4064">
        <w:rPr>
          <w:sz w:val="20"/>
          <w:szCs w:val="20"/>
        </w:rPr>
        <w:t>to return</w:t>
      </w:r>
      <w:r w:rsidRPr="102B89B6">
        <w:rPr>
          <w:sz w:val="20"/>
          <w:szCs w:val="20"/>
        </w:rPr>
        <w:t xml:space="preserve"> to the start location. However, we recorded their behavior on both phases of the trial. </w:t>
      </w:r>
      <w:r w:rsidR="00EF2FFA">
        <w:rPr>
          <w:sz w:val="20"/>
          <w:szCs w:val="20"/>
        </w:rPr>
        <w:t>As six</w:t>
      </w:r>
      <w:r w:rsidRPr="102B89B6">
        <w:rPr>
          <w:sz w:val="20"/>
          <w:szCs w:val="20"/>
        </w:rPr>
        <w:t xml:space="preserve"> participants reported a belief that they were not permitted to step over the obstacle on the return</w:t>
      </w:r>
      <w:r w:rsidR="00E00DF0">
        <w:rPr>
          <w:sz w:val="20"/>
          <w:szCs w:val="20"/>
        </w:rPr>
        <w:t>,</w:t>
      </w:r>
      <w:r w:rsidRPr="102B89B6">
        <w:rPr>
          <w:sz w:val="20"/>
          <w:szCs w:val="20"/>
        </w:rPr>
        <w:t xml:space="preserve"> return-phase data from these participants was ignored.</w:t>
      </w:r>
    </w:p>
    <w:p w14:paraId="7ED9A06E" w14:textId="77777777" w:rsidR="102B89B6" w:rsidRDefault="102B89B6" w:rsidP="102B89B6">
      <w:pPr>
        <w:ind w:firstLine="360"/>
        <w:jc w:val="both"/>
        <w:rPr>
          <w:sz w:val="20"/>
          <w:szCs w:val="20"/>
        </w:rPr>
      </w:pPr>
      <w:r w:rsidRPr="102B89B6">
        <w:rPr>
          <w:sz w:val="20"/>
          <w:szCs w:val="20"/>
        </w:rPr>
        <w:t xml:space="preserve">The experiment </w:t>
      </w:r>
      <w:r w:rsidR="00A75A6B">
        <w:rPr>
          <w:sz w:val="20"/>
          <w:szCs w:val="20"/>
        </w:rPr>
        <w:t>included</w:t>
      </w:r>
      <w:r w:rsidRPr="102B89B6">
        <w:rPr>
          <w:sz w:val="20"/>
          <w:szCs w:val="20"/>
        </w:rPr>
        <w:t xml:space="preserve"> six obstacle widths (4.5, 6, 7.5, 9, 10.5, 12 ft.) crossed with seven</w:t>
      </w:r>
      <w:r w:rsidR="00A75A6B">
        <w:rPr>
          <w:sz w:val="20"/>
          <w:szCs w:val="20"/>
        </w:rPr>
        <w:t xml:space="preserve"> obstacle heights (2 in. higher; </w:t>
      </w:r>
      <w:r w:rsidRPr="102B89B6">
        <w:rPr>
          <w:sz w:val="20"/>
          <w:szCs w:val="20"/>
        </w:rPr>
        <w:t>2, 4, 6, 8, 10, and 14 in. lower than the participant's affordance boundary). There were two trials of each condition, except for the +2 in</w:t>
      </w:r>
      <w:r w:rsidR="0057469F">
        <w:rPr>
          <w:sz w:val="20"/>
          <w:szCs w:val="20"/>
        </w:rPr>
        <w:t>.</w:t>
      </w:r>
      <w:r w:rsidRPr="102B89B6">
        <w:rPr>
          <w:sz w:val="20"/>
          <w:szCs w:val="20"/>
        </w:rPr>
        <w:t xml:space="preserve"> condition</w:t>
      </w:r>
      <w:r w:rsidR="00A75A6B">
        <w:rPr>
          <w:sz w:val="20"/>
          <w:szCs w:val="20"/>
        </w:rPr>
        <w:t>s</w:t>
      </w:r>
      <w:r w:rsidRPr="102B89B6">
        <w:rPr>
          <w:sz w:val="20"/>
          <w:szCs w:val="20"/>
        </w:rPr>
        <w:t xml:space="preserve"> which </w:t>
      </w:r>
      <w:r w:rsidR="00A75A6B">
        <w:rPr>
          <w:sz w:val="20"/>
          <w:szCs w:val="20"/>
        </w:rPr>
        <w:t>were</w:t>
      </w:r>
      <w:r w:rsidRPr="102B89B6">
        <w:rPr>
          <w:sz w:val="20"/>
          <w:szCs w:val="20"/>
        </w:rPr>
        <w:t xml:space="preserve"> not repeated, for a total of 78 trials.</w:t>
      </w:r>
      <w:r w:rsidR="007B0EC7">
        <w:rPr>
          <w:sz w:val="20"/>
          <w:szCs w:val="20"/>
        </w:rPr>
        <w:t xml:space="preserve"> The order of trials was fully randomized.</w:t>
      </w:r>
    </w:p>
    <w:p w14:paraId="7DECAA8C" w14:textId="77777777" w:rsidR="00A433CC" w:rsidRDefault="00A433CC" w:rsidP="0090376A">
      <w:pPr>
        <w:pStyle w:val="PosterText"/>
        <w:rPr>
          <w:b/>
          <w:sz w:val="20"/>
        </w:rPr>
      </w:pPr>
    </w:p>
    <w:p w14:paraId="7B57B02C" w14:textId="77777777" w:rsidR="0061369F" w:rsidRPr="002A256D" w:rsidRDefault="0061369F" w:rsidP="0090376A">
      <w:pPr>
        <w:pStyle w:val="PosterText"/>
        <w:rPr>
          <w:b/>
          <w:sz w:val="20"/>
        </w:rPr>
      </w:pPr>
    </w:p>
    <w:p w14:paraId="6E0E76CD" w14:textId="77777777" w:rsidR="00A433CC" w:rsidRPr="002A256D" w:rsidRDefault="102B89B6" w:rsidP="00A433CC">
      <w:pPr>
        <w:pStyle w:val="PosterText"/>
        <w:ind w:firstLine="360"/>
        <w:rPr>
          <w:b/>
          <w:sz w:val="20"/>
        </w:rPr>
      </w:pPr>
      <w:r w:rsidRPr="102B89B6">
        <w:rPr>
          <w:rFonts w:eastAsia="Times New Roman"/>
          <w:b/>
          <w:bCs/>
          <w:sz w:val="20"/>
          <w:szCs w:val="20"/>
        </w:rPr>
        <w:t>Results and Discussion</w:t>
      </w:r>
    </w:p>
    <w:p w14:paraId="3BF08930" w14:textId="77777777" w:rsidR="00A433CC" w:rsidRPr="002A256D" w:rsidRDefault="00A433CC" w:rsidP="00A433CC">
      <w:pPr>
        <w:pStyle w:val="PosterText"/>
        <w:ind w:firstLine="360"/>
        <w:rPr>
          <w:sz w:val="20"/>
        </w:rPr>
      </w:pPr>
    </w:p>
    <w:p w14:paraId="15CBD3E0" w14:textId="77777777" w:rsidR="00C508F0" w:rsidRPr="002D06AA" w:rsidRDefault="102B89B6" w:rsidP="002D06AA">
      <w:pPr>
        <w:pStyle w:val="PosterText"/>
        <w:ind w:firstLine="360"/>
        <w:rPr>
          <w:rFonts w:eastAsia="Times New Roman"/>
          <w:sz w:val="20"/>
          <w:szCs w:val="20"/>
        </w:rPr>
      </w:pPr>
      <w:r w:rsidRPr="102B89B6">
        <w:rPr>
          <w:rFonts w:eastAsia="Times New Roman"/>
          <w:sz w:val="20"/>
          <w:szCs w:val="20"/>
        </w:rPr>
        <w:t xml:space="preserve">Figure </w:t>
      </w:r>
      <w:r w:rsidR="007F5D84">
        <w:rPr>
          <w:rFonts w:eastAsia="Times New Roman"/>
          <w:sz w:val="20"/>
          <w:szCs w:val="20"/>
        </w:rPr>
        <w:t xml:space="preserve">1 </w:t>
      </w:r>
      <w:r w:rsidRPr="102B89B6">
        <w:rPr>
          <w:rFonts w:eastAsia="Times New Roman"/>
          <w:sz w:val="20"/>
          <w:szCs w:val="20"/>
        </w:rPr>
        <w:t xml:space="preserve">shows the proportion of trials on which the participant </w:t>
      </w:r>
      <w:r w:rsidR="007F5D84">
        <w:rPr>
          <w:rFonts w:eastAsia="Times New Roman"/>
          <w:sz w:val="20"/>
          <w:szCs w:val="20"/>
        </w:rPr>
        <w:t>stepped</w:t>
      </w:r>
      <w:r w:rsidR="00A75A6B">
        <w:rPr>
          <w:rFonts w:eastAsia="Times New Roman"/>
          <w:sz w:val="20"/>
          <w:szCs w:val="20"/>
        </w:rPr>
        <w:t xml:space="preserve"> over</w:t>
      </w:r>
      <w:r w:rsidRPr="102B89B6">
        <w:rPr>
          <w:rFonts w:eastAsia="Times New Roman"/>
          <w:sz w:val="20"/>
          <w:szCs w:val="20"/>
        </w:rPr>
        <w:t xml:space="preserve"> the obstacle </w:t>
      </w:r>
      <w:r w:rsidR="00442E2B">
        <w:rPr>
          <w:rFonts w:eastAsia="Times New Roman"/>
          <w:sz w:val="20"/>
          <w:szCs w:val="20"/>
        </w:rPr>
        <w:t>in</w:t>
      </w:r>
      <w:r w:rsidR="00442E2B" w:rsidRPr="102B89B6">
        <w:rPr>
          <w:rFonts w:eastAsia="Times New Roman"/>
          <w:sz w:val="20"/>
          <w:szCs w:val="20"/>
        </w:rPr>
        <w:t xml:space="preserve"> </w:t>
      </w:r>
      <w:r w:rsidRPr="102B89B6">
        <w:rPr>
          <w:rFonts w:eastAsia="Times New Roman"/>
          <w:sz w:val="20"/>
          <w:szCs w:val="20"/>
        </w:rPr>
        <w:t>each condition. The transition from stepping over to walking around the obstacle tended to occur at lower heigh</w:t>
      </w:r>
      <w:r w:rsidR="007F5D84">
        <w:rPr>
          <w:rFonts w:eastAsia="Times New Roman"/>
          <w:sz w:val="20"/>
          <w:szCs w:val="20"/>
        </w:rPr>
        <w:t xml:space="preserve">ts when the obstacle was </w:t>
      </w:r>
      <w:r w:rsidR="007B0EC7">
        <w:rPr>
          <w:rFonts w:eastAsia="Times New Roman"/>
          <w:sz w:val="20"/>
          <w:szCs w:val="20"/>
        </w:rPr>
        <w:t>narrower</w:t>
      </w:r>
      <w:r w:rsidR="007F5D84">
        <w:rPr>
          <w:rFonts w:eastAsia="Times New Roman"/>
          <w:sz w:val="20"/>
          <w:szCs w:val="20"/>
        </w:rPr>
        <w:t>.</w:t>
      </w:r>
    </w:p>
    <w:p w14:paraId="478BFF42" w14:textId="6DDD3157" w:rsidR="002D06AA" w:rsidRDefault="007F5D84" w:rsidP="002D06AA">
      <w:pPr>
        <w:pStyle w:val="PosterText"/>
        <w:ind w:firstLine="360"/>
        <w:rPr>
          <w:rFonts w:eastAsia="Times New Roman"/>
          <w:sz w:val="20"/>
          <w:szCs w:val="20"/>
        </w:rPr>
      </w:pPr>
      <w:r>
        <w:rPr>
          <w:rFonts w:eastAsia="Times New Roman"/>
          <w:sz w:val="20"/>
          <w:szCs w:val="20"/>
        </w:rPr>
        <w:t>For each participant</w:t>
      </w:r>
      <w:r w:rsidR="00A75A6B">
        <w:rPr>
          <w:rFonts w:eastAsia="Times New Roman"/>
          <w:sz w:val="20"/>
          <w:szCs w:val="20"/>
        </w:rPr>
        <w:t xml:space="preserve"> and each obstacle width, the </w:t>
      </w:r>
      <w:r>
        <w:rPr>
          <w:rFonts w:eastAsia="Times New Roman"/>
          <w:sz w:val="20"/>
          <w:szCs w:val="20"/>
        </w:rPr>
        <w:t xml:space="preserve">critical </w:t>
      </w:r>
      <w:r w:rsidR="00A75A6B">
        <w:rPr>
          <w:rFonts w:eastAsia="Times New Roman"/>
          <w:sz w:val="20"/>
          <w:szCs w:val="20"/>
        </w:rPr>
        <w:t xml:space="preserve">transition </w:t>
      </w:r>
      <w:r>
        <w:rPr>
          <w:rFonts w:eastAsia="Times New Roman"/>
          <w:sz w:val="20"/>
          <w:szCs w:val="20"/>
        </w:rPr>
        <w:t>height</w:t>
      </w:r>
      <w:r w:rsidR="004C20FA">
        <w:rPr>
          <w:rFonts w:eastAsia="Times New Roman"/>
          <w:sz w:val="20"/>
          <w:szCs w:val="20"/>
        </w:rPr>
        <w:t xml:space="preserve"> </w:t>
      </w:r>
      <m:oMath>
        <m:sSub>
          <m:sSubPr>
            <m:ctrlPr>
              <w:rPr>
                <w:rFonts w:ascii="Cambria Math" w:eastAsia="Times New Roman" w:hAnsi="Cambria Math"/>
                <w:i/>
                <w:sz w:val="20"/>
                <w:szCs w:val="20"/>
              </w:rPr>
            </m:ctrlPr>
          </m:sSubPr>
          <m:e>
            <m:r>
              <w:rPr>
                <w:rFonts w:ascii="Cambria Math" w:eastAsia="Times New Roman" w:hAnsi="Cambria Math"/>
                <w:sz w:val="20"/>
                <w:szCs w:val="20"/>
              </w:rPr>
              <m:t>h</m:t>
            </m:r>
          </m:e>
          <m:sub>
            <m:r>
              <m:rPr>
                <m:sty m:val="p"/>
              </m:rPr>
              <w:rPr>
                <w:rFonts w:ascii="Cambria Math" w:eastAsia="Times New Roman" w:hAnsi="Cambria Math"/>
                <w:sz w:val="20"/>
                <w:szCs w:val="20"/>
              </w:rPr>
              <m:t>crit</m:t>
            </m:r>
            <m:r>
              <w:rPr>
                <w:rFonts w:ascii="Cambria Math" w:eastAsia="Times New Roman" w:hAnsi="Cambria Math"/>
                <w:sz w:val="20"/>
                <w:szCs w:val="20"/>
              </w:rPr>
              <m:t>.</m:t>
            </m:r>
          </m:sub>
        </m:sSub>
      </m:oMath>
      <w:r w:rsidR="004C20FA">
        <w:rPr>
          <w:rFonts w:eastAsia="Times New Roman"/>
          <w:sz w:val="20"/>
          <w:szCs w:val="20"/>
        </w:rPr>
        <w:t xml:space="preserve"> </w:t>
      </w:r>
      <w:r>
        <w:rPr>
          <w:rFonts w:eastAsia="Times New Roman"/>
          <w:sz w:val="20"/>
          <w:szCs w:val="20"/>
        </w:rPr>
        <w:t>was estimated</w:t>
      </w:r>
      <w:r w:rsidR="00833F13">
        <w:rPr>
          <w:rFonts w:eastAsia="Times New Roman"/>
          <w:sz w:val="20"/>
          <w:szCs w:val="20"/>
        </w:rPr>
        <w:t xml:space="preserve"> using logistic regression and scaled by the participant’s affordance boundary</w:t>
      </w:r>
      <w:r w:rsidR="00A26547">
        <w:rPr>
          <w:rFonts w:eastAsia="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m:rPr>
                <m:sty m:val="p"/>
              </m:rPr>
              <w:rPr>
                <w:rFonts w:ascii="Cambria Math" w:hAnsi="Cambria Math"/>
                <w:sz w:val="20"/>
                <w:szCs w:val="20"/>
              </w:rPr>
              <m:t>max</m:t>
            </m:r>
          </m:sub>
        </m:sSub>
      </m:oMath>
      <w:r w:rsidR="00833F13">
        <w:rPr>
          <w:rFonts w:eastAsia="Times New Roman"/>
          <w:sz w:val="20"/>
          <w:szCs w:val="20"/>
        </w:rPr>
        <w:t xml:space="preserve">. </w:t>
      </w:r>
      <w:r w:rsidR="00675DE8">
        <w:rPr>
          <w:rFonts w:eastAsia="Times New Roman"/>
          <w:sz w:val="20"/>
          <w:szCs w:val="20"/>
        </w:rPr>
        <w:t>The means at each</w:t>
      </w:r>
      <w:r w:rsidR="00833F13">
        <w:rPr>
          <w:rFonts w:eastAsia="Times New Roman"/>
          <w:sz w:val="20"/>
          <w:szCs w:val="20"/>
        </w:rPr>
        <w:t xml:space="preserve"> </w:t>
      </w:r>
      <w:r w:rsidR="00A26547">
        <w:rPr>
          <w:rFonts w:eastAsia="Times New Roman"/>
          <w:sz w:val="20"/>
          <w:szCs w:val="20"/>
        </w:rPr>
        <w:t>width are shown in Fig.</w:t>
      </w:r>
      <w:r w:rsidR="00675DE8">
        <w:rPr>
          <w:rFonts w:eastAsia="Times New Roman"/>
          <w:sz w:val="20"/>
          <w:szCs w:val="20"/>
        </w:rPr>
        <w:t xml:space="preserve"> 2. </w:t>
      </w:r>
      <w:r w:rsidR="0059372B">
        <w:rPr>
          <w:rFonts w:eastAsia="Times New Roman"/>
          <w:sz w:val="20"/>
          <w:szCs w:val="20"/>
        </w:rPr>
        <w:t>We fit a</w:t>
      </w:r>
      <w:r w:rsidR="00675DE8">
        <w:rPr>
          <w:rFonts w:eastAsia="Times New Roman"/>
          <w:sz w:val="20"/>
          <w:szCs w:val="20"/>
        </w:rPr>
        <w:t xml:space="preserve"> </w:t>
      </w:r>
      <w:r w:rsidR="00833F13">
        <w:rPr>
          <w:rFonts w:eastAsia="Times New Roman"/>
          <w:sz w:val="20"/>
          <w:szCs w:val="20"/>
        </w:rPr>
        <w:t xml:space="preserve">linear, </w:t>
      </w:r>
      <w:r w:rsidR="0059372B">
        <w:rPr>
          <w:rFonts w:eastAsia="Times New Roman"/>
          <w:sz w:val="20"/>
          <w:szCs w:val="20"/>
        </w:rPr>
        <w:t xml:space="preserve">mixed-effect regression of </w:t>
      </w:r>
      <w:r w:rsidR="00833F13">
        <w:rPr>
          <w:rFonts w:eastAsia="Times New Roman"/>
          <w:sz w:val="20"/>
          <w:szCs w:val="20"/>
        </w:rPr>
        <w:t xml:space="preserve">scaled critical heights </w:t>
      </w:r>
      <w:r w:rsidR="00D4630E">
        <w:rPr>
          <w:rFonts w:eastAsia="Times New Roman"/>
          <w:sz w:val="20"/>
          <w:szCs w:val="20"/>
        </w:rPr>
        <w:t xml:space="preserve">with a fixed effect of width and </w:t>
      </w:r>
      <w:r w:rsidR="00833F13">
        <w:rPr>
          <w:rFonts w:eastAsia="Times New Roman"/>
          <w:sz w:val="20"/>
          <w:szCs w:val="20"/>
        </w:rPr>
        <w:t>a random intercept</w:t>
      </w:r>
      <w:r w:rsidR="00C6300D">
        <w:rPr>
          <w:rFonts w:eastAsia="Times New Roman"/>
          <w:sz w:val="20"/>
          <w:szCs w:val="20"/>
        </w:rPr>
        <w:t>. Using a parametric bootstrap with 10</w:t>
      </w:r>
      <w:r w:rsidR="00915BD5">
        <w:rPr>
          <w:rFonts w:eastAsia="Times New Roman"/>
          <w:sz w:val="20"/>
          <w:szCs w:val="20"/>
        </w:rPr>
        <w:t>,</w:t>
      </w:r>
      <w:r w:rsidR="00C6300D">
        <w:rPr>
          <w:rFonts w:eastAsia="Times New Roman"/>
          <w:sz w:val="20"/>
          <w:szCs w:val="20"/>
        </w:rPr>
        <w:t>000 simulations,</w:t>
      </w:r>
      <w:r w:rsidR="00833F13">
        <w:rPr>
          <w:rFonts w:eastAsia="Times New Roman"/>
          <w:sz w:val="20"/>
          <w:szCs w:val="20"/>
        </w:rPr>
        <w:t xml:space="preserve"> we estimated a </w:t>
      </w:r>
      <w:r w:rsidR="00C6300D">
        <w:rPr>
          <w:rFonts w:eastAsia="Times New Roman"/>
          <w:sz w:val="20"/>
          <w:szCs w:val="20"/>
        </w:rPr>
        <w:t>95% confidence interval for the</w:t>
      </w:r>
      <w:r w:rsidR="00833F13">
        <w:rPr>
          <w:rFonts w:eastAsia="Times New Roman"/>
          <w:sz w:val="20"/>
          <w:szCs w:val="20"/>
        </w:rPr>
        <w:t xml:space="preserve"> width coefficient, </w:t>
      </w:r>
      <w:r w:rsidR="00C6300D">
        <w:rPr>
          <w:rFonts w:eastAsia="Times New Roman"/>
          <w:sz w:val="20"/>
          <w:szCs w:val="20"/>
        </w:rPr>
        <w:t xml:space="preserve">1.278 </w:t>
      </w:r>
      <w:r w:rsidR="00E73585">
        <w:rPr>
          <w:rFonts w:eastAsia="Times New Roman"/>
          <w:sz w:val="20"/>
          <w:szCs w:val="20"/>
        </w:rPr>
        <w:sym w:font="Symbol" w:char="F0B4"/>
      </w:r>
      <w:r w:rsidR="00C6300D">
        <w:rPr>
          <w:rFonts w:eastAsia="Times New Roman"/>
          <w:sz w:val="20"/>
          <w:szCs w:val="20"/>
        </w:rPr>
        <w:t xml:space="preserve"> 10</w:t>
      </w:r>
      <w:r w:rsidR="00C6300D" w:rsidRPr="00C6300D">
        <w:rPr>
          <w:rFonts w:eastAsia="Times New Roman"/>
          <w:sz w:val="20"/>
          <w:szCs w:val="20"/>
          <w:vertAlign w:val="superscript"/>
        </w:rPr>
        <w:t>-2</w:t>
      </w:r>
      <w:r w:rsidR="00C6300D">
        <w:rPr>
          <w:rFonts w:eastAsia="Times New Roman"/>
          <w:sz w:val="20"/>
          <w:szCs w:val="20"/>
        </w:rPr>
        <w:t xml:space="preserve"> ± 3.1</w:t>
      </w:r>
      <w:r w:rsidR="005072C0">
        <w:rPr>
          <w:rFonts w:eastAsia="Times New Roman"/>
          <w:sz w:val="20"/>
          <w:szCs w:val="20"/>
        </w:rPr>
        <w:t>5</w:t>
      </w:r>
      <w:r w:rsidR="00C6300D">
        <w:rPr>
          <w:rFonts w:eastAsia="Times New Roman"/>
          <w:sz w:val="20"/>
          <w:szCs w:val="20"/>
        </w:rPr>
        <w:t xml:space="preserve">0 </w:t>
      </w:r>
      <w:r w:rsidR="00E73585">
        <w:rPr>
          <w:rFonts w:eastAsia="Times New Roman"/>
          <w:sz w:val="20"/>
          <w:szCs w:val="20"/>
        </w:rPr>
        <w:sym w:font="Symbol" w:char="F0B4"/>
      </w:r>
      <w:r w:rsidR="00C6300D">
        <w:rPr>
          <w:rFonts w:eastAsia="Times New Roman"/>
          <w:sz w:val="20"/>
          <w:szCs w:val="20"/>
        </w:rPr>
        <w:t xml:space="preserve"> 10</w:t>
      </w:r>
      <w:r w:rsidR="00C6300D" w:rsidRPr="00C6300D">
        <w:rPr>
          <w:rFonts w:eastAsia="Times New Roman"/>
          <w:sz w:val="20"/>
          <w:szCs w:val="20"/>
          <w:vertAlign w:val="superscript"/>
        </w:rPr>
        <w:t>-3</w:t>
      </w:r>
      <w:r w:rsidR="00C6300D">
        <w:rPr>
          <w:rFonts w:eastAsia="Times New Roman"/>
          <w:sz w:val="20"/>
          <w:szCs w:val="20"/>
        </w:rPr>
        <w:t xml:space="preserve">. </w:t>
      </w:r>
      <w:r w:rsidR="10158996" w:rsidRPr="10158996">
        <w:rPr>
          <w:rFonts w:eastAsia="Times New Roman"/>
          <w:sz w:val="20"/>
          <w:szCs w:val="20"/>
        </w:rPr>
        <w:t>Participants were more likely to step over the obstacle when it was wider</w:t>
      </w:r>
      <w:r w:rsidR="00C6300D">
        <w:rPr>
          <w:rFonts w:eastAsia="Times New Roman"/>
          <w:sz w:val="20"/>
          <w:szCs w:val="20"/>
        </w:rPr>
        <w:t xml:space="preserve">. For every </w:t>
      </w:r>
      <w:r w:rsidR="00431737">
        <w:rPr>
          <w:rFonts w:eastAsia="Times New Roman"/>
          <w:sz w:val="20"/>
          <w:szCs w:val="20"/>
        </w:rPr>
        <w:t>1-foot</w:t>
      </w:r>
      <w:r w:rsidR="00C6300D">
        <w:rPr>
          <w:rFonts w:eastAsia="Times New Roman"/>
          <w:sz w:val="20"/>
          <w:szCs w:val="20"/>
        </w:rPr>
        <w:t xml:space="preserve"> increase in obstacle width, participants’ critical obstacle height</w:t>
      </w:r>
      <w:r w:rsidR="00DB6857">
        <w:rPr>
          <w:rFonts w:eastAsia="Times New Roman"/>
          <w:sz w:val="20"/>
          <w:szCs w:val="20"/>
        </w:rPr>
        <w:t>, as a percentage of their stepping-over affordance boundaries,</w:t>
      </w:r>
      <w:r w:rsidR="00C6300D">
        <w:rPr>
          <w:rFonts w:eastAsia="Times New Roman"/>
          <w:sz w:val="20"/>
          <w:szCs w:val="20"/>
        </w:rPr>
        <w:t xml:space="preserve"> increased by an estimated 1.278 %.</w:t>
      </w:r>
    </w:p>
    <w:p w14:paraId="60CC5A5F" w14:textId="77777777" w:rsidR="002D06AA" w:rsidRPr="002D06AA" w:rsidRDefault="002D06AA" w:rsidP="002D06AA">
      <w:pPr>
        <w:pStyle w:val="PosterText"/>
        <w:ind w:firstLine="360"/>
        <w:rPr>
          <w:rFonts w:eastAsia="Times New Roman"/>
          <w:sz w:val="20"/>
          <w:szCs w:val="20"/>
        </w:rPr>
      </w:pPr>
    </w:p>
    <w:p w14:paraId="1AB3CEB9" w14:textId="77777777" w:rsidR="002D06AA" w:rsidRDefault="002D06AA" w:rsidP="002D06AA">
      <w:pPr>
        <w:pStyle w:val="PosterText"/>
        <w:jc w:val="center"/>
        <w:rPr>
          <w:rFonts w:eastAsia="Times New Roman"/>
          <w:i/>
          <w:iCs/>
          <w:sz w:val="20"/>
          <w:szCs w:val="20"/>
        </w:rPr>
      </w:pPr>
      <w:r>
        <w:rPr>
          <w:noProof/>
          <w:lang w:val="en-US"/>
        </w:rPr>
        <w:lastRenderedPageBreak/>
        <w:drawing>
          <wp:inline distT="0" distB="0" distL="0" distR="0" wp14:anchorId="08714B87" wp14:editId="33030890">
            <wp:extent cx="234950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tion Selection\by-width_bw.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349500" cy="2349500"/>
                    </a:xfrm>
                    <a:prstGeom prst="rect">
                      <a:avLst/>
                    </a:prstGeom>
                    <a:noFill/>
                    <a:ln>
                      <a:noFill/>
                    </a:ln>
                  </pic:spPr>
                </pic:pic>
              </a:graphicData>
            </a:graphic>
          </wp:inline>
        </w:drawing>
      </w:r>
    </w:p>
    <w:p w14:paraId="626E763E" w14:textId="44F268A7" w:rsidR="002D06AA" w:rsidRDefault="002D06AA" w:rsidP="004C20FA">
      <w:pPr>
        <w:pStyle w:val="PosterText"/>
        <w:ind w:firstLine="360"/>
        <w:rPr>
          <w:rFonts w:eastAsia="Times New Roman"/>
          <w:sz w:val="20"/>
          <w:szCs w:val="20"/>
        </w:rPr>
      </w:pPr>
      <w:r w:rsidRPr="10158996">
        <w:rPr>
          <w:rFonts w:eastAsia="Times New Roman"/>
          <w:i/>
          <w:iCs/>
          <w:sz w:val="20"/>
          <w:szCs w:val="20"/>
        </w:rPr>
        <w:t xml:space="preserve">Figure </w:t>
      </w:r>
      <w:r>
        <w:rPr>
          <w:rFonts w:eastAsia="Times New Roman"/>
          <w:i/>
          <w:iCs/>
          <w:sz w:val="20"/>
          <w:szCs w:val="20"/>
        </w:rPr>
        <w:t>1</w:t>
      </w:r>
      <w:r w:rsidRPr="10158996">
        <w:rPr>
          <w:rFonts w:eastAsia="Times New Roman"/>
          <w:i/>
          <w:iCs/>
          <w:sz w:val="20"/>
          <w:szCs w:val="20"/>
        </w:rPr>
        <w:t xml:space="preserve">. </w:t>
      </w:r>
      <w:r w:rsidRPr="10158996">
        <w:rPr>
          <w:rFonts w:eastAsia="Times New Roman"/>
          <w:sz w:val="20"/>
          <w:szCs w:val="20"/>
        </w:rPr>
        <w:t xml:space="preserve">The </w:t>
      </w:r>
      <w:r>
        <w:rPr>
          <w:rFonts w:eastAsia="Times New Roman"/>
          <w:sz w:val="20"/>
          <w:szCs w:val="20"/>
        </w:rPr>
        <w:t>proportion of trials on which the obstacle was stepped over</w:t>
      </w:r>
      <w:r w:rsidR="00E00DF0">
        <w:rPr>
          <w:rFonts w:eastAsia="Times New Roman"/>
          <w:sz w:val="20"/>
          <w:szCs w:val="20"/>
        </w:rPr>
        <w:t xml:space="preserve"> as a function of </w:t>
      </w:r>
      <w:r w:rsidRPr="10158996">
        <w:rPr>
          <w:rFonts w:eastAsia="Times New Roman"/>
          <w:sz w:val="20"/>
          <w:szCs w:val="20"/>
        </w:rPr>
        <w:t>obstacle width</w:t>
      </w:r>
      <w:r w:rsidR="004C20FA">
        <w:rPr>
          <w:rFonts w:eastAsia="Times New Roman"/>
          <w:sz w:val="20"/>
          <w:szCs w:val="20"/>
        </w:rPr>
        <w:t xml:space="preserve">, for each relative-height condition. Relative height </w:t>
      </w:r>
      <m:oMath>
        <m:r>
          <w:rPr>
            <w:rFonts w:ascii="Cambria Math" w:eastAsia="Times New Roman" w:hAnsi="Cambria Math"/>
            <w:sz w:val="20"/>
            <w:szCs w:val="20"/>
          </w:rPr>
          <m:t>h</m:t>
        </m:r>
        <m:r>
          <w:rPr>
            <w:rFonts w:ascii="Cambria Math" w:eastAsia="Times New Roman" w:hAnsi="Cambria Math"/>
            <w:sz w:val="20"/>
            <w:szCs w:val="20"/>
          </w:rPr>
          <m:t xml:space="preserve"> -</m:t>
        </m:r>
        <m:sSub>
          <m:sSubPr>
            <m:ctrlPr>
              <w:rPr>
                <w:rFonts w:ascii="Cambria Math" w:eastAsia="Times New Roman" w:hAnsi="Cambria Math"/>
                <w:i/>
                <w:sz w:val="20"/>
                <w:szCs w:val="20"/>
              </w:rPr>
            </m:ctrlPr>
          </m:sSubPr>
          <m:e>
            <m:r>
              <w:rPr>
                <w:rFonts w:ascii="Cambria Math" w:eastAsia="Times New Roman" w:hAnsi="Cambria Math"/>
                <w:sz w:val="20"/>
                <w:szCs w:val="20"/>
              </w:rPr>
              <m:t>h</m:t>
            </m:r>
          </m:e>
          <m:sub>
            <m:r>
              <m:rPr>
                <m:sty m:val="p"/>
              </m:rPr>
              <w:rPr>
                <w:rFonts w:ascii="Cambria Math" w:eastAsia="Times New Roman" w:hAnsi="Cambria Math"/>
                <w:sz w:val="20"/>
                <w:szCs w:val="20"/>
              </w:rPr>
              <m:t>max</m:t>
            </m:r>
          </m:sub>
        </m:sSub>
      </m:oMath>
      <w:r w:rsidR="004C20FA">
        <w:rPr>
          <w:rFonts w:eastAsia="Times New Roman"/>
          <w:sz w:val="20"/>
          <w:szCs w:val="20"/>
        </w:rPr>
        <w:t xml:space="preserve"> is labelled to the right of each line.</w:t>
      </w:r>
    </w:p>
    <w:p w14:paraId="086D464F" w14:textId="77777777" w:rsidR="004C20FA" w:rsidRDefault="004C20FA" w:rsidP="004C20FA">
      <w:pPr>
        <w:pStyle w:val="PosterText"/>
        <w:ind w:firstLine="360"/>
        <w:rPr>
          <w:rFonts w:eastAsia="Times New Roman"/>
          <w:sz w:val="20"/>
          <w:szCs w:val="20"/>
        </w:rPr>
      </w:pPr>
    </w:p>
    <w:p w14:paraId="42BB16BE" w14:textId="77777777" w:rsidR="002D06AA" w:rsidRDefault="002D06AA" w:rsidP="002D06AA">
      <w:pPr>
        <w:pStyle w:val="PosterText"/>
        <w:ind w:firstLine="360"/>
        <w:jc w:val="center"/>
        <w:rPr>
          <w:rFonts w:eastAsia="Times New Roman"/>
          <w:sz w:val="20"/>
          <w:szCs w:val="20"/>
        </w:rPr>
      </w:pPr>
      <w:r>
        <w:rPr>
          <w:rFonts w:eastAsia="Times New Roman"/>
          <w:noProof/>
          <w:sz w:val="20"/>
          <w:szCs w:val="20"/>
          <w:lang w:val="en-US"/>
        </w:rPr>
        <w:drawing>
          <wp:inline distT="0" distB="0" distL="0" distR="0" wp14:anchorId="16087E9C" wp14:editId="5EEDDD25">
            <wp:extent cx="2267712" cy="2267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tion Selection\critical_scaled_heights.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67712" cy="2267712"/>
                    </a:xfrm>
                    <a:prstGeom prst="rect">
                      <a:avLst/>
                    </a:prstGeom>
                    <a:noFill/>
                    <a:ln>
                      <a:noFill/>
                    </a:ln>
                  </pic:spPr>
                </pic:pic>
              </a:graphicData>
            </a:graphic>
          </wp:inline>
        </w:drawing>
      </w:r>
    </w:p>
    <w:p w14:paraId="1E645848" w14:textId="4C165115" w:rsidR="002D06AA" w:rsidRPr="00806B09" w:rsidRDefault="002D06AA" w:rsidP="00806B09">
      <w:pPr>
        <w:pStyle w:val="PosterText"/>
        <w:ind w:firstLine="360"/>
        <w:rPr>
          <w:rFonts w:eastAsia="Times New Roman"/>
          <w:sz w:val="20"/>
          <w:szCs w:val="20"/>
        </w:rPr>
      </w:pPr>
      <w:r>
        <w:rPr>
          <w:rFonts w:eastAsia="Times New Roman"/>
          <w:i/>
          <w:sz w:val="20"/>
          <w:szCs w:val="20"/>
        </w:rPr>
        <w:t>Figure 2.</w:t>
      </w:r>
      <w:r w:rsidR="00806B09">
        <w:rPr>
          <w:rFonts w:eastAsia="Times New Roman"/>
          <w:sz w:val="20"/>
          <w:szCs w:val="20"/>
        </w:rPr>
        <w:t xml:space="preserve"> Mean critical obstacle height </w:t>
      </w:r>
      <m:oMath>
        <m:sSub>
          <m:sSubPr>
            <m:ctrlPr>
              <w:rPr>
                <w:rFonts w:ascii="Cambria Math" w:eastAsia="Times New Roman" w:hAnsi="Cambria Math"/>
                <w:i/>
                <w:sz w:val="20"/>
                <w:szCs w:val="20"/>
              </w:rPr>
            </m:ctrlPr>
          </m:sSubPr>
          <m:e>
            <m:r>
              <w:rPr>
                <w:rFonts w:ascii="Cambria Math" w:eastAsia="Times New Roman" w:hAnsi="Cambria Math"/>
                <w:sz w:val="20"/>
                <w:szCs w:val="20"/>
              </w:rPr>
              <m:t>h</m:t>
            </m:r>
          </m:e>
          <m:sub>
            <m:r>
              <m:rPr>
                <m:sty m:val="p"/>
              </m:rPr>
              <w:rPr>
                <w:rFonts w:ascii="Cambria Math" w:eastAsia="Times New Roman" w:hAnsi="Cambria Math"/>
                <w:sz w:val="20"/>
                <w:szCs w:val="20"/>
              </w:rPr>
              <m:t>crit</m:t>
            </m:r>
            <m:r>
              <m:rPr>
                <m:sty m:val="p"/>
              </m:rPr>
              <w:rPr>
                <w:rFonts w:ascii="Cambria Math" w:eastAsia="Times New Roman" w:hAnsi="Cambria Math"/>
                <w:sz w:val="20"/>
                <w:szCs w:val="20"/>
              </w:rPr>
              <m:t>.</m:t>
            </m:r>
          </m:sub>
        </m:sSub>
      </m:oMath>
      <w:r>
        <w:rPr>
          <w:rFonts w:eastAsia="Times New Roman"/>
          <w:sz w:val="20"/>
          <w:szCs w:val="20"/>
        </w:rPr>
        <w:t xml:space="preserve"> as a proportion of m</w:t>
      </w:r>
      <w:r w:rsidR="00806B09">
        <w:rPr>
          <w:rFonts w:eastAsia="Times New Roman"/>
          <w:sz w:val="20"/>
          <w:szCs w:val="20"/>
        </w:rPr>
        <w:t xml:space="preserve">aximum afforded obstacle height </w:t>
      </w:r>
      <m:oMath>
        <m:sSub>
          <m:sSubPr>
            <m:ctrlPr>
              <w:rPr>
                <w:rFonts w:ascii="Cambria Math" w:eastAsia="Times New Roman" w:hAnsi="Cambria Math"/>
                <w:i/>
                <w:sz w:val="20"/>
                <w:szCs w:val="20"/>
              </w:rPr>
            </m:ctrlPr>
          </m:sSubPr>
          <m:e>
            <m:r>
              <w:rPr>
                <w:rFonts w:ascii="Cambria Math" w:eastAsia="Times New Roman" w:hAnsi="Cambria Math"/>
                <w:sz w:val="20"/>
                <w:szCs w:val="20"/>
              </w:rPr>
              <m:t>h</m:t>
            </m:r>
          </m:e>
          <m:sub>
            <m:r>
              <m:rPr>
                <m:sty m:val="p"/>
              </m:rPr>
              <w:rPr>
                <w:rFonts w:ascii="Cambria Math" w:eastAsia="Times New Roman" w:hAnsi="Cambria Math"/>
                <w:sz w:val="20"/>
                <w:szCs w:val="20"/>
              </w:rPr>
              <m:t>max</m:t>
            </m:r>
          </m:sub>
        </m:sSub>
      </m:oMath>
      <w:r w:rsidR="00806B09">
        <w:rPr>
          <w:rFonts w:eastAsia="Times New Roman"/>
          <w:sz w:val="20"/>
          <w:szCs w:val="20"/>
        </w:rPr>
        <w:t xml:space="preserve"> fo</w:t>
      </w:r>
      <w:r>
        <w:rPr>
          <w:rFonts w:eastAsia="Times New Roman"/>
          <w:sz w:val="20"/>
          <w:szCs w:val="20"/>
        </w:rPr>
        <w:t xml:space="preserve">r each obstacle width. Error bars </w:t>
      </w:r>
      <w:r w:rsidR="00833F13">
        <w:rPr>
          <w:rFonts w:eastAsia="Times New Roman"/>
          <w:sz w:val="20"/>
          <w:szCs w:val="20"/>
        </w:rPr>
        <w:t>show</w:t>
      </w:r>
      <w:r>
        <w:rPr>
          <w:rFonts w:eastAsia="Times New Roman"/>
          <w:sz w:val="20"/>
          <w:szCs w:val="20"/>
        </w:rPr>
        <w:t xml:space="preserve"> standard errors.</w:t>
      </w:r>
    </w:p>
    <w:p w14:paraId="0A9B9328" w14:textId="77777777" w:rsidR="002D06AA" w:rsidRPr="00C6300D" w:rsidRDefault="002D06AA" w:rsidP="00C6300D">
      <w:pPr>
        <w:pStyle w:val="PosterText"/>
        <w:ind w:firstLine="360"/>
        <w:rPr>
          <w:rFonts w:eastAsia="Times New Roman"/>
          <w:sz w:val="20"/>
          <w:szCs w:val="20"/>
        </w:rPr>
      </w:pPr>
    </w:p>
    <w:p w14:paraId="0D692693" w14:textId="7C7920B0" w:rsidR="102B89B6" w:rsidRDefault="102B89B6" w:rsidP="102B89B6">
      <w:pPr>
        <w:pStyle w:val="PosterText"/>
        <w:ind w:firstLine="360"/>
      </w:pPr>
      <w:r w:rsidRPr="102B89B6">
        <w:rPr>
          <w:rFonts w:eastAsia="Times New Roman"/>
          <w:sz w:val="20"/>
          <w:szCs w:val="20"/>
        </w:rPr>
        <w:t>These results are consistent with a view of action selection as arising from competition between available actions, where each action has an associated attractiveness or valence</w:t>
      </w:r>
      <w:r w:rsidR="0058078D">
        <w:rPr>
          <w:rFonts w:eastAsia="Times New Roman"/>
          <w:sz w:val="20"/>
          <w:szCs w:val="20"/>
        </w:rPr>
        <w:t xml:space="preserve">. We propose that these valences are dimensionless </w:t>
      </w:r>
      <w:r w:rsidR="0058078D">
        <w:rPr>
          <w:rFonts w:eastAsia="Times New Roman"/>
          <w:sz w:val="20"/>
          <w:szCs w:val="20"/>
        </w:rPr>
        <w:lastRenderedPageBreak/>
        <w:t>ratios, like those implicated in the perce</w:t>
      </w:r>
      <w:r w:rsidR="004C20FA">
        <w:rPr>
          <w:rFonts w:eastAsia="Times New Roman"/>
          <w:sz w:val="20"/>
          <w:szCs w:val="20"/>
        </w:rPr>
        <w:t xml:space="preserve">ption of affordance boundaries. </w:t>
      </w:r>
      <w:r w:rsidR="00247EE6">
        <w:rPr>
          <w:rFonts w:eastAsia="Times New Roman"/>
          <w:sz w:val="20"/>
          <w:szCs w:val="20"/>
        </w:rPr>
        <w:t>In our main analysis</w:t>
      </w:r>
      <w:r w:rsidRPr="102B89B6">
        <w:rPr>
          <w:rFonts w:eastAsia="Times New Roman"/>
          <w:sz w:val="20"/>
          <w:szCs w:val="20"/>
        </w:rPr>
        <w:t xml:space="preserve">, we used obstacle height </w:t>
      </w:r>
      <w:r w:rsidR="002D06AA">
        <w:rPr>
          <w:rFonts w:eastAsia="Times New Roman"/>
          <w:sz w:val="20"/>
          <w:szCs w:val="20"/>
        </w:rPr>
        <w:t>divided by the maximum</w:t>
      </w:r>
      <w:r w:rsidRPr="102B89B6">
        <w:rPr>
          <w:rFonts w:eastAsia="Times New Roman"/>
          <w:sz w:val="20"/>
          <w:szCs w:val="20"/>
        </w:rPr>
        <w:t xml:space="preserve"> </w:t>
      </w:r>
      <w:r w:rsidR="002D06AA">
        <w:rPr>
          <w:rFonts w:eastAsia="Times New Roman"/>
          <w:sz w:val="20"/>
          <w:szCs w:val="20"/>
        </w:rPr>
        <w:t>afforded obstacle height</w:t>
      </w:r>
      <w:r w:rsidRPr="102B89B6">
        <w:rPr>
          <w:rFonts w:eastAsia="Times New Roman"/>
          <w:sz w:val="20"/>
          <w:szCs w:val="20"/>
        </w:rPr>
        <w:t xml:space="preserve"> as a proxy for the </w:t>
      </w:r>
      <w:r w:rsidR="002D06AA">
        <w:rPr>
          <w:rFonts w:eastAsia="Times New Roman"/>
          <w:sz w:val="20"/>
          <w:szCs w:val="20"/>
        </w:rPr>
        <w:t xml:space="preserve">valence </w:t>
      </w:r>
      <w:r w:rsidRPr="102B89B6">
        <w:rPr>
          <w:rFonts w:eastAsia="Times New Roman"/>
          <w:sz w:val="20"/>
          <w:szCs w:val="20"/>
        </w:rPr>
        <w:t>of stepping over the obstacle</w:t>
      </w:r>
      <w:r w:rsidR="002D06AA">
        <w:rPr>
          <w:rFonts w:eastAsia="Times New Roman"/>
          <w:sz w:val="20"/>
          <w:szCs w:val="20"/>
        </w:rPr>
        <w:t xml:space="preserve">. This can be thought of as a </w:t>
      </w:r>
      <w:r w:rsidR="002D06AA" w:rsidRPr="102B89B6">
        <w:rPr>
          <w:rFonts w:eastAsia="Times New Roman"/>
          <w:sz w:val="20"/>
          <w:szCs w:val="20"/>
        </w:rPr>
        <w:t>π-number</w:t>
      </w:r>
      <w:r w:rsidR="002D06AA">
        <w:rPr>
          <w:rFonts w:eastAsia="Times New Roman"/>
          <w:sz w:val="20"/>
          <w:szCs w:val="20"/>
        </w:rPr>
        <w:t xml:space="preserve"> that rescales the affordance-boundary </w:t>
      </w:r>
      <w:r w:rsidR="002D06AA" w:rsidRPr="102B89B6">
        <w:rPr>
          <w:rFonts w:eastAsia="Times New Roman"/>
          <w:sz w:val="20"/>
          <w:szCs w:val="20"/>
        </w:rPr>
        <w:t>π-number</w:t>
      </w:r>
      <w:r w:rsidR="002D06AA">
        <w:rPr>
          <w:rFonts w:eastAsia="Times New Roman"/>
          <w:sz w:val="20"/>
          <w:szCs w:val="20"/>
        </w:rPr>
        <w:t xml:space="preserve"> of the kind identified by Warren (1984)</w:t>
      </w:r>
      <w:r w:rsidR="00247EE6">
        <w:rPr>
          <w:rFonts w:eastAsia="Times New Roman"/>
          <w:sz w:val="20"/>
          <w:szCs w:val="20"/>
        </w:rPr>
        <w:t xml:space="preserve">. This rescaled </w:t>
      </w:r>
      <w:r w:rsidR="00247EE6" w:rsidRPr="102B89B6">
        <w:rPr>
          <w:rFonts w:eastAsia="Times New Roman"/>
          <w:sz w:val="20"/>
          <w:szCs w:val="20"/>
        </w:rPr>
        <w:t>π-number</w:t>
      </w:r>
      <w:r w:rsidR="002D06AA">
        <w:rPr>
          <w:rFonts w:eastAsia="Times New Roman"/>
          <w:sz w:val="20"/>
          <w:szCs w:val="20"/>
        </w:rPr>
        <w:t xml:space="preserve"> predict</w:t>
      </w:r>
      <w:r w:rsidR="00247EE6">
        <w:rPr>
          <w:rFonts w:eastAsia="Times New Roman"/>
          <w:sz w:val="20"/>
          <w:szCs w:val="20"/>
        </w:rPr>
        <w:t>s</w:t>
      </w:r>
      <w:r w:rsidR="002D06AA">
        <w:rPr>
          <w:rFonts w:eastAsia="Times New Roman"/>
          <w:sz w:val="20"/>
          <w:szCs w:val="20"/>
        </w:rPr>
        <w:t xml:space="preserve"> whether the action will be selected rather than whether the action is afforded.</w:t>
      </w:r>
    </w:p>
    <w:p w14:paraId="15F97BFE" w14:textId="77777777" w:rsidR="102B89B6" w:rsidRDefault="002D06AA" w:rsidP="102B89B6">
      <w:pPr>
        <w:pStyle w:val="PosterText"/>
        <w:ind w:firstLine="360"/>
      </w:pPr>
      <w:r>
        <w:rPr>
          <w:rFonts w:eastAsia="Times New Roman"/>
          <w:sz w:val="20"/>
          <w:szCs w:val="20"/>
        </w:rPr>
        <w:t xml:space="preserve">Similarly, we used obstacle width as a stand-in for the valence of walking around the obstacle. However, obstacle width is not a </w:t>
      </w:r>
      <w:r w:rsidRPr="102B89B6">
        <w:rPr>
          <w:rFonts w:eastAsia="Times New Roman"/>
          <w:sz w:val="20"/>
          <w:szCs w:val="20"/>
        </w:rPr>
        <w:t>π-number</w:t>
      </w:r>
      <w:r>
        <w:rPr>
          <w:rFonts w:eastAsia="Times New Roman"/>
          <w:sz w:val="20"/>
          <w:szCs w:val="20"/>
        </w:rPr>
        <w:t>.</w:t>
      </w:r>
      <w:r w:rsidRPr="102B89B6">
        <w:rPr>
          <w:rFonts w:eastAsia="Times New Roman"/>
          <w:sz w:val="20"/>
          <w:szCs w:val="20"/>
        </w:rPr>
        <w:t xml:space="preserve"> </w:t>
      </w:r>
      <w:r w:rsidR="0058078D">
        <w:rPr>
          <w:rFonts w:eastAsia="Times New Roman"/>
          <w:sz w:val="20"/>
          <w:szCs w:val="20"/>
        </w:rPr>
        <w:t>A candidate π-number for</w:t>
      </w:r>
      <w:r w:rsidR="102B89B6" w:rsidRPr="102B89B6">
        <w:rPr>
          <w:rFonts w:eastAsia="Times New Roman"/>
          <w:sz w:val="20"/>
          <w:szCs w:val="20"/>
        </w:rPr>
        <w:t xml:space="preserve"> </w:t>
      </w:r>
      <w:r>
        <w:rPr>
          <w:rFonts w:eastAsia="Times New Roman"/>
          <w:sz w:val="20"/>
          <w:szCs w:val="20"/>
        </w:rPr>
        <w:t>the valence</w:t>
      </w:r>
      <w:r w:rsidR="102B89B6" w:rsidRPr="102B89B6">
        <w:rPr>
          <w:rFonts w:eastAsia="Times New Roman"/>
          <w:sz w:val="20"/>
          <w:szCs w:val="20"/>
        </w:rPr>
        <w:t xml:space="preserve"> of wa</w:t>
      </w:r>
      <w:r w:rsidR="00833F13">
        <w:rPr>
          <w:rFonts w:eastAsia="Times New Roman"/>
          <w:sz w:val="20"/>
          <w:szCs w:val="20"/>
        </w:rPr>
        <w:t xml:space="preserve">lking around the obstacle is </w:t>
      </w:r>
      <w:r w:rsidR="102B89B6" w:rsidRPr="102B89B6">
        <w:rPr>
          <w:rFonts w:eastAsia="Times New Roman"/>
          <w:sz w:val="20"/>
          <w:szCs w:val="20"/>
        </w:rPr>
        <w:t xml:space="preserve">the tangent of the angle </w:t>
      </w:r>
      <w:r w:rsidR="002E081F">
        <w:rPr>
          <w:rFonts w:eastAsia="Times New Roman"/>
          <w:sz w:val="20"/>
          <w:szCs w:val="20"/>
        </w:rPr>
        <w:t>between the obstacle’s center and edge</w:t>
      </w:r>
      <w:r w:rsidR="102B89B6" w:rsidRPr="102B89B6">
        <w:rPr>
          <w:rFonts w:eastAsia="Times New Roman"/>
          <w:sz w:val="20"/>
          <w:szCs w:val="20"/>
        </w:rPr>
        <w:t xml:space="preserve">. </w:t>
      </w:r>
      <w:r>
        <w:rPr>
          <w:rFonts w:eastAsia="Times New Roman"/>
          <w:sz w:val="20"/>
          <w:szCs w:val="20"/>
        </w:rPr>
        <w:t xml:space="preserve">The tangent </w:t>
      </w:r>
      <w:r w:rsidR="0058078D">
        <w:rPr>
          <w:rFonts w:eastAsia="Times New Roman"/>
          <w:sz w:val="20"/>
          <w:szCs w:val="20"/>
        </w:rPr>
        <w:t>is associated</w:t>
      </w:r>
      <w:r>
        <w:rPr>
          <w:rFonts w:eastAsia="Times New Roman"/>
          <w:sz w:val="20"/>
          <w:szCs w:val="20"/>
        </w:rPr>
        <w:t xml:space="preserve"> with</w:t>
      </w:r>
      <w:r w:rsidR="102B89B6" w:rsidRPr="102B89B6">
        <w:rPr>
          <w:rFonts w:eastAsia="Times New Roman"/>
          <w:sz w:val="20"/>
          <w:szCs w:val="20"/>
        </w:rPr>
        <w:t xml:space="preserve"> the deviation in path required to walk around the obstacle. </w:t>
      </w:r>
      <w:r>
        <w:rPr>
          <w:rFonts w:eastAsia="Times New Roman"/>
          <w:sz w:val="20"/>
          <w:szCs w:val="20"/>
        </w:rPr>
        <w:t>This</w:t>
      </w:r>
      <w:r w:rsidR="0058078D">
        <w:rPr>
          <w:rFonts w:eastAsia="Times New Roman"/>
          <w:sz w:val="20"/>
          <w:szCs w:val="20"/>
        </w:rPr>
        <w:t xml:space="preserve"> possibility</w:t>
      </w:r>
      <w:r>
        <w:rPr>
          <w:rFonts w:eastAsia="Times New Roman"/>
          <w:sz w:val="20"/>
          <w:szCs w:val="20"/>
        </w:rPr>
        <w:t xml:space="preserve"> </w:t>
      </w:r>
      <w:r w:rsidR="002E081F">
        <w:rPr>
          <w:rFonts w:eastAsia="Times New Roman"/>
          <w:sz w:val="20"/>
          <w:szCs w:val="20"/>
        </w:rPr>
        <w:t>predicts</w:t>
      </w:r>
      <w:r>
        <w:rPr>
          <w:rFonts w:eastAsia="Times New Roman"/>
          <w:sz w:val="20"/>
          <w:szCs w:val="20"/>
        </w:rPr>
        <w:t xml:space="preserve"> that manipulating the distance to the obstacle </w:t>
      </w:r>
      <w:r w:rsidR="002E081F">
        <w:rPr>
          <w:rFonts w:eastAsia="Times New Roman"/>
          <w:sz w:val="20"/>
          <w:szCs w:val="20"/>
        </w:rPr>
        <w:t>will</w:t>
      </w:r>
      <w:r>
        <w:rPr>
          <w:rFonts w:eastAsia="Times New Roman"/>
          <w:sz w:val="20"/>
          <w:szCs w:val="20"/>
        </w:rPr>
        <w:t xml:space="preserve"> have an inverse effect as the width manipulations presented here.</w:t>
      </w:r>
    </w:p>
    <w:p w14:paraId="1F1687A8" w14:textId="5240EB9C" w:rsidR="102B89B6" w:rsidRDefault="10158996" w:rsidP="102B89B6">
      <w:pPr>
        <w:pStyle w:val="PosterText"/>
        <w:ind w:firstLine="360"/>
      </w:pPr>
      <w:r w:rsidRPr="10158996">
        <w:rPr>
          <w:rFonts w:eastAsia="Times New Roman"/>
          <w:sz w:val="20"/>
          <w:szCs w:val="20"/>
        </w:rPr>
        <w:t>The next step is to develop an account of how an action is selected, given the π-number valences of the available actions</w:t>
      </w:r>
      <w:r w:rsidR="0061369F">
        <w:rPr>
          <w:rFonts w:eastAsia="Times New Roman"/>
          <w:sz w:val="20"/>
          <w:szCs w:val="20"/>
        </w:rPr>
        <w:t>.</w:t>
      </w:r>
      <w:r w:rsidRPr="10158996">
        <w:rPr>
          <w:rFonts w:eastAsia="Times New Roman"/>
          <w:sz w:val="20"/>
          <w:szCs w:val="20"/>
        </w:rPr>
        <w:t xml:space="preserve"> To th</w:t>
      </w:r>
      <w:r w:rsidR="0058078D">
        <w:rPr>
          <w:rFonts w:eastAsia="Times New Roman"/>
          <w:sz w:val="20"/>
          <w:szCs w:val="20"/>
        </w:rPr>
        <w:t>at</w:t>
      </w:r>
      <w:r w:rsidRPr="10158996">
        <w:rPr>
          <w:rFonts w:eastAsia="Times New Roman"/>
          <w:sz w:val="20"/>
          <w:szCs w:val="20"/>
        </w:rPr>
        <w:t xml:space="preserve"> end, a model of competition be</w:t>
      </w:r>
      <w:r w:rsidR="003A07DC">
        <w:rPr>
          <w:rFonts w:eastAsia="Times New Roman"/>
          <w:sz w:val="20"/>
          <w:szCs w:val="20"/>
        </w:rPr>
        <w:t>tween alternative outcomes</w:t>
      </w:r>
      <w:r w:rsidRPr="10158996">
        <w:rPr>
          <w:rFonts w:eastAsia="Times New Roman"/>
          <w:sz w:val="20"/>
          <w:szCs w:val="20"/>
        </w:rPr>
        <w:t xml:space="preserve"> is provided by the synergetic approach to </w:t>
      </w:r>
      <w:r w:rsidR="002E081F">
        <w:rPr>
          <w:rFonts w:eastAsia="Times New Roman"/>
          <w:sz w:val="20"/>
          <w:szCs w:val="20"/>
        </w:rPr>
        <w:t xml:space="preserve">multistable pattern formation. This model </w:t>
      </w:r>
      <w:r w:rsidRPr="10158996">
        <w:rPr>
          <w:rFonts w:eastAsia="Times New Roman"/>
          <w:sz w:val="20"/>
          <w:szCs w:val="20"/>
        </w:rPr>
        <w:t xml:space="preserve">has yielded insights into </w:t>
      </w:r>
      <w:r w:rsidR="00806B09">
        <w:rPr>
          <w:rFonts w:eastAsia="Times New Roman"/>
          <w:sz w:val="20"/>
          <w:szCs w:val="20"/>
        </w:rPr>
        <w:t xml:space="preserve">behavioural </w:t>
      </w:r>
      <w:r w:rsidRPr="10158996">
        <w:rPr>
          <w:rFonts w:eastAsia="Times New Roman"/>
          <w:sz w:val="20"/>
          <w:szCs w:val="20"/>
        </w:rPr>
        <w:t xml:space="preserve">transitions </w:t>
      </w:r>
      <w:r w:rsidR="00806B09">
        <w:rPr>
          <w:rFonts w:eastAsia="Times New Roman"/>
          <w:sz w:val="20"/>
          <w:szCs w:val="20"/>
        </w:rPr>
        <w:t>associated with</w:t>
      </w:r>
      <w:r w:rsidR="002E081F">
        <w:rPr>
          <w:rFonts w:eastAsia="Times New Roman"/>
          <w:sz w:val="20"/>
          <w:szCs w:val="20"/>
        </w:rPr>
        <w:t xml:space="preserve"> body-scaled parameters</w:t>
      </w:r>
      <w:r w:rsidRPr="10158996">
        <w:rPr>
          <w:rFonts w:eastAsia="Times New Roman"/>
          <w:sz w:val="20"/>
          <w:szCs w:val="20"/>
        </w:rPr>
        <w:t xml:space="preserve"> (</w:t>
      </w:r>
      <w:r w:rsidR="00806B09">
        <w:rPr>
          <w:rFonts w:eastAsia="Times New Roman"/>
          <w:sz w:val="20"/>
          <w:szCs w:val="20"/>
        </w:rPr>
        <w:t xml:space="preserve">e.g., </w:t>
      </w:r>
      <w:r w:rsidR="004E088D" w:rsidRPr="10158996">
        <w:rPr>
          <w:rFonts w:eastAsia="Times New Roman"/>
          <w:sz w:val="20"/>
          <w:szCs w:val="20"/>
        </w:rPr>
        <w:t>Frank, Richardson, Lopresti-Goodman, &amp; Turvey, 2009</w:t>
      </w:r>
      <w:r w:rsidRPr="10158996">
        <w:rPr>
          <w:rFonts w:eastAsia="Times New Roman"/>
          <w:sz w:val="20"/>
          <w:szCs w:val="20"/>
        </w:rPr>
        <w:t xml:space="preserve">). The methodology introduced here should allow us to extend that model to circumstances in which the </w:t>
      </w:r>
      <w:r w:rsidR="004C20FA">
        <w:rPr>
          <w:rFonts w:eastAsia="Times New Roman"/>
          <w:sz w:val="20"/>
          <w:szCs w:val="20"/>
        </w:rPr>
        <w:t>alternative</w:t>
      </w:r>
      <w:r w:rsidRPr="10158996">
        <w:rPr>
          <w:rFonts w:eastAsia="Times New Roman"/>
          <w:sz w:val="20"/>
          <w:szCs w:val="20"/>
        </w:rPr>
        <w:t xml:space="preserve"> actions are characterized by different π-numbers.</w:t>
      </w:r>
      <w:r w:rsidR="0058078D">
        <w:rPr>
          <w:rFonts w:eastAsia="Times New Roman"/>
          <w:sz w:val="20"/>
          <w:szCs w:val="20"/>
        </w:rPr>
        <w:t xml:space="preserve"> </w:t>
      </w:r>
      <w:r w:rsidR="00510123">
        <w:rPr>
          <w:rFonts w:eastAsia="Times New Roman"/>
          <w:sz w:val="20"/>
          <w:szCs w:val="20"/>
        </w:rPr>
        <w:t>To illuminate the relat</w:t>
      </w:r>
      <w:bookmarkStart w:id="0" w:name="_GoBack"/>
      <w:bookmarkEnd w:id="0"/>
      <w:r w:rsidR="00510123">
        <w:rPr>
          <w:rFonts w:eastAsia="Times New Roman"/>
          <w:sz w:val="20"/>
          <w:szCs w:val="20"/>
        </w:rPr>
        <w:t>ionship between affordance perception and action selection</w:t>
      </w:r>
      <w:r w:rsidR="0058078D">
        <w:rPr>
          <w:rFonts w:eastAsia="Times New Roman"/>
          <w:sz w:val="20"/>
          <w:szCs w:val="20"/>
        </w:rPr>
        <w:t>, future investigation must determine the type and extent of hysteresis eff</w:t>
      </w:r>
      <w:r w:rsidR="002E081F">
        <w:rPr>
          <w:rFonts w:eastAsia="Times New Roman"/>
          <w:sz w:val="20"/>
          <w:szCs w:val="20"/>
        </w:rPr>
        <w:t>ects observed in the transition</w:t>
      </w:r>
      <w:r w:rsidR="0058078D">
        <w:rPr>
          <w:rFonts w:eastAsia="Times New Roman"/>
          <w:sz w:val="20"/>
          <w:szCs w:val="20"/>
        </w:rPr>
        <w:t xml:space="preserve"> between walking around and stepping over the obstacle</w:t>
      </w:r>
      <w:r w:rsidR="00510123">
        <w:rPr>
          <w:rFonts w:eastAsia="Times New Roman"/>
          <w:sz w:val="20"/>
          <w:szCs w:val="20"/>
        </w:rPr>
        <w:t xml:space="preserve"> (Lopresti-Goodman, Turvey, &amp; Frank, </w:t>
      </w:r>
      <w:r w:rsidR="004E088D">
        <w:rPr>
          <w:rFonts w:eastAsia="Times New Roman"/>
          <w:sz w:val="20"/>
          <w:szCs w:val="20"/>
        </w:rPr>
        <w:t>2011</w:t>
      </w:r>
      <w:r w:rsidR="006D28E7">
        <w:rPr>
          <w:rFonts w:eastAsia="Times New Roman"/>
          <w:sz w:val="20"/>
          <w:szCs w:val="20"/>
        </w:rPr>
        <w:t>,</w:t>
      </w:r>
      <w:r w:rsidR="004E088D">
        <w:rPr>
          <w:rFonts w:eastAsia="Times New Roman"/>
          <w:sz w:val="20"/>
          <w:szCs w:val="20"/>
        </w:rPr>
        <w:t xml:space="preserve"> </w:t>
      </w:r>
      <w:r w:rsidR="00510123">
        <w:rPr>
          <w:rFonts w:eastAsia="Times New Roman"/>
          <w:sz w:val="20"/>
          <w:szCs w:val="20"/>
        </w:rPr>
        <w:t>2013)</w:t>
      </w:r>
      <w:r w:rsidR="0058078D">
        <w:rPr>
          <w:rFonts w:eastAsia="Times New Roman"/>
          <w:sz w:val="20"/>
          <w:szCs w:val="20"/>
        </w:rPr>
        <w:t>.</w:t>
      </w:r>
    </w:p>
    <w:p w14:paraId="3E5EFD57" w14:textId="77777777" w:rsidR="102B89B6" w:rsidRDefault="102B89B6" w:rsidP="102B89B6">
      <w:pPr>
        <w:pStyle w:val="PosterText"/>
        <w:ind w:firstLine="360"/>
      </w:pPr>
    </w:p>
    <w:p w14:paraId="5D29CD1E" w14:textId="77777777" w:rsidR="00A433CC" w:rsidRPr="002A256D" w:rsidRDefault="102B89B6" w:rsidP="00A433CC">
      <w:pPr>
        <w:pStyle w:val="PosterText"/>
        <w:ind w:firstLine="360"/>
        <w:rPr>
          <w:b/>
          <w:sz w:val="20"/>
        </w:rPr>
      </w:pPr>
      <w:r w:rsidRPr="102B89B6">
        <w:rPr>
          <w:rFonts w:eastAsia="Times New Roman"/>
          <w:b/>
          <w:bCs/>
          <w:sz w:val="20"/>
          <w:szCs w:val="20"/>
        </w:rPr>
        <w:t>References</w:t>
      </w:r>
    </w:p>
    <w:p w14:paraId="27AEE1EC" w14:textId="77777777" w:rsidR="00A433CC" w:rsidRPr="002A256D" w:rsidRDefault="00A433CC" w:rsidP="00A433CC">
      <w:pPr>
        <w:pStyle w:val="PosterText"/>
        <w:ind w:firstLine="360"/>
        <w:rPr>
          <w:sz w:val="20"/>
        </w:rPr>
      </w:pPr>
    </w:p>
    <w:p w14:paraId="7B1DF565" w14:textId="19F8F523" w:rsidR="102B89B6" w:rsidRDefault="10158996" w:rsidP="0090376A">
      <w:pPr>
        <w:pStyle w:val="PosterText"/>
        <w:ind w:left="360" w:hanging="360"/>
        <w:rPr>
          <w:rFonts w:eastAsia="Times New Roman"/>
          <w:sz w:val="20"/>
          <w:szCs w:val="20"/>
        </w:rPr>
      </w:pPr>
      <w:r w:rsidRPr="10158996">
        <w:rPr>
          <w:rFonts w:eastAsia="Times New Roman"/>
          <w:sz w:val="20"/>
          <w:szCs w:val="20"/>
        </w:rPr>
        <w:t>Frank, T. D., Richardson, M. J., Lopresti-Goodman, S. M., and Turvey, M. T. (2009)</w:t>
      </w:r>
      <w:r w:rsidR="00A26547">
        <w:rPr>
          <w:rFonts w:eastAsia="Times New Roman"/>
          <w:sz w:val="20"/>
          <w:szCs w:val="20"/>
        </w:rPr>
        <w:t>.</w:t>
      </w:r>
      <w:r w:rsidRPr="10158996">
        <w:rPr>
          <w:rFonts w:eastAsia="Times New Roman"/>
          <w:sz w:val="20"/>
          <w:szCs w:val="20"/>
        </w:rPr>
        <w:t xml:space="preserve"> Order parameter dynamics of body-scaled hysteresis and mode transitions in grasping behavior. </w:t>
      </w:r>
      <w:r w:rsidRPr="10158996">
        <w:rPr>
          <w:rFonts w:eastAsia="Times New Roman"/>
          <w:i/>
          <w:iCs/>
          <w:sz w:val="20"/>
          <w:szCs w:val="20"/>
        </w:rPr>
        <w:t>Journal of Biological Physics, 35</w:t>
      </w:r>
      <w:r w:rsidRPr="10158996">
        <w:rPr>
          <w:rFonts w:eastAsia="Times New Roman"/>
          <w:sz w:val="20"/>
          <w:szCs w:val="20"/>
        </w:rPr>
        <w:t>(2), 127-147.</w:t>
      </w:r>
    </w:p>
    <w:p w14:paraId="475C1BA7" w14:textId="77777777" w:rsidR="004E088D" w:rsidRPr="00510123" w:rsidRDefault="004E088D" w:rsidP="004E088D">
      <w:pPr>
        <w:pStyle w:val="PosterText"/>
        <w:ind w:left="360" w:hanging="360"/>
        <w:rPr>
          <w:rFonts w:eastAsia="Times New Roman"/>
          <w:sz w:val="20"/>
          <w:szCs w:val="20"/>
        </w:rPr>
      </w:pPr>
      <w:r>
        <w:rPr>
          <w:rFonts w:eastAsia="Times New Roman"/>
          <w:sz w:val="20"/>
          <w:szCs w:val="20"/>
        </w:rPr>
        <w:t xml:space="preserve">Lopresti-Goodman, S. M., Turvey, M. T., &amp; Frank, T. D. (2011). Behavioral dynamics of the affordance “graspable”. </w:t>
      </w:r>
      <w:r>
        <w:rPr>
          <w:rFonts w:eastAsia="Times New Roman"/>
          <w:i/>
          <w:sz w:val="20"/>
          <w:szCs w:val="20"/>
        </w:rPr>
        <w:t>Attention, Perception, &amp; Psychophysics, 73</w:t>
      </w:r>
      <w:r>
        <w:rPr>
          <w:rFonts w:eastAsia="Times New Roman"/>
          <w:sz w:val="20"/>
          <w:szCs w:val="20"/>
        </w:rPr>
        <w:t>, 1948-1965.</w:t>
      </w:r>
    </w:p>
    <w:p w14:paraId="339DA82A" w14:textId="77777777" w:rsidR="00510123" w:rsidRPr="00510123" w:rsidRDefault="00510123" w:rsidP="0090376A">
      <w:pPr>
        <w:pStyle w:val="PosterText"/>
        <w:ind w:left="360" w:hanging="360"/>
        <w:rPr>
          <w:rFonts w:eastAsia="Times New Roman"/>
          <w:sz w:val="20"/>
          <w:szCs w:val="20"/>
        </w:rPr>
      </w:pPr>
      <w:r>
        <w:rPr>
          <w:rFonts w:eastAsia="Times New Roman"/>
          <w:sz w:val="20"/>
          <w:szCs w:val="20"/>
        </w:rPr>
        <w:t xml:space="preserve">Lopresti-Goodman, S. M., Turvey, M. T., &amp; Frank, T. D. (2013). Negative hysteresis in the </w:t>
      </w:r>
      <w:r w:rsidR="004E088D">
        <w:rPr>
          <w:rFonts w:eastAsia="Times New Roman"/>
          <w:sz w:val="20"/>
          <w:szCs w:val="20"/>
        </w:rPr>
        <w:t>behavio</w:t>
      </w:r>
      <w:r>
        <w:rPr>
          <w:rFonts w:eastAsia="Times New Roman"/>
          <w:sz w:val="20"/>
          <w:szCs w:val="20"/>
        </w:rPr>
        <w:t xml:space="preserve">ral dynamics of the affordance “graspable”. </w:t>
      </w:r>
      <w:r>
        <w:rPr>
          <w:rFonts w:eastAsia="Times New Roman"/>
          <w:i/>
          <w:sz w:val="20"/>
          <w:szCs w:val="20"/>
        </w:rPr>
        <w:t>Attention, Perception, &amp; Psychophysics, 75</w:t>
      </w:r>
      <w:r>
        <w:rPr>
          <w:rFonts w:eastAsia="Times New Roman"/>
          <w:sz w:val="20"/>
          <w:szCs w:val="20"/>
        </w:rPr>
        <w:t>, 1075-1091.</w:t>
      </w:r>
    </w:p>
    <w:p w14:paraId="42492C93" w14:textId="77777777" w:rsidR="102B89B6" w:rsidRDefault="10158996" w:rsidP="0090376A">
      <w:pPr>
        <w:pStyle w:val="PosterText"/>
        <w:ind w:left="360" w:hanging="360"/>
      </w:pPr>
      <w:r w:rsidRPr="10158996">
        <w:rPr>
          <w:rFonts w:eastAsia="Times New Roman"/>
          <w:sz w:val="20"/>
          <w:szCs w:val="20"/>
        </w:rPr>
        <w:t xml:space="preserve">Warren, W. H. (1984). Perceiving affordances: Visual guidance of stair climbing. </w:t>
      </w:r>
      <w:r w:rsidRPr="10158996">
        <w:rPr>
          <w:rFonts w:eastAsia="Times New Roman"/>
          <w:i/>
          <w:iCs/>
          <w:sz w:val="20"/>
          <w:szCs w:val="20"/>
        </w:rPr>
        <w:t>Journal of Experimental Psychology: Human Perception and Performance, 10</w:t>
      </w:r>
      <w:r w:rsidRPr="10158996">
        <w:rPr>
          <w:rFonts w:eastAsia="Times New Roman"/>
          <w:sz w:val="20"/>
          <w:szCs w:val="20"/>
        </w:rPr>
        <w:t>(5), 683-703.</w:t>
      </w:r>
    </w:p>
    <w:p w14:paraId="0C3FCAAA" w14:textId="77777777" w:rsidR="00A433CC" w:rsidRPr="002A256D" w:rsidRDefault="00A433CC" w:rsidP="00A433CC">
      <w:pPr>
        <w:pStyle w:val="PosterText"/>
        <w:ind w:firstLine="360"/>
        <w:rPr>
          <w:sz w:val="20"/>
        </w:rPr>
      </w:pPr>
    </w:p>
    <w:p w14:paraId="064E8546" w14:textId="77777777" w:rsidR="00A433CC" w:rsidRPr="002A256D" w:rsidRDefault="00A433CC" w:rsidP="00A433CC">
      <w:pPr>
        <w:pStyle w:val="PosterText"/>
        <w:ind w:firstLine="360"/>
        <w:rPr>
          <w:sz w:val="20"/>
        </w:rPr>
      </w:pPr>
    </w:p>
    <w:p w14:paraId="0D5B73AC" w14:textId="77777777" w:rsidR="00A433CC" w:rsidRPr="00D5143F" w:rsidRDefault="10158996" w:rsidP="00D5143F">
      <w:pPr>
        <w:pStyle w:val="PlainText"/>
        <w:widowControl w:val="0"/>
        <w:jc w:val="both"/>
        <w:rPr>
          <w:rFonts w:ascii="Times New Roman" w:hAnsi="Times New Roman"/>
        </w:rPr>
      </w:pPr>
      <w:r w:rsidRPr="10158996">
        <w:rPr>
          <w:rFonts w:ascii="Times New Roman" w:eastAsia="Times New Roman" w:hAnsi="Times New Roman" w:cs="Times New Roman"/>
          <w:i/>
          <w:iCs/>
        </w:rPr>
        <w:t xml:space="preserve">Acknowledgements. </w:t>
      </w:r>
      <w:r w:rsidRPr="10158996">
        <w:rPr>
          <w:rFonts w:ascii="Times New Roman" w:eastAsia="Times New Roman" w:hAnsi="Times New Roman" w:cs="Times New Roman"/>
        </w:rPr>
        <w:t>This research was supported by NSF Grant BCS-1344725 (INSPIRE Track 1).</w:t>
      </w:r>
    </w:p>
    <w:sectPr w:rsidR="00A433CC" w:rsidRPr="00D5143F" w:rsidSect="00A433CC">
      <w:headerReference w:type="default" r:id="rId9"/>
      <w:pgSz w:w="12240" w:h="15840"/>
      <w:pgMar w:top="2880" w:right="2880" w:bottom="2160" w:left="2880" w:header="246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C9E89" w14:textId="77777777" w:rsidR="00E73585" w:rsidRDefault="00E73585">
      <w:r>
        <w:separator/>
      </w:r>
    </w:p>
  </w:endnote>
  <w:endnote w:type="continuationSeparator" w:id="0">
    <w:p w14:paraId="51E67F86" w14:textId="77777777" w:rsidR="00E73585" w:rsidRDefault="00E7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83C23" w14:textId="77777777" w:rsidR="00E73585" w:rsidRDefault="00E73585">
      <w:r>
        <w:separator/>
      </w:r>
    </w:p>
  </w:footnote>
  <w:footnote w:type="continuationSeparator" w:id="0">
    <w:p w14:paraId="116AEE3D" w14:textId="77777777" w:rsidR="00E73585" w:rsidRDefault="00E73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6C292" w14:textId="77777777" w:rsidR="00E73585" w:rsidRPr="002A256D" w:rsidRDefault="00E73585">
    <w:pPr>
      <w:pStyle w:val="Header"/>
      <w:rPr>
        <w:sz w:val="20"/>
      </w:rPr>
    </w:pPr>
    <w:r w:rsidRPr="002A256D">
      <w:rPr>
        <w:i/>
        <w:sz w:val="20"/>
      </w:rPr>
      <w:t>S</w:t>
    </w:r>
    <w:r>
      <w:rPr>
        <w:i/>
        <w:sz w:val="20"/>
      </w:rPr>
      <w:t>tudies in Perception &amp; Action XIII</w:t>
    </w:r>
    <w:r w:rsidRPr="002A256D">
      <w:rPr>
        <w:i/>
        <w:sz w:val="20"/>
      </w:rPr>
      <w:tab/>
    </w:r>
    <w:r w:rsidRPr="002A256D">
      <w:rPr>
        <w:i/>
        <w:sz w:val="20"/>
      </w:rPr>
      <w:tab/>
    </w:r>
  </w:p>
  <w:p w14:paraId="24F32B70" w14:textId="77777777" w:rsidR="00E73585" w:rsidRPr="002A256D" w:rsidRDefault="00E73585">
    <w:pPr>
      <w:pStyle w:val="Header"/>
      <w:rPr>
        <w:sz w:val="20"/>
      </w:rPr>
    </w:pPr>
    <w:r>
      <w:rPr>
        <w:sz w:val="20"/>
      </w:rPr>
      <w:t xml:space="preserve">J. Weast-Knapp, M. Malone &amp; D. Abney </w:t>
    </w:r>
    <w:r w:rsidRPr="002A256D">
      <w:rPr>
        <w:sz w:val="20"/>
      </w:rPr>
      <w:t>(Eds.)</w:t>
    </w:r>
  </w:p>
  <w:p w14:paraId="1FD63DB5" w14:textId="77777777" w:rsidR="00E73585" w:rsidRPr="002A256D" w:rsidRDefault="00E73585">
    <w:pPr>
      <w:pStyle w:val="Header"/>
      <w:rPr>
        <w:sz w:val="20"/>
      </w:rPr>
    </w:pPr>
    <w:r>
      <w:rPr>
        <w:sz w:val="20"/>
      </w:rPr>
      <w:t>© 2015</w:t>
    </w:r>
    <w:r w:rsidRPr="002A256D">
      <w:rPr>
        <w:sz w:val="20"/>
      </w:rPr>
      <w:t xml:space="preserve"> Taylor &amp; Francis Group, LLC</w:t>
    </w:r>
  </w:p>
  <w:p w14:paraId="790A104F" w14:textId="77777777" w:rsidR="00E73585" w:rsidRDefault="00E735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AEF"/>
    <w:rsid w:val="00002673"/>
    <w:rsid w:val="000A4064"/>
    <w:rsid w:val="001C1004"/>
    <w:rsid w:val="001F5F07"/>
    <w:rsid w:val="00235142"/>
    <w:rsid w:val="00247EE6"/>
    <w:rsid w:val="00270CA0"/>
    <w:rsid w:val="002D06AA"/>
    <w:rsid w:val="002E081F"/>
    <w:rsid w:val="002E2E3E"/>
    <w:rsid w:val="003353F8"/>
    <w:rsid w:val="003A07DC"/>
    <w:rsid w:val="003C2FF1"/>
    <w:rsid w:val="004012E8"/>
    <w:rsid w:val="004239DB"/>
    <w:rsid w:val="00431737"/>
    <w:rsid w:val="00442E2B"/>
    <w:rsid w:val="004773D2"/>
    <w:rsid w:val="004B5DFD"/>
    <w:rsid w:val="004C20FA"/>
    <w:rsid w:val="004E088D"/>
    <w:rsid w:val="005072C0"/>
    <w:rsid w:val="00510123"/>
    <w:rsid w:val="0057469F"/>
    <w:rsid w:val="0058078D"/>
    <w:rsid w:val="0059372B"/>
    <w:rsid w:val="0061369F"/>
    <w:rsid w:val="00613CEF"/>
    <w:rsid w:val="00675DE8"/>
    <w:rsid w:val="006D28E7"/>
    <w:rsid w:val="007B0EC7"/>
    <w:rsid w:val="007B14DF"/>
    <w:rsid w:val="007D1FD4"/>
    <w:rsid w:val="007F5D84"/>
    <w:rsid w:val="00806B09"/>
    <w:rsid w:val="0083082F"/>
    <w:rsid w:val="00833F13"/>
    <w:rsid w:val="00875A0C"/>
    <w:rsid w:val="0088571F"/>
    <w:rsid w:val="0090376A"/>
    <w:rsid w:val="00915BD5"/>
    <w:rsid w:val="00953C3D"/>
    <w:rsid w:val="00957F51"/>
    <w:rsid w:val="00A26547"/>
    <w:rsid w:val="00A40685"/>
    <w:rsid w:val="00A433CC"/>
    <w:rsid w:val="00A75A6B"/>
    <w:rsid w:val="00C508F0"/>
    <w:rsid w:val="00C6300D"/>
    <w:rsid w:val="00C71AEF"/>
    <w:rsid w:val="00CB60C6"/>
    <w:rsid w:val="00CD2128"/>
    <w:rsid w:val="00D4630E"/>
    <w:rsid w:val="00D5143F"/>
    <w:rsid w:val="00DB6857"/>
    <w:rsid w:val="00E00DF0"/>
    <w:rsid w:val="00E73585"/>
    <w:rsid w:val="00E8219E"/>
    <w:rsid w:val="00EA4AE1"/>
    <w:rsid w:val="00EF2FFA"/>
    <w:rsid w:val="00FA3D67"/>
    <w:rsid w:val="00FE7E6F"/>
    <w:rsid w:val="10158996"/>
    <w:rsid w:val="102B89B6"/>
    <w:rsid w:val="33491E31"/>
    <w:rsid w:val="3D4D542B"/>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D76BEDB"/>
  <w15:docId w15:val="{1F06B47F-79E0-4F87-86D1-95DF6B3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E1"/>
    <w:rPr>
      <w:sz w:val="24"/>
      <w:szCs w:val="24"/>
      <w:lang w:eastAsia="en-US"/>
    </w:rPr>
  </w:style>
  <w:style w:type="paragraph" w:styleId="Heading1">
    <w:name w:val="heading 1"/>
    <w:basedOn w:val="Normal"/>
    <w:next w:val="Normal"/>
    <w:qFormat/>
    <w:rsid w:val="00870836"/>
    <w:pPr>
      <w:keepNext/>
      <w:spacing w:before="240" w:after="60"/>
      <w:outlineLvl w:val="0"/>
    </w:pPr>
    <w:rPr>
      <w:rFonts w:ascii="Arial" w:hAnsi="Arial"/>
      <w:b/>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00DF0"/>
    <w:rPr>
      <w:rFonts w:ascii="Helvetica" w:hAnsi="Helvetica"/>
      <w:sz w:val="18"/>
      <w:szCs w:val="18"/>
    </w:rPr>
  </w:style>
  <w:style w:type="character" w:customStyle="1" w:styleId="BalloonTextChar">
    <w:name w:val="Balloon Text Char"/>
    <w:basedOn w:val="DefaultParagraphFont"/>
    <w:uiPriority w:val="99"/>
    <w:semiHidden/>
    <w:rsid w:val="005616E6"/>
    <w:rPr>
      <w:rFonts w:ascii="Lucida Grande" w:hAnsi="Lucida Grande"/>
      <w:sz w:val="18"/>
      <w:szCs w:val="18"/>
    </w:rPr>
  </w:style>
  <w:style w:type="paragraph" w:customStyle="1" w:styleId="PosterTitle">
    <w:name w:val="Poster Title"/>
    <w:basedOn w:val="Heading1"/>
    <w:rsid w:val="00870836"/>
    <w:pPr>
      <w:overflowPunct w:val="0"/>
      <w:autoSpaceDE w:val="0"/>
      <w:autoSpaceDN w:val="0"/>
      <w:adjustRightInd w:val="0"/>
      <w:jc w:val="center"/>
      <w:textAlignment w:val="baseline"/>
      <w:outlineLvl w:val="9"/>
    </w:pPr>
    <w:rPr>
      <w:rFonts w:ascii="Times New Roman" w:eastAsia="MS Mincho" w:hAnsi="Times New Roman"/>
      <w:b w:val="0"/>
      <w:kern w:val="28"/>
      <w:sz w:val="28"/>
      <w:szCs w:val="28"/>
      <w:lang w:val="en-GB"/>
    </w:rPr>
  </w:style>
  <w:style w:type="paragraph" w:customStyle="1" w:styleId="Author">
    <w:name w:val="Author"/>
    <w:basedOn w:val="Normal"/>
    <w:rsid w:val="00870836"/>
    <w:pPr>
      <w:overflowPunct w:val="0"/>
      <w:autoSpaceDE w:val="0"/>
      <w:autoSpaceDN w:val="0"/>
      <w:adjustRightInd w:val="0"/>
      <w:jc w:val="center"/>
      <w:textAlignment w:val="baseline"/>
    </w:pPr>
    <w:rPr>
      <w:rFonts w:eastAsia="MS Mincho"/>
      <w:b/>
      <w:bCs/>
      <w:lang w:val="en-GB"/>
    </w:rPr>
  </w:style>
  <w:style w:type="paragraph" w:customStyle="1" w:styleId="Affiliation">
    <w:name w:val="Affiliation"/>
    <w:basedOn w:val="Author"/>
    <w:rsid w:val="00870836"/>
    <w:rPr>
      <w:b w:val="0"/>
      <w:bCs w:val="0"/>
      <w:sz w:val="22"/>
      <w:szCs w:val="22"/>
    </w:rPr>
  </w:style>
  <w:style w:type="paragraph" w:customStyle="1" w:styleId="PosterText">
    <w:name w:val="Poster Text"/>
    <w:basedOn w:val="BodyText"/>
    <w:rsid w:val="00870836"/>
    <w:pPr>
      <w:overflowPunct w:val="0"/>
      <w:autoSpaceDE w:val="0"/>
      <w:autoSpaceDN w:val="0"/>
      <w:adjustRightInd w:val="0"/>
      <w:spacing w:after="0"/>
      <w:jc w:val="both"/>
      <w:textAlignment w:val="baseline"/>
    </w:pPr>
    <w:rPr>
      <w:rFonts w:eastAsia="MS Mincho"/>
      <w:sz w:val="22"/>
      <w:szCs w:val="22"/>
      <w:lang w:val="en-GB"/>
    </w:rPr>
  </w:style>
  <w:style w:type="paragraph" w:styleId="PlainText">
    <w:name w:val="Plain Text"/>
    <w:basedOn w:val="Normal"/>
    <w:rsid w:val="00870836"/>
    <w:pPr>
      <w:overflowPunct w:val="0"/>
      <w:autoSpaceDE w:val="0"/>
      <w:autoSpaceDN w:val="0"/>
      <w:adjustRightInd w:val="0"/>
      <w:textAlignment w:val="baseline"/>
    </w:pPr>
    <w:rPr>
      <w:rFonts w:ascii="Courier New" w:eastAsia="MS Mincho" w:hAnsi="Courier New" w:cs="Courier New"/>
      <w:sz w:val="20"/>
      <w:szCs w:val="20"/>
    </w:rPr>
  </w:style>
  <w:style w:type="paragraph" w:styleId="BodyText">
    <w:name w:val="Body Text"/>
    <w:basedOn w:val="Normal"/>
    <w:rsid w:val="00870836"/>
    <w:pPr>
      <w:spacing w:after="120"/>
    </w:pPr>
  </w:style>
  <w:style w:type="paragraph" w:styleId="Header">
    <w:name w:val="header"/>
    <w:basedOn w:val="Normal"/>
    <w:rsid w:val="00870836"/>
    <w:pPr>
      <w:tabs>
        <w:tab w:val="center" w:pos="4320"/>
        <w:tab w:val="right" w:pos="8640"/>
      </w:tabs>
    </w:pPr>
  </w:style>
  <w:style w:type="paragraph" w:styleId="Footer">
    <w:name w:val="footer"/>
    <w:basedOn w:val="Normal"/>
    <w:semiHidden/>
    <w:rsid w:val="00870836"/>
    <w:pPr>
      <w:tabs>
        <w:tab w:val="center" w:pos="4320"/>
        <w:tab w:val="right" w:pos="8640"/>
      </w:tabs>
    </w:pPr>
  </w:style>
  <w:style w:type="character" w:customStyle="1" w:styleId="BalloonTextChar1">
    <w:name w:val="Balloon Text Char1"/>
    <w:basedOn w:val="DefaultParagraphFont"/>
    <w:link w:val="BalloonText"/>
    <w:uiPriority w:val="99"/>
    <w:semiHidden/>
    <w:rsid w:val="00E00DF0"/>
    <w:rPr>
      <w:rFonts w:ascii="Helvetica" w:hAnsi="Helvetica"/>
      <w:sz w:val="18"/>
      <w:szCs w:val="18"/>
      <w:lang w:eastAsia="en-US"/>
    </w:rPr>
  </w:style>
  <w:style w:type="character" w:styleId="CommentReference">
    <w:name w:val="annotation reference"/>
    <w:basedOn w:val="DefaultParagraphFont"/>
    <w:uiPriority w:val="99"/>
    <w:semiHidden/>
    <w:unhideWhenUsed/>
    <w:rsid w:val="00442E2B"/>
    <w:rPr>
      <w:sz w:val="18"/>
      <w:szCs w:val="18"/>
    </w:rPr>
  </w:style>
  <w:style w:type="paragraph" w:styleId="CommentText">
    <w:name w:val="annotation text"/>
    <w:basedOn w:val="Normal"/>
    <w:link w:val="CommentTextChar"/>
    <w:uiPriority w:val="99"/>
    <w:semiHidden/>
    <w:unhideWhenUsed/>
    <w:rsid w:val="00442E2B"/>
  </w:style>
  <w:style w:type="character" w:customStyle="1" w:styleId="CommentTextChar">
    <w:name w:val="Comment Text Char"/>
    <w:basedOn w:val="DefaultParagraphFont"/>
    <w:link w:val="CommentText"/>
    <w:uiPriority w:val="99"/>
    <w:semiHidden/>
    <w:rsid w:val="00442E2B"/>
    <w:rPr>
      <w:sz w:val="24"/>
      <w:szCs w:val="24"/>
      <w:lang w:eastAsia="en-US"/>
    </w:rPr>
  </w:style>
  <w:style w:type="paragraph" w:styleId="CommentSubject">
    <w:name w:val="annotation subject"/>
    <w:basedOn w:val="CommentText"/>
    <w:next w:val="CommentText"/>
    <w:link w:val="CommentSubjectChar"/>
    <w:uiPriority w:val="99"/>
    <w:semiHidden/>
    <w:unhideWhenUsed/>
    <w:rsid w:val="00442E2B"/>
    <w:rPr>
      <w:b/>
      <w:bCs/>
      <w:sz w:val="20"/>
      <w:szCs w:val="20"/>
    </w:rPr>
  </w:style>
  <w:style w:type="character" w:customStyle="1" w:styleId="CommentSubjectChar">
    <w:name w:val="Comment Subject Char"/>
    <w:basedOn w:val="CommentTextChar"/>
    <w:link w:val="CommentSubject"/>
    <w:uiPriority w:val="99"/>
    <w:semiHidden/>
    <w:rsid w:val="00442E2B"/>
    <w:rPr>
      <w:b/>
      <w:bCs/>
      <w:sz w:val="24"/>
      <w:szCs w:val="24"/>
      <w:lang w:eastAsia="en-US"/>
    </w:rPr>
  </w:style>
  <w:style w:type="character" w:styleId="PlaceholderText">
    <w:name w:val="Placeholder Text"/>
    <w:basedOn w:val="DefaultParagraphFont"/>
    <w:uiPriority w:val="99"/>
    <w:semiHidden/>
    <w:rsid w:val="004C20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E4EEB-428B-47DC-8D35-C1CB24C2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Your Title Here</vt:lpstr>
    </vt:vector>
  </TitlesOfParts>
  <Company>Illinois State University</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subject/>
  <dc:creator>Jeffrey Wagman</dc:creator>
  <cp:keywords/>
  <cp:lastModifiedBy>Henry Harrison</cp:lastModifiedBy>
  <cp:revision>4</cp:revision>
  <dcterms:created xsi:type="dcterms:W3CDTF">2015-04-06T01:40:00Z</dcterms:created>
  <dcterms:modified xsi:type="dcterms:W3CDTF">2015-04-06T02:52:00Z</dcterms:modified>
</cp:coreProperties>
</file>