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3A5F"/>
          <w:sz w:val="48"/>
        </w:rPr>
        <w:br/>
        <w:t>交易系統極限嚴格母表法典</w:t>
      </w:r>
    </w:p>
    <w:p>
      <w:pPr>
        <w:jc w:val="center"/>
      </w:pPr>
      <w:r>
        <w:rPr>
          <w:i/>
          <w:color w:val="5A6B7D"/>
          <w:sz w:val="23"/>
        </w:rPr>
        <w:t>法條級、驗收級、不可模糊解釋版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972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/>
            <w:r/>
            <w:r>
              <w:t>文件定位：這份文件不是白話導覽，而是未來所有審核、排程、手動檢查、opencode 指令、驗收腳本的『法律』。</w:t>
            </w:r>
          </w:p>
          <w:p>
            <w:pPr/>
            <w:r>
              <w:t>使用原則：本法典優先於臨時對話、臨時猜測與口頭放寬；未寫入母表的要求，不得臨時加碼用來否決當前輪次。</w:t>
            </w:r>
          </w:p>
          <w:p>
            <w:pPr/>
            <w:r>
              <w:t>撰寫原則：必須把正常、失敗、邊界、恢復、非法、重啟、不同步、證據、權限、責任、禁止事項全部寫清楚。</w:t>
            </w:r>
          </w:p>
        </w:tc>
      </w:tr>
    </w:tbl>
    <w:p/>
    <w:p>
      <w:pPr>
        <w:pStyle w:val="Heading1"/>
      </w:pPr>
      <w:r>
        <w:t>總則</w:t>
      </w:r>
    </w:p>
    <w:p>
      <w:r>
        <w:t>本法典的目的，是把交易系統從『藍圖』提升為『可執行、可驗收、可追責、不可模糊解釋』的規則體系。</w:t>
      </w:r>
    </w:p>
    <w:p>
      <w:r>
        <w:t>任何模型、代理、排程、人工審核官、或自動驗收腳本，只能依本法典的當前輪次規則判定 pass / fail。</w:t>
      </w:r>
    </w:p>
    <w:p>
      <w:r>
        <w:t>未明文通過前，任何輪次不得被視為『差不多完成』、『大致可用』或『可以先往後做』。</w:t>
      </w:r>
    </w:p>
    <w:p>
      <w:pPr>
        <w:pStyle w:val="Heading1"/>
      </w:pPr>
      <w:r>
        <w:t>第一編　全域硬規則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</w:tblGrid>
      <w:tr>
        <w:trPr>
          <w:tblHeader w:val="true"/>
        </w:trPr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規則</w:t>
            </w:r>
          </w:p>
        </w:tc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法律效力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母表唯一性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所有檢查、排程、進度判定、opencode 指令，都必須嚴格依據 157 輪固定母表的當前輪既定標準。不得臨時猜測、補腦或提高標準。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禁止回頭加碼改判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若需提高標準，必須先正式修改母表，並於下一輪或 A 輪生效。不得用新標準否決已通過輪次。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嚴格順序執行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只允許處理當前輪次；前一輪未正式通過前，絕對禁止進入下一輪。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整輪重檢義務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每次審核都必須完整重檢當前輪，不得只看最後修改片段。任何遺漏即視為未通過。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永不放寬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關鍵驗收點只要有一項未完整達成，即判未通過。不存在『局部 OK』或『大致完成』。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進度一致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排程與手動檢查進度必須一致；本聊天室最新一次正式專案檢查輸出為唯一對外進度依據。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固定模板義務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所有專案檢查結果與 opencode 指令必須使用固定模板，且只能有單一 code block。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完成後義務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每輪完成後必須：自行檢查、 自行 commit、 自行 push。未完成三者之一，不得宣稱本輪完結。</w:t>
            </w:r>
          </w:p>
        </w:tc>
      </w:tr>
    </w:tbl>
    <w:p/>
    <w:p>
      <w:pPr>
        <w:pStyle w:val="Heading1"/>
      </w:pPr>
      <w:r>
        <w:t>第二編　證據規則</w:t>
      </w:r>
    </w:p>
    <w:p>
      <w:r>
        <w:t>通過與否不能靠口頭陳述，必須有證據。證據效力由高到低如下：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</w:tblGrid>
      <w:tr>
        <w:trPr>
          <w:tblHeader w:val="true"/>
        </w:trPr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證據等級</w:t>
            </w:r>
          </w:p>
        </w:tc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內容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一級證據（最強）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可重跑測試結果</w:t>
            </w:r>
          </w:p>
          <w:p>
            <w:r>
              <w:t>• 固定驗收腳本輸出</w:t>
            </w:r>
          </w:p>
          <w:p>
            <w:r>
              <w:t>• API response / state snapshot</w:t>
            </w:r>
          </w:p>
          <w:p>
            <w:r>
              <w:t>• Broker 對帳結果</w:t>
            </w:r>
          </w:p>
          <w:p>
            <w:r>
              <w:t>• 不可變事件 log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二級證據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commit diff</w:t>
            </w:r>
          </w:p>
          <w:p>
            <w:r>
              <w:t>• schema / contract 定義</w:t>
            </w:r>
          </w:p>
          <w:p>
            <w:r>
              <w:t>• 自動回歸報告</w:t>
            </w:r>
          </w:p>
          <w:p>
            <w:r>
              <w:t>• 對比報告</w:t>
            </w:r>
          </w:p>
          <w:p>
            <w:r>
              <w:t>• 壓力測試摘要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三級證據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UI 實測截圖</w:t>
            </w:r>
          </w:p>
          <w:p>
            <w:r>
              <w:t>• 明確頁面操作錄影</w:t>
            </w:r>
          </w:p>
          <w:p>
            <w:r>
              <w:t>• 人工檢查清單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無效證據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註解</w:t>
            </w:r>
          </w:p>
          <w:p>
            <w:r>
              <w:t>• TODO</w:t>
            </w:r>
          </w:p>
          <w:p>
            <w:r>
              <w:t>• commit message 自稱完成</w:t>
            </w:r>
          </w:p>
          <w:p>
            <w:r>
              <w:t>• AI 口頭保證</w:t>
            </w:r>
          </w:p>
          <w:p>
            <w:r>
              <w:t>• 未驗證的單張截圖</w:t>
            </w:r>
          </w:p>
        </w:tc>
      </w:tr>
    </w:tbl>
    <w:p/>
    <w:p>
      <w:pPr>
        <w:pStyle w:val="Heading1"/>
      </w:pPr>
      <w:r>
        <w:t>第三編　單輪法條模板（每一輪都必須具備）</w:t>
      </w:r>
    </w:p>
    <w:p>
      <w:pPr>
        <w:ind w:left="283"/>
      </w:pPr>
      <w:r>
        <w:t>• 輪次編號與唯一主題</w:t>
      </w:r>
    </w:p>
    <w:p>
      <w:pPr>
        <w:ind w:left="283"/>
      </w:pPr>
      <w:r>
        <w:t>• 本輪一句話目標</w:t>
      </w:r>
    </w:p>
    <w:p>
      <w:pPr>
        <w:ind w:left="283"/>
      </w:pPr>
      <w:r>
        <w:t>• 前置依賴（哪些輪次必須先通過）</w:t>
      </w:r>
    </w:p>
    <w:p>
      <w:pPr>
        <w:ind w:left="283"/>
      </w:pPr>
      <w:r>
        <w:t>• 本輪範圍（允許改哪些模組 / 檔案 / 資料契約）</w:t>
      </w:r>
    </w:p>
    <w:p>
      <w:pPr>
        <w:ind w:left="283"/>
      </w:pPr>
      <w:r>
        <w:t>• 本輪禁區（絕對不能碰的東西）</w:t>
      </w:r>
    </w:p>
    <w:p>
      <w:pPr>
        <w:ind w:left="283"/>
      </w:pPr>
      <w:r>
        <w:t>• 必做實作清單</w:t>
      </w:r>
    </w:p>
    <w:p>
      <w:pPr>
        <w:ind w:left="283"/>
      </w:pPr>
      <w:r>
        <w:t>• 必做 API / schema / state contract</w:t>
      </w:r>
    </w:p>
    <w:p>
      <w:pPr>
        <w:ind w:left="283"/>
      </w:pPr>
      <w:r>
        <w:t>• 成功情境矩陣</w:t>
      </w:r>
    </w:p>
    <w:p>
      <w:pPr>
        <w:ind w:left="283"/>
      </w:pPr>
      <w:r>
        <w:t>• 失敗情境矩陣</w:t>
      </w:r>
    </w:p>
    <w:p>
      <w:pPr>
        <w:ind w:left="283"/>
      </w:pPr>
      <w:r>
        <w:t>• 邊界情境矩陣</w:t>
      </w:r>
    </w:p>
    <w:p>
      <w:pPr>
        <w:ind w:left="283"/>
      </w:pPr>
      <w:r>
        <w:t>• 恢復 / 重啟情境矩陣</w:t>
      </w:r>
    </w:p>
    <w:p>
      <w:pPr>
        <w:ind w:left="283"/>
      </w:pPr>
      <w:r>
        <w:t>• 非法操作情境矩陣</w:t>
      </w:r>
    </w:p>
    <w:p>
      <w:pPr>
        <w:ind w:left="283"/>
      </w:pPr>
      <w:r>
        <w:t>• 直接 fail 條件</w:t>
      </w:r>
    </w:p>
    <w:p>
      <w:pPr>
        <w:ind w:left="283"/>
      </w:pPr>
      <w:r>
        <w:t>• 通過標準</w:t>
      </w:r>
    </w:p>
    <w:p>
      <w:pPr>
        <w:ind w:left="283"/>
      </w:pPr>
      <w:r>
        <w:t>• 未通過時只准修什麼</w:t>
      </w:r>
    </w:p>
    <w:p>
      <w:pPr>
        <w:ind w:left="283"/>
      </w:pPr>
      <w:r>
        <w:t>• 完成後應產出的證據</w:t>
      </w:r>
    </w:p>
    <w:p>
      <w:pPr>
        <w:ind w:left="283"/>
      </w:pPr>
      <w:r>
        <w:t>• 與下一輪的銜接條件</w:t>
      </w:r>
    </w:p>
    <w:p>
      <w:pPr>
        <w:pStyle w:val="Heading1"/>
      </w:pPr>
      <w:r>
        <w:t>第四編　所有輪次共同必須考慮的情境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576"/>
      </w:tblGrid>
      <w:tr>
        <w:trPr>
          <w:tblHeader w:val="true"/>
        </w:trPr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情境類別</w:t>
            </w:r>
          </w:p>
        </w:tc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要求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正常情境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規格預期的主要成功路徑，必須逐條列出成功後哪些狀態改變、哪些狀態不得改變。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失敗情境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功能存在但結果錯、欄位存在但來源錯、UI 對但後端錯、主流程對但 recovery 錯等。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邊界情境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空資料、null、stale、timeout、部分成交、接近上限、接近收盤、首次啟動、最後一筆等。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恢復情境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異常解除、熔斷解除、recovery 升階、冷啟動授權、暫停後恢復。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重啟情境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系統重啟、restore、snapshot 還原、重啟後狀態是否重建、是否發生重送單。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非法情境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不該允許的模式切換、不該允許的設定修改、不該允許的權限、不該允許的資料回寫。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不同步情境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前端/後端/API/DB/引擎 各自看到不同 state、不同 mode、不同 position、不同 pnl。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證據情境</w:t>
            </w:r>
          </w:p>
        </w:tc>
        <w:tc>
          <w:tcPr>
            <w:tcW w:type="dxa" w:w="6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哪些輸出可作為驗收，哪些不可；驗收不完整時如何判 fail。</w:t>
            </w:r>
          </w:p>
        </w:tc>
      </w:tr>
    </w:tbl>
    <w:p/>
    <w:p>
      <w:pPr>
        <w:pStyle w:val="Heading1"/>
      </w:pPr>
      <w:r>
        <w:t>第五編　交易系統底層法典（高優先補強）</w:t>
      </w:r>
    </w:p>
    <w:p>
      <w:r>
        <w:t>以下六大底層法典，建議提升為獨立輪次或獨立法典章節。若未獨立，後續多數高階功能都可能建立在不穩底盤上。</w:t>
      </w:r>
    </w:p>
    <w:p>
      <w:pPr>
        <w:pStyle w:val="Heading2"/>
      </w:pPr>
      <w:r>
        <w:t>A. 訂單生命週期狀態機法典</w:t>
      </w:r>
    </w:p>
    <w:p>
      <w:r>
        <w:t>• 必須定義 created / pending_submit / submitted / acknowledged / partial_fill / filled / cancel_pending / cancelled / rejected / expired / reconcile_pending 等狀態。</w:t>
      </w:r>
    </w:p>
    <w:p>
      <w:r>
        <w:t>• 必須明定所有合法與非法轉移，禁止未定義轉移默默放行。</w:t>
      </w:r>
    </w:p>
    <w:p>
      <w:r>
        <w:t>• 必須處理部分成交、重複回報、回報順序顛倒、cancel 與 fill 競爭、重啟後重建。</w:t>
      </w:r>
    </w:p>
    <w:p>
      <w:pPr>
        <w:pStyle w:val="Heading2"/>
      </w:pPr>
      <w:r>
        <w:t>B. 現金、買力與交割資金帳本法典</w:t>
      </w:r>
    </w:p>
    <w:p>
      <w:r>
        <w:t>• 必須有現金總帳、凍結資金、可用買力、未結算資金、已實現 / 未實現損益入帳規則。</w:t>
      </w:r>
    </w:p>
    <w:p>
      <w:r>
        <w:t>• 委託送出、部分成交、撤單、拒單、交割日差異，都要明定資金如何變動。</w:t>
      </w:r>
    </w:p>
    <w:p>
      <w:pPr>
        <w:pStyle w:val="Heading2"/>
      </w:pPr>
      <w:r>
        <w:t>C. 冪等性與去重法典</w:t>
      </w:r>
    </w:p>
    <w:p>
      <w:r>
        <w:t>• 所有高風險命令都應有唯一 key；retry 不可造成雙重送單；重播 fill event 不可重複入帳。</w:t>
      </w:r>
    </w:p>
    <w:p>
      <w:r>
        <w:t>• restore / replay / recovery 之後，不可因流程重建而再執行舊指令。</w:t>
      </w:r>
    </w:p>
    <w:p>
      <w:pPr>
        <w:pStyle w:val="Heading2"/>
      </w:pPr>
      <w:r>
        <w:t>D. 不可變審計事件帳本法典</w:t>
      </w:r>
    </w:p>
    <w:p>
      <w:r>
        <w:t>• decision / order / fill / cancel / reject / risk alert / mode change 都必須是追加式事件，不可覆寫歷史。</w:t>
      </w:r>
    </w:p>
    <w:p>
      <w:r>
        <w:t>• replay、修正、對帳只能新增更正事件，不可回寫污染原始鏈。</w:t>
      </w:r>
    </w:p>
    <w:p>
      <w:pPr>
        <w:pStyle w:val="Heading2"/>
      </w:pPr>
      <w:r>
        <w:t>E. 市場日曆與交易時段法典</w:t>
      </w:r>
    </w:p>
    <w:p>
      <w:r>
        <w:t>• 必須定義休市日、零股時段、盤前、盤中、盤後、特殊日、禁止下單時段與非交易時段允許任務。</w:t>
      </w:r>
    </w:p>
    <w:p>
      <w:pPr>
        <w:pStyle w:val="Heading2"/>
      </w:pPr>
      <w:r>
        <w:t>F. 競態、鎖與原子性法典</w:t>
      </w:r>
    </w:p>
    <w:p>
      <w:r>
        <w:t>• risk 檢查與送單必須具原子性；position / order / cash 更新必須有鎖或序列化規則；多程序不可互相覆蓋。</w:t>
      </w:r>
    </w:p>
    <w:p>
      <w:pPr>
        <w:pStyle w:val="Heading1"/>
      </w:pPr>
      <w:r>
        <w:t>第六編　模式、狀態與一致性法典</w:t>
      </w:r>
    </w:p>
    <w:p>
      <w:r>
        <w:t>• 系統模式至少包含 observe / sim / paper / live / pause / recovery；任何新模式必須先寫入母表，否則視為非法。</w:t>
      </w:r>
    </w:p>
    <w:p>
      <w:r>
        <w:t>• 模式切換必須前後端、API、引擎、持久化 state 同步完成；只切 UI 或只切後端都視為 fail。</w:t>
      </w:r>
    </w:p>
    <w:p>
      <w:r>
        <w:t>• 前後端不得各自推導 mode；必須只有單一真實模式來源。</w:t>
      </w:r>
    </w:p>
    <w:p>
      <w:r>
        <w:t>• recovery 不得只存在 transition 表；必須具備正式進入條件、正式離開條件、驗證方式與恢復期限制。</w:t>
      </w:r>
    </w:p>
    <w:p>
      <w:r>
        <w:t>• 任何未定義模式切換，一律拒絕。</w:t>
      </w:r>
    </w:p>
    <w:p>
      <w:pPr>
        <w:pStyle w:val="Heading1"/>
      </w:pPr>
      <w:r>
        <w:t>第七編　損益、成本與真實性法典</w:t>
      </w:r>
    </w:p>
    <w:p>
      <w:r>
        <w:t>• 所有 realized pnl 必須來自唯一核心計算邏輯。</w:t>
      </w:r>
    </w:p>
    <w:p>
      <w:r>
        <w:t>• 必須拆出 gross_pnl、fee、tax、spread/slippage/inefficiency、net_pnl。</w:t>
      </w:r>
    </w:p>
    <w:p>
      <w:r>
        <w:t>• 模擬、回測、paper、shadow、live、強制平倉、部分平倉的口徑必須一致；若不一致，必須有明文例外法條。</w:t>
      </w:r>
    </w:p>
    <w:p>
      <w:r>
        <w:t>• 前端不得自行再算另一套 pnl；顯示值必須由正式後端契約提供。</w:t>
      </w:r>
    </w:p>
    <w:p>
      <w:pPr>
        <w:pStyle w:val="Heading1"/>
      </w:pPr>
      <w:r>
        <w:t>第八編　風控法典</w:t>
      </w:r>
    </w:p>
    <w:p>
      <w:pPr>
        <w:pStyle w:val="Heading2"/>
      </w:pPr>
      <w:r>
        <w:t>通用原則</w:t>
      </w:r>
    </w:p>
    <w:p>
      <w:r>
        <w:t>• 風控優先於策略；策略不能推翻硬上限。</w:t>
      </w:r>
    </w:p>
    <w:p>
      <w:r>
        <w:t>• 當資料品質、執行品質、模式狀態、資金帳、健康檢查任一失真時，系統必須朝保守方向退。</w:t>
      </w:r>
    </w:p>
    <w:p>
      <w:pPr>
        <w:pStyle w:val="Heading2"/>
      </w:pPr>
      <w:r>
        <w:t>至少必須存在的硬上限</w:t>
      </w:r>
    </w:p>
    <w:p>
      <w:r>
        <w:t>• 單筆風險</w:t>
      </w:r>
    </w:p>
    <w:p>
      <w:r>
        <w:t>• 單日風險</w:t>
      </w:r>
    </w:p>
    <w:p>
      <w:r>
        <w:t>• 單週/單月風險</w:t>
      </w:r>
    </w:p>
    <w:p>
      <w:r>
        <w:t>• 單股曝險</w:t>
      </w:r>
    </w:p>
    <w:p>
      <w:r>
        <w:t>• 單策略曝險</w:t>
      </w:r>
    </w:p>
    <w:p>
      <w:r>
        <w:t>• 組合總曝險</w:t>
      </w:r>
    </w:p>
    <w:p>
      <w:r>
        <w:t>• 當沖未沖銷最壞交割能力</w:t>
      </w:r>
    </w:p>
    <w:p>
      <w:pPr>
        <w:pStyle w:val="Heading2"/>
      </w:pPr>
      <w:r>
        <w:t>no-trade 原則</w:t>
      </w:r>
    </w:p>
    <w:p>
      <w:r>
        <w:t>• 事件風險未釐清不做</w:t>
      </w:r>
    </w:p>
    <w:p>
      <w:r>
        <w:t>• regime 不清不做</w:t>
      </w:r>
    </w:p>
    <w:p>
      <w:r>
        <w:t>• 資料 stale 不做</w:t>
      </w:r>
    </w:p>
    <w:p>
      <w:r>
        <w:t>• execution 不可行不做</w:t>
      </w:r>
    </w:p>
    <w:p>
      <w:r>
        <w:t>• 恢復期未升階前不做超出授權的交易</w:t>
      </w:r>
    </w:p>
    <w:p>
      <w:pPr>
        <w:pStyle w:val="Heading1"/>
      </w:pPr>
      <w:r>
        <w:t>第九編　回測、模擬、shadow、live 隔離法典</w:t>
      </w:r>
    </w:p>
    <w:p>
      <w:r>
        <w:t>• 歷史流、回放流、模擬流、live 流必須隔離；任何 replay/history 不得回寫 live state。</w:t>
      </w:r>
    </w:p>
    <w:p>
      <w:r>
        <w:t>• 模擬成交器必須受市場制度規則約束；不得假設所有穿價都成交。</w:t>
      </w:r>
    </w:p>
    <w:p>
      <w:r>
        <w:t>• shadow 與 live 差異必須持續記錄並可審計。</w:t>
      </w:r>
    </w:p>
    <w:p>
      <w:pPr>
        <w:pStyle w:val="Heading1"/>
      </w:pPr>
      <w:r>
        <w:t>第十編　AI 治理與研究法典</w:t>
      </w:r>
    </w:p>
    <w:p>
      <w:r>
        <w:t>• 六大 AI 只能提供理由、信心、分數與建議，不得繞過風控硬門直接下單。</w:t>
      </w:r>
    </w:p>
    <w:p>
      <w:r>
        <w:t>• 任何 AI 權重、參數、風控規則、策略規則變更，都應進入 strategy CI/CD 驗證鏈。</w:t>
      </w:r>
    </w:p>
    <w:p>
      <w:r>
        <w:t>• 研究結論不得直接升級至主系統；必須經 research gate、固定案例集、壓力測試、舊版/新版比較。</w:t>
      </w:r>
    </w:p>
    <w:p>
      <w:pPr>
        <w:pStyle w:val="Heading1"/>
      </w:pPr>
      <w:r>
        <w:t>第十一編　輸出模板法典</w:t>
      </w:r>
    </w:p>
    <w:p>
      <w:r>
        <w:t>所有正式專案輸出必須嚴格遵守固定模板，禁止改形、減欄、改用第二個 code block、或漏寫 REPLY_ID。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633"/>
      </w:tblGrid>
      <w:tr>
        <w:trPr>
          <w:tblHeader w:val="true"/>
        </w:trPr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模板規則</w:t>
            </w:r>
          </w:p>
        </w:tc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內容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必須有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[PROJECT_CONTEXT_START] ... [PROJECT_CONTEXT_END]</w:t>
            </w:r>
          </w:p>
          <w:p>
            <w:r>
              <w:t>• [OPENCODE_START]</w:t>
            </w:r>
          </w:p>
          <w:p>
            <w:r>
              <w:t>• PART: 1/1</w:t>
            </w:r>
          </w:p>
          <w:p>
            <w:r>
              <w:t>• 輪次判定</w:t>
            </w:r>
          </w:p>
          <w:p>
            <w:r>
              <w:t>• 最新 commit</w:t>
            </w:r>
          </w:p>
          <w:p>
            <w:r>
              <w:t>• 未通過 / 通過</w:t>
            </w:r>
          </w:p>
          <w:p>
            <w:r>
              <w:t>• 這次只修</w:t>
            </w:r>
          </w:p>
          <w:p>
            <w:r>
              <w:t>• 通過標準</w:t>
            </w:r>
          </w:p>
          <w:p>
            <w:r>
              <w:t>• 禁止</w:t>
            </w:r>
          </w:p>
          <w:p>
            <w:r>
              <w:t>• 回報</w:t>
            </w:r>
          </w:p>
          <w:p>
            <w:r>
              <w:t>• 完成後：自行檢查 / 自行 commit / 自行 push</w:t>
            </w:r>
          </w:p>
          <w:p>
            <w:r>
              <w:t>• REPLY_ID 置於 [OPENCODE_END] 前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明確禁止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t>• 第二個 code block</w:t>
            </w:r>
          </w:p>
          <w:p>
            <w:r>
              <w:t>• 改用其他模板</w:t>
            </w:r>
          </w:p>
          <w:p>
            <w:r>
              <w:t>• 用一般敘述取代正式輸出</w:t>
            </w:r>
          </w:p>
          <w:p>
            <w:r>
              <w:t>• 缺少完成後三項</w:t>
            </w:r>
          </w:p>
          <w:p>
            <w:r>
              <w:t>• 省略輪次判定或最新 commit</w:t>
            </w:r>
          </w:p>
        </w:tc>
      </w:tr>
    </w:tbl>
    <w:p/>
    <w:p>
      <w:pPr>
        <w:pStyle w:val="Heading1"/>
      </w:pPr>
      <w:r>
        <w:t>第十二編　直接 Fail 條件總表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</w:tblGrid>
      <w:tr>
        <w:trPr>
          <w:tblHeader w:val="true"/>
        </w:trPr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Fail 類型</w:t>
            </w:r>
          </w:p>
        </w:tc>
        <w:tc>
          <w:tcPr>
            <w:tcW w:type="dxa" w:w="49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說明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跳輪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前一輪未正式通過卻進入下一輪。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雙真相來源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同一核心概念（mode、position、pnl、cash、order state）存在兩套正式來源。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局部修補冒充整輪完成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只修入口、不修主流程；只修 UI、不修後端；只修 happy path、不修非法情境。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沒有驗收證據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沒有固定測試、固定輸出、固定報告，卻宣稱通過。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用註解代替實作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以文件、註解、TODO、commit message 取代真正程式碼或契約變更。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t>未完成 commit / push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未自行檢查、未 commit、未 push，仍宣稱本輪完成。</w:t>
            </w:r>
          </w:p>
        </w:tc>
      </w:tr>
    </w:tbl>
    <w:p/>
    <w:p>
      <w:pPr>
        <w:pStyle w:val="Heading1"/>
      </w:pPr>
      <w:r>
        <w:t>第十三編　你這份 157 輪藍圖建議新增或拆分的章節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288"/>
        <w:gridCol w:w="4195"/>
      </w:tblGrid>
      <w:tr>
        <w:trPr>
          <w:tblHeader w:val="true"/>
        </w:trPr>
        <w:tc>
          <w:tcPr>
            <w:tcW w:type="dxa" w:w="332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動作</w:t>
            </w:r>
          </w:p>
        </w:tc>
        <w:tc>
          <w:tcPr>
            <w:tcW w:type="dxa" w:w="332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項目</w:t>
            </w:r>
          </w:p>
        </w:tc>
        <w:tc>
          <w:tcPr>
            <w:tcW w:type="dxa" w:w="332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建議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訂單生命週期狀態機法典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資金帳本與買力一致性法典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冪等性與去重法典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不可變審計事件帳本法典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市場日曆與交易時段法典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新增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競態、原子性與鎖治理法典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獨立成輪次或法典專章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拆分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 45 輪 execution/slippage/liquidity/sizing/強風控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至少拆成 execution、sizing、risk veto 三個子輪次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拆分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 74 輪研究平台 / 壓力測試 / robustness / attribution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拆成研究平台、壓力測試、歸因三輪或三專章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拆分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 129 輪多帳戶與營運化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拆成帳戶治理、告警中心、營運監控三輪</w:t>
            </w:r>
          </w:p>
        </w:tc>
      </w:tr>
    </w:tbl>
    <w:p/>
    <w:p>
      <w:pPr>
        <w:pStyle w:val="Heading1"/>
      </w:pPr>
      <w:r>
        <w:t>附錄 A　單輪最嚴格範本（可直接複製）</w:t>
      </w:r>
    </w:p>
    <w:p>
      <w:r>
        <w:t>輪次編號：</w:t>
      </w:r>
    </w:p>
    <w:p>
      <w:r>
        <w:t>唯一主題：</w:t>
      </w:r>
    </w:p>
    <w:p>
      <w:r>
        <w:t>一句話目標：</w:t>
      </w:r>
    </w:p>
    <w:p>
      <w:r>
        <w:t>前置依賴：</w:t>
      </w:r>
    </w:p>
    <w:p>
      <w:r>
        <w:t>允許修改範圍：</w:t>
      </w:r>
    </w:p>
    <w:p>
      <w:r>
        <w:t>禁止修改範圍：</w:t>
      </w:r>
    </w:p>
    <w:p>
      <w:r>
        <w:t>必做實作：</w:t>
      </w:r>
    </w:p>
    <w:p>
      <w:r>
        <w:t>必做 API / schema / state contract：</w:t>
      </w:r>
    </w:p>
    <w:p>
      <w:r>
        <w:t>正常情境矩陣：</w:t>
      </w:r>
    </w:p>
    <w:p>
      <w:r>
        <w:t>失敗情境矩陣：</w:t>
      </w:r>
    </w:p>
    <w:p>
      <w:r>
        <w:t>邊界情境矩陣：</w:t>
      </w:r>
    </w:p>
    <w:p>
      <w:r>
        <w:t>恢復 / 重啟情境矩陣：</w:t>
      </w:r>
    </w:p>
    <w:p>
      <w:r>
        <w:t>非法操作情境矩陣：</w:t>
      </w:r>
    </w:p>
    <w:p>
      <w:r>
        <w:t>直接 fail 條件：</w:t>
      </w:r>
    </w:p>
    <w:p>
      <w:r>
        <w:t>通過標準：</w:t>
      </w:r>
    </w:p>
    <w:p>
      <w:r>
        <w:t>驗收證據：</w:t>
      </w:r>
    </w:p>
    <w:p>
      <w:r>
        <w:t>未通過時只准修什麼：</w:t>
      </w:r>
    </w:p>
    <w:p>
      <w:r>
        <w:t>完成後必做：自行檢查 / 自行 commit / 自行 push</w:t>
      </w:r>
    </w:p>
    <w:p>
      <w:pPr>
        <w:pStyle w:val="Heading1"/>
      </w:pPr>
      <w:r>
        <w:t>附錄 B　最後強制提醒</w:t>
      </w:r>
    </w:p>
    <w:p>
      <w:r>
        <w:t>我必須嚴格遵守以上所有母表規則，角色是『極端嚴格的交易系統審核官』，絕不放水、不跳輪、不自行提高或降低標準。任何輸出若違反模板或規則，即為無效。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17"/>
      </w:rPr>
      <w:t>02_交易系統極限嚴格母表法典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94E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A4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TC" w:hAnsi="Noto Sans CJK TC" w:eastAsia="Noto Sans CJK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