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TC" w:hAnsi="Noto Sans CJK TC" w:eastAsia="Noto Sans CJK TC"/>
          <w:b/>
          <w:color w:val="1F4E79"/>
          <w:sz w:val="56"/>
        </w:rPr>
        <w:t>短線選股工具</w:t>
      </w:r>
    </w:p>
    <w:p>
      <w:pPr>
        <w:jc w:val="center"/>
      </w:pPr>
      <w:r>
        <w:rPr>
          <w:rFonts w:ascii="Noto Sans CJK TC" w:hAnsi="Noto Sans CJK TC" w:eastAsia="Noto Sans CJK TC"/>
          <w:b/>
          <w:color w:val="1F4E79"/>
          <w:sz w:val="44"/>
        </w:rPr>
        <w:t>研究驗證與實作規格</w:t>
      </w:r>
    </w:p>
    <w:p>
      <w:pPr>
        <w:spacing w:before="320"/>
        <w:jc w:val="center"/>
      </w:pPr>
      <w:r>
        <w:rPr>
          <w:rFonts w:ascii="Noto Sans CJK TC" w:hAnsi="Noto Sans CJK TC" w:eastAsia="Noto Sans CJK TC"/>
          <w:b/>
          <w:color w:val="464646"/>
          <w:sz w:val="22"/>
        </w:rPr>
        <w:t>目標：辨識 10 個交易日內「先達 +5%」的短期機會，並作為選股工具優化參考</w:t>
      </w:r>
    </w:p>
    <w:p>
      <w:pPr>
        <w:spacing w:before="640"/>
        <w:jc w:val="center"/>
      </w:pPr>
      <w:r>
        <w:rPr>
          <w:rFonts w:ascii="Noto Sans CJK TC" w:hAnsi="Noto Sans CJK TC" w:eastAsia="Noto Sans CJK TC"/>
          <w:color w:val="646464"/>
          <w:sz w:val="18"/>
        </w:rPr>
        <w:t>版本：2026-09-18｜繁體中文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F3F6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用途聲明　</w:t>
            </w:r>
            <w:r>
              <w:rPr>
                <w:rFonts w:ascii="Noto Sans CJK TC" w:hAnsi="Noto Sans CJK TC" w:eastAsia="Noto Sans CJK TC"/>
                <w:sz w:val="19"/>
              </w:rPr>
              <w:t>本文件是研究與系統設計參考，不是個別股票推薦。文中把「學術實證」與「交易實務啟發式規則」分開標示；任何參數都應以你的市場、成本與資料做 out-of-sample 驗證。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文件導覽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1. 驗證結論與主要修正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2. 證據分級：哪些方法可信、哪些只能當 heuristic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3. 五種主要流派與適用位置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4. 建議的統一系統架構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5. Feature Dictionary（可直接落地到選股工具）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6. 四套策略模組 M1–M4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7. 10 日 / +5% 的 Barrier Label 規格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8. 回測、資料工程與防洩漏規格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9. 評估指標與模型優化順序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10. 來源與證據等級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一句話版本　</w:t>
            </w:r>
            <w:r>
              <w:rPr>
                <w:rFonts w:ascii="Noto Sans CJK TC" w:hAnsi="Noto Sans CJK TC" w:eastAsia="Noto Sans CJK TC"/>
                <w:sz w:val="19"/>
              </w:rPr>
              <w:t>不要用「一個 0–100 分數」把所有訊號混在一起。較穩健的設計是：Universe → Market Regime → Sector → Candidate Ranking → Setup → Trigger → Risk → Barrier Label / Backtest。Candidate 可以排名；Setup、Trigger、Risk 以 pass/fail 為主。</w:t>
            </w:r>
          </w:p>
        </w:tc>
      </w:tr>
    </w:tbl>
    <w:p>
      <w:pPr>
        <w:spacing w:after="0"/>
      </w:pPr>
    </w:p>
    <w:p>
      <w:pPr>
        <w:pStyle w:val="Heading1"/>
      </w:pPr>
      <w:r>
        <w:t>1. 驗證結論與主要修正</w:t>
      </w:r>
    </w:p>
    <w:p>
      <w:r>
        <w:t>重新核對原始論文、NBER、期刊與一手交易教育來源後，前述流程的大方向可保留，但必須做以下修正。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項目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驗證後結論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建議定位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經典 Momentum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有高品質實證，但原始證據主要是 3–12 個月形成期/持有期；不能直接推論「未來 10 天 +5%」。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A｜證據強；時間尺度不完全匹配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52 週高點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接近 52 週高點與 momentum 的後續報酬有正式研究支持；較適合做 leadership/filter，不應直接當 10 日買點。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A｜證據強；當背景因子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產業動能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產業 momentum 可解釋很大一部分個股 momentum；因此 Sector Strength 有合理依據。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A｜證據強；仍需短期重測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短期反轉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weekly reversal 有正式研究支持，且在小型、低流動性、散戶交易偏高與高 MAX 股票更強；但實作成本與微結構風險高。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A-/B+｜證據強但可交易性受限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財報後漂移 / 預估修正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PEAD 與分析師預估修正後漂移有大量研究；台灣 2026 研究亦發現上修後超額報酬可持續約一個月。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A-/B+｜與目標 horizon 較接近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突破量 +40%~50%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可確認為 IBD/O’Neil 的實務規則，但不是「學術證明的最佳門檻」。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C｜實務 heuristic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Breakout / Pullback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Schwab 等一手教育資料把 bounce 與 breakout 當常見 swing entry；但這是交易框架，不等於已證明有 alpha。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C｜實務框架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RSI 55–70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找不到足以支持「55–70 是普遍最佳區間」的高品質原始證據。可當可選 timing feature，不宜硬編成核心規則。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D/C｜需自行驗證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ATR × √10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不應直接這樣做。ATR 是 true range 的平均，不是報酬標準差；√時間法則應套在 return volatility。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修正必要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0–100 綜合分數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可做展示，但若 RS、MA、突破、短期報酬、RSI 同時加分，會重複計入同一價格趨勢。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設計風險：double counting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最重要的修正　</w:t>
            </w:r>
            <w:r>
              <w:rPr>
                <w:rFonts w:ascii="Noto Sans CJK TC" w:hAnsi="Noto Sans CJK TC" w:eastAsia="Noto Sans CJK TC"/>
                <w:sz w:val="19"/>
              </w:rPr>
              <w:t>「會漲的股票」和「現在是好 entry 的股票」必須分開。Candidate Ranking 找強者；Setup / Trigger 決定現在能不能進；Risk 決定值不值得承擔這筆風險。</w:t>
            </w:r>
          </w:p>
        </w:tc>
      </w:tr>
    </w:tbl>
    <w:p>
      <w:pPr>
        <w:spacing w:after="0"/>
      </w:pPr>
    </w:p>
    <w:p>
      <w:pPr>
        <w:pStyle w:val="Heading1"/>
      </w:pPr>
      <w:r>
        <w:t>2. 證據分級：如何判斷可靠性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等級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來源型態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在工具中的使用方式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高品質同儕審查期刊 / NBER + 多年文獻脈絡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可做核心背景因子，但仍需依你的市場與 horizon 重測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B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正式研究，但市場/樣本/期間較侷限，或方法學有價值但不是 alpha 證據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可進模型候選池；必須 out-of-sample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大型券商/專業交易教育、知名交易書籍、可重現的 practitioner framework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可做 Setup/Trigger 起始規則，不應視為已證明最佳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社群共識、固定 RSI/KD 門檻、任意倍數等缺乏穩健原始證據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只做候選 feature；不應先硬編規則</w:t>
            </w:r>
          </w:p>
        </w:tc>
      </w:tr>
    </w:tbl>
    <w:p>
      <w:r>
        <w:rPr>
          <w:rFonts w:ascii="Noto Sans CJK TC" w:hAnsi="Noto Sans CJK TC" w:eastAsia="Noto Sans CJK TC"/>
          <w:b/>
          <w:sz w:val="19"/>
        </w:rPr>
        <w:t>可靠性 ≠ 適用性。</w:t>
      </w:r>
      <w:r>
        <w:rPr>
          <w:rFonts w:ascii="Noto Sans CJK TC" w:hAnsi="Noto Sans CJK TC" w:eastAsia="Noto Sans CJK TC"/>
          <w:sz w:val="19"/>
        </w:rPr>
        <w:t xml:space="preserve"> 例如 Jegadeesh–Titman 的 momentum 證據非常強，但研究的主要 horizon 不是 10 個交易日，因此它適合支撐「leadership / 中期背景因子」，而不是直接證明「兩週會漲 5%」。</w:t>
      </w:r>
    </w:p>
    <w:p>
      <w:pPr>
        <w:pStyle w:val="Heading1"/>
      </w:pPr>
      <w:r>
        <w:t>3. 五種主要流派與適用位置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流派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核心概念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建議位置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證據定位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A. Breakout Momentum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強勢股經整理後突破阻力，搭配相對強度與量能。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M1 主要策略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實務 C；背景 momentum 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B. Trend Pullback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已存在上升趨勢，等回檔到支撐/均線附近後重新轉強。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M2 主要策略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實務 C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C. Event / Catalyst Momentum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財報、營收、guidance、分析師上修等新資訊後，價格持續反映。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M3 主要策略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A-/B+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D. Cross-sectional / 52W Leadership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過去贏家、強勢產業、接近 52 週高點，用來找市場領導者。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Candidate filter / ranking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E. Short-term Reversal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極短期過度反應後均值回歸，常出現在小型、低流動性或高 MAX 股票。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M4 獨立策略</w:t>
            </w:r>
          </w:p>
        </w:tc>
        <w:tc>
          <w:tcPr>
            <w:tcW w:type="dxa" w:w="25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A-/B+；成本風險高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不要混合 Momentum 與 Reversal　</w:t>
            </w:r>
            <w:r>
              <w:rPr>
                <w:rFonts w:ascii="Noto Sans CJK TC" w:hAnsi="Noto Sans CJK TC" w:eastAsia="Noto Sans CJK TC"/>
                <w:sz w:val="19"/>
              </w:rPr>
              <w:t>M1–M3 可以共享市場、產業、流動性與風控引擎；M4 應獨立建模。把「最近很強」與「最近跌太多」放進同一 Score，會讓模型的經濟邏輯互相抵消。</w:t>
            </w:r>
          </w:p>
        </w:tc>
      </w:tr>
    </w:tbl>
    <w:p>
      <w:pPr>
        <w:spacing w:after="0"/>
      </w:pPr>
    </w:p>
    <w:p>
      <w:pPr>
        <w:pStyle w:val="Heading1"/>
      </w:pPr>
      <w:r>
        <w:t>4. 建議的統一系統架構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層級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用途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建議型態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 Data Integrity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先確認 point-in-time、公司行動、上市/下市、事件時間戳與成交資料。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1. Universe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剔除過低成交額、資料不足、無法合理成交的標的。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2. Market Regime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判斷 trend / chop / panic / rebound；決定哪些策略允許開啟與曝險。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Gate / sizing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3. Sector Strength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衡量產業相對大盤強度與 breadth。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Ranking context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4. Candidate Ranking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用少量、較獨立的因子找 leaders / catalysts。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Score / probability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5. Setup Classification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Breakout、Pullback、Event continuation、Reversal 分開辨識。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 / Fail + type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6. Trigger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突破、bounce、event-day high 等真正進場條件。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7. Risk Geometry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Target、stop、position size、gap risk、最大同時曝險。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Pass / Fail + sizing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8. Barrier Label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未來 10 日先碰 +5%、先碰 stop、或 timeout。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Training target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9. Walk-forward Validation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依時間做 out-of-sample；分市場環境、規模、流動性檢查。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Validation</w:t>
            </w:r>
          </w:p>
        </w:tc>
      </w:tr>
    </w:tbl>
    <w:p>
      <w:pPr>
        <w:pStyle w:val="Heading2"/>
      </w:pPr>
      <w:r>
        <w:t>4.1 為什麼 Candidate Ranking 與 Entry 要分開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Candidate Score =「這檔股票值得觀察的程度」，不是買進指令。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Setup = 價格結構是否適合目前策略；例如 leader 但已離均線 5 ATR，可列 watchlist 但不追。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Trigger = 只有在可觀測的進場事件出現時才成立；使用日線 close 訊號時，回測應假設下一個可成交價格進場。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Risk = 若 stop 太遠、流動性差或預估滑價太大，即使訊號好也應 fail。</w:t>
      </w:r>
    </w:p>
    <w:p>
      <w:pPr>
        <w:pStyle w:val="Heading1"/>
      </w:pPr>
      <w:r>
        <w:t>5. Feature Dictionary（可直接落地）</w:t>
      </w:r>
    </w:p>
    <w:p>
      <w:r>
        <w:t>下表是建議的第一版欄位。原則：先少後多；同一經濟概念只保留 1–2 個主特徵，避免重複計分。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 w:val="true"/>
        </w:trPr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群組</w:t>
            </w:r>
          </w:p>
        </w:tc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欄位</w:t>
            </w:r>
          </w:p>
        </w:tc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公式/定義</w:t>
            </w:r>
          </w:p>
        </w:tc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用途</w:t>
            </w:r>
          </w:p>
        </w:tc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證據</w:t>
            </w:r>
          </w:p>
        </w:tc>
        <w:tc>
          <w:tcPr>
            <w:tcW w:type="dxa" w:w="17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4"/>
              </w:rPr>
              <w:t>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liquidity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ADTV20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median(Close × Volume, 20d)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成交能力；用成交額比股數更可比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B/C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Universe gate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trend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Close_t / Close_t-20 - 1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短中期趨勢背景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A(背景)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trend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ret60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Close_t / Close_t-60 - 1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經典 momentum 的較短近似背景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A(背景)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relative_strength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rs_mkt20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ret20_stock - ret20_benchmark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相對大盤強度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A/B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relative_strength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rs_ind20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ret20_stock - ret20_industry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相對同產業強度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A/B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industry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industry_ret20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產業指數 20 日報酬 - 市場 20 日報酬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產業 momentum / 資金背景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Context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leadership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high52_ratio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 / rolling_max(Close,252)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距離 52 週高點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volume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rvol20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Volume / median(Volume prior 20d)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量能異常；門檻需自行驗證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B/C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Setup/Trigger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volume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dollar_vol_accel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ADTV5 / ADTV20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近期成交額是否升溫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volatility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rv20_daily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std(log return,20d)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報酬波動率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A(統計)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Risk/Filter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volatility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sigma10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rv20_daily × sqrt(10)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10 個交易日波動尺度近似；只在獨立同分布近似下使用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volatility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atr14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Wilder ATR(14)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平均 true range；適合 stop / extension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C(指標定義可靠)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volatility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atrp14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ATR14 / Close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跨股價比較 range volatility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Risk/Filter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extension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ext_ma20_atr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(Close - MA20) / ATR14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避免追離趨勢基準過遠的股票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Setup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compression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range10_atr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(High10 - Low10) / ATR14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價格收斂程度；以歷史 percentile 判斷較佳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Setup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days_since_event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交易日距離財報/重大事件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事件新鮮度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earnings_surprise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(Actual - Consensus) / scale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盈餘 surprise；scale 依資料品質設定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A/B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revision_30d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30 日內 consensus 修正方向/幅度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分析師預估修正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A-/B+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revision_breadth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上修家數 - 下修家數（可標準化）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降低單一分析師噪音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M3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price_action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gap_pct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Open / PrevClose - 1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事件後 gap 與風險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B/C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M3/Risk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setup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breakout_dist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 / prior_range_high - 1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是否真正突破整理區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M1 Trigger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setup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pullback_dd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 / rolling_high20 - 1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趨勢內回檔深度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M2 Setup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reversal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ret5_z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5 日報酬相對自身歷史 z-score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辨識極端短期過度反應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A-/B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M4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reversal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max_daily_ret20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過去 20 日最大單日報酬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MAX / lottery-like proxy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A-/B</w:t>
            </w:r>
          </w:p>
        </w:tc>
        <w:tc>
          <w:tcPr>
            <w:tcW w:type="dxa" w:w="1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M4 context</w:t>
            </w:r>
          </w:p>
        </w:tc>
      </w:tr>
    </w:tbl>
    <w:p>
      <w:pPr>
        <w:pStyle w:val="Heading2"/>
      </w:pPr>
      <w:r>
        <w:t>5.1 不建議先硬編成核心規則的欄位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RSI 55–70：可保留為 feature，但不要先假設這是最佳區間。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MACD、KD、RSI、5 日 momentum 同時加分：高度重複；先做相關性/VIF/feature importance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固定 Volume ≥ 1.5×：可當初始 trigger，但應在不同市場與 liquidity bucket 測試 1.2/1.5/2.0 或 percentile。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固定「離 MA20 超過 X% 就不買」：不同股票波動差異大，建議改成 ATR units 或 volatility percentile。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絕對成交量：應優先改成 dollar volume、turnover 或 cross-sectional percentile。</w:t>
      </w:r>
    </w:p>
    <w:p>
      <w:pPr>
        <w:pStyle w:val="Heading2"/>
      </w:pPr>
      <w:r>
        <w:t>5.2 ATR 的正確用途</w:t>
      </w:r>
    </w:p>
    <w:p>
      <w:r>
        <w:rPr>
          <w:rFonts w:ascii="Noto Sans CJK TC" w:hAnsi="Noto Sans CJK TC" w:eastAsia="Noto Sans CJK TC"/>
          <w:sz w:val="19"/>
        </w:rPr>
        <w:t>ATR = 一段期間 true range 的平均；true range 會考慮當日 high-low 與相對前收的 gap。它是 range-based volatility，不是 return standard deviation。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可用：stop buffer、position sizing、extension、不同價格股票的 ATR% 比較。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不建議：ATR% × √10 當成「10 日報酬標準差」。若要用平方根時間尺度，應從 daily return volatility 出發。</w:t>
      </w:r>
    </w:p>
    <w:p>
      <w:pPr>
        <w:pStyle w:val="Heading1"/>
      </w:pPr>
      <w:r>
        <w:t>6. 四套策略模組 M1–M4</w:t>
      </w:r>
    </w:p>
    <w:p>
      <w:pPr>
        <w:pStyle w:val="Heading2"/>
      </w:pPr>
      <w:r>
        <w:t>6.1 M1 Breakout Momentum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背景：Market regime 非 panic/rebound；sector strength 偏正；candidate RS / 52W leadership 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Setup：先有整理/收斂，避免已延伸；range compression 可用自身歷史 percentile。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Trigger：Close 或可交易價格突破 prior range high；RVOL 作確認 feature，而不是固定真理。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Risk：stop 應放在「突破失效」位置或 ATR-based buffer；若到 stop 的距離過大則不交易。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證據定位　</w:t>
            </w:r>
            <w:r>
              <w:rPr>
                <w:rFonts w:ascii="Noto Sans CJK TC" w:hAnsi="Noto Sans CJK TC" w:eastAsia="Noto Sans CJK TC"/>
                <w:sz w:val="19"/>
              </w:rPr>
              <w:t>「momentum / industry / 52-week high」有 A 級研究支持；「某種 base + 某個量倍數突破」屬 practitioner C 級，必須用你的資料驗證。</w:t>
            </w:r>
          </w:p>
        </w:tc>
      </w:tr>
    </w:tbl>
    <w:p>
      <w:pPr>
        <w:spacing w:after="0"/>
      </w:pPr>
    </w:p>
    <w:p>
      <w:pPr>
        <w:pStyle w:val="Heading2"/>
      </w:pPr>
      <w:r>
        <w:t>6.2 M2 Trend Pullback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背景：先有明確上升趨勢與相對強度。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Setup：從 20 日高點回落，但中期趨勢未破壞；可觀察回檔量縮、ATR 降低、價格靠近動態支撐。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Trigger：重新站回前一日高 / 短期 range high / 支撐 bounce 後轉強。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優點：通常 entry-to-stop 較短；缺點：最強股票可能不回檔。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證據定位　</w:t>
            </w:r>
            <w:r>
              <w:rPr>
                <w:rFonts w:ascii="Noto Sans CJK TC" w:hAnsi="Noto Sans CJK TC" w:eastAsia="Noto Sans CJK TC"/>
                <w:sz w:val="19"/>
              </w:rPr>
              <w:t>Bounce / breakout 是常見 swing framework，Schwab 有明確教育範例；但它不是「已證明每個市場有正 alpha」的證據。</w:t>
            </w:r>
          </w:p>
        </w:tc>
      </w:tr>
    </w:tbl>
    <w:p>
      <w:pPr>
        <w:spacing w:after="0"/>
      </w:pPr>
    </w:p>
    <w:p>
      <w:pPr>
        <w:pStyle w:val="Heading2"/>
      </w:pPr>
      <w:r>
        <w:t>6.3 M3 Catalyst Momentum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事件：earnings surprise、revenue/guidance、重大公告、分析師 consensus revision。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資料：必須使用 point-in-time consensus 與精確公告時間；盤後公告不能假設在當日收盤前已知。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Setup：事件後價格方向與 surprise 同向；避免只因 headline 正面就買。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Trigger：event-day high / post-event consolidation breakout / gap holding 等可定義規則。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台灣：2026 Finance Research Letters 研究發現上修 FEG portfolio 平均月超額報酬 2.11%，效果可延續約一個月；這是有用的本地證據，但仍是單一研究、月尺度。</w:t>
      </w:r>
    </w:p>
    <w:p>
      <w:pPr>
        <w:pStyle w:val="Heading2"/>
      </w:pPr>
      <w:r>
        <w:t>6.4 M4 Short-term Reversal（獨立模型）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目的：捕捉極端短期過度反應，而不是追強。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研究顯示 weekly reversal 在 high-MAX、小型、低流動性、散戶 order imbalance 較高股票更明顯。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風險：這些股票同時也是滑價、bid-ask、價格跳動與成交限制最嚴重的區域。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因此回測必須在 net of cost 後仍成立，並設最嚴格的 liquidity gate。</w:t>
      </w:r>
    </w:p>
    <w:p>
      <w:pPr>
        <w:pStyle w:val="Heading1"/>
      </w:pPr>
      <w:r>
        <w:t>7. 10 日 / +5% Barrier Label 規格</w:t>
      </w:r>
    </w:p>
    <w:p>
      <w:r>
        <w:rPr>
          <w:rFonts w:ascii="Noto Sans CJK TC" w:hAnsi="Noto Sans CJK TC" w:eastAsia="Noto Sans CJK TC"/>
          <w:sz w:val="19"/>
        </w:rPr>
        <w:t>若工具的真實目標是「進場後兩週內有沒有先賺到 5%」，固定看第 10 天收盤報酬會錯失大量交易資訊。建議使用 triple-barrier 類型的 first-touch label。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欄位</w:t>
            </w:r>
          </w:p>
        </w:tc>
        <w:tc>
          <w:tcPr>
            <w:tcW w:type="dxa" w:w="51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規格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Entry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訊號完成後的下一個可成交價格；若訊號依賴當日收盤，預設 next open，而不是同一個 close。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Upper barrier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Entry × 1.05（使用者目標）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Lower barrier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建議不要一開始鎖死；測試 -2%、-2.5%、-3% 或 setup/ATR-based stop。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Time barrier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個交易日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Label +1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upper barrier 先碰到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Label -1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lower barrier 先碰到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Label 0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日內兩者皆未碰到（timeout）；另保存 day-10 realized return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Gap rule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若開盤直接穿越 stop/target，成交價應以可實現價格（例如 open）計算，不可假設精準成交在 barrier。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Same-bar ambiguity</w:t>
            </w:r>
          </w:p>
        </w:tc>
        <w:tc>
          <w:tcPr>
            <w:tcW w:type="dxa" w:w="5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若只有日 OHLC，某日 High ≥ target 且 Low ≤ stop，無法知道先後。應使用 intraday data；否則採保守 stop-first 或丟棄樣本並做敏感度分析。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方法學來源　</w:t>
            </w:r>
            <w:r>
              <w:rPr>
                <w:rFonts w:ascii="Noto Sans CJK TC" w:hAnsi="Noto Sans CJK TC" w:eastAsia="Noto Sans CJK TC"/>
                <w:sz w:val="19"/>
              </w:rPr>
              <w:t>López de Prado《Advances in Financial Machine Learning》將 profit-taking、stop-loss、time limit 組成 triple-barrier labeling。這是標籤設計方法，不代表 +5%/-3% 本身有 alpha；barrier 參數仍須由策略目的與風險決定。</w:t>
            </w:r>
          </w:p>
        </w:tc>
      </w:tr>
    </w:tbl>
    <w:p>
      <w:pPr>
        <w:spacing w:after="0"/>
      </w:pPr>
    </w:p>
    <w:p>
      <w:pPr>
        <w:pStyle w:val="Heading1"/>
      </w:pPr>
      <w:r>
        <w:t>8. 回測、資料工程與防洩漏規格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檢查項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原因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優先度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Point-in-time universe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每個歷史日期只能使用當時已上市/可交易股票；要保留後來下市者，避免 survivorship bias。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Corporate actions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拆股、減資、股利等需一致處理；signal feature 與實際交易價格的調整方法要明確。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Event timestamps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財報、公告、分析師修正需有「何時公開」時間；若收盤後才公開，最早可交易時間是下一 session。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Analyst data vintage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不能使用日後回填/修訂後的歷史 consensus；需要 point-in-time snapshot。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M3 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Signal-to-entry lag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 close 計算的訊號，不能同一 close 成交；至少 next open 或 next bar。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Same-day barrier ordering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日 K 同日碰兩 barrier 時不能自行假定順序。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Costs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佣金、稅、bid-ask、滑價、market impact、gap slippage 全部參數化。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Liquidity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績效需依成交額分桶；若 edge 只存在最小/最不流動區間，要視為高風險。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Overlapping labels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日持有使樣本高度重疊；CV 時需 purge/embargo 或以時間 block 驗證。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ML 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Multiple testing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測越多參數越容易找到假 edge；保留 research log 與真正 untouched test set。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Regime segmentation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至少分 bull / bear / high-vol / rebound 或你定義的 regime，確認 edge 是否只在單一時期。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強烈建議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Delisting / halts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下市、停牌、漲跌停或無法成交的歷史狀態要反映在 execution。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依市場必做</w:t>
            </w:r>
          </w:p>
        </w:tc>
      </w:tr>
    </w:tbl>
    <w:p>
      <w:pPr>
        <w:pStyle w:val="Heading2"/>
      </w:pPr>
      <w:r>
        <w:t>8.1 建議的 Walk-forward 驗證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不要隨機打散 train/test。時間序列要按時間切分。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可以用 3–5 年訓練 + 6–12 個月驗證的 rolling window 作起點，再依資料量調整。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每次只用過去資料選參數，下一段時間完全 out-of-sample。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若使用 ML 且 10 日標籤重疊，採 Purged K-Fold / embargo 或嚴格 time blocks。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最後保留一段完全未參與調參的 final holdout。</w:t>
      </w:r>
    </w:p>
    <w:p>
      <w:pPr>
        <w:pStyle w:val="Heading2"/>
      </w:pPr>
      <w:r>
        <w:t>8.2 防止 Backtest Overfitting</w:t>
      </w:r>
    </w:p>
    <w:p>
      <w:r>
        <w:rPr>
          <w:rFonts w:ascii="Noto Sans CJK TC" w:hAnsi="Noto Sans CJK TC" w:eastAsia="Noto Sans CJK TC"/>
          <w:sz w:val="19"/>
        </w:rPr>
        <w:t>Harvey–Liu–Zhu 指出大量因子搜尋會大幅提高假發現風險；Bailey 等人則專門討論 investment backtest 的 overfitting。對這個工具而言，真正危險的是反覆改 RSI、量倍數、MA 天數、stop、target，直到歷史績效漂亮。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先寫 hypothesis，再跑測試；不要先看結果再合理化規則。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記錄所有測過的 feature / threshold，不只保留最好的。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偏好參數平台（parameter plateau）而不是單一尖峰最佳值。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比較簡單 baseline：例如只有 RS + liquidity + barrier 的版本；新增 feature 必須有 OOS 增益。</w:t>
      </w:r>
    </w:p>
    <w:p>
      <w:pPr>
        <w:pStyle w:val="Heading1"/>
      </w:pPr>
      <w:r>
        <w:t>9. 評估指標與模型優化順序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類別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指標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Primary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P(upper first)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日內 +5% 先於 stop 的比例；直接對齊產品目標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Primary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Net expectancy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扣除成本後的平均每筆期望值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Primary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Profit factor / total net P&amp;L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避免只看命中率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Risk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Max drawdown / worst streak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評估策略資金曲線與連敗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Execution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Turnover / cost share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edge 是否被交易成本吃掉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Path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MFE / MAE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最大有利/不利 excursion；協助調 target/stop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Time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Median holding / timeout rate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策略是否真的屬於兩週短線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Model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Precision@TopK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每天/每週只買前 K 名時的品質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Model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Calibration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預測 60% 的股票是否真的約 60% 成功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Robustness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By year / regime / liquidity / sector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確認 edge 不是單期或單族群</w:t>
            </w:r>
          </w:p>
        </w:tc>
      </w:tr>
    </w:tbl>
    <w:p>
      <w:pPr>
        <w:pStyle w:val="Heading2"/>
      </w:pPr>
      <w:r>
        <w:t>9.1 建議的開發順序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先完成乾淨的 point-in-time 資料與 10 日 barrier label；沒有這一步，後面分數沒有意義。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建立 baseline：Liquidity + Market Regime + 簡單 RS / 52W leadership。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分別加入 M1、M2、M3、M4；不要一開始合併。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先測 feature 的增量價值，再測 threshold。優先用連續變數與 percentile，減少拍腦袋門檻。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對每個策略比較「有/無 Sector」、「有/無 Catalyst」、「有/無 Volume」的 OOS 增量。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只有在 OOS 穩定後，才建立 ensemble / Candidate Score；Setup/Trigger/Risk 仍維持規則式 gate。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19"/>
        </w:rPr>
        <w:t>最後才優化 position sizing 與組合層風險。</w:t>
      </w:r>
    </w:p>
    <w:p>
      <w:pPr>
        <w:pStyle w:val="Heading2"/>
      </w:pPr>
      <w:r>
        <w:t>9.2 最小可行版本（MVP）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MVP 欄位　</w:t>
            </w:r>
            <w:r>
              <w:rPr>
                <w:rFonts w:ascii="Noto Sans CJK TC" w:hAnsi="Noto Sans CJK TC" w:eastAsia="Noto Sans CJK TC"/>
                <w:sz w:val="19"/>
              </w:rPr>
              <w:t>ADTV20、Market regime、industry_ret20、rs_mkt20、rs_ind20、high52_ratio、RV20/ATRP、rvol20、event/revision（若有）、setup type、entry/stop/target、10-day barrier label。先不要把 RSI/MACD/KD 全塞進去。</w:t>
            </w:r>
          </w:p>
        </w:tc>
      </w:tr>
    </w:tbl>
    <w:p>
      <w:pPr>
        <w:spacing w:after="0"/>
      </w:pPr>
    </w:p>
    <w:p>
      <w:pPr>
        <w:pStyle w:val="Heading1"/>
      </w:pPr>
      <w:r>
        <w:t>10. 來源與證據等級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等級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來源</w:t>
            </w:r>
          </w:p>
        </w:tc>
        <w:tc>
          <w:tcPr>
            <w:tcW w:type="dxa" w:w="3400"/>
            <w:vAlign w:val="center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本文件採用方式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Jegadeesh, N. &amp; Titman, S. (1993). Returns to Buying Winners and Selling Losers. Journal of Finance 48(1), 65–91. DOI 10.1111/j.1540-6261.1993.tb04702.x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經典 momentum：3–12 月持有期正報酬；不直接等同 10 日。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George, T. J. &amp; Hwang, C.-Y. (2004). The 52-Week High and Momentum Investing. Journal of Finance 59(5), 2145–2176. DOI 10.1111/j.1540-6261.2004.00695.x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52 週高點接近度可解釋 momentum 的一大部分。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Moskowitz, T. J. &amp; Grinblatt, M. (1999). Do Industries Explain Momentum? Journal of Finance 54(4), 1249–1290. DOI 10.1111/0022-1082.00146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產業 momentum 是個股 momentum 的重要來源。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Daniel, K. &amp; Moskowitz, T. J. (2016). Momentum Crashes. Journal of Financial Economics 122(2), 221–247; NBER WP 20439.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panic 後高波動與市場 rebound 時 momentum crash 風險提高。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Nagel, S. (2012). Evaporating Liquidity. Review of Financial Studies 25(7), 2005–2039. DOI 10.1093/rfs/hhs066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短期 reversal 可與 liquidity provision 報酬連結。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A-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Chen, C., Cohen, A., Liang, Q. &amp; Sun, L. (2025). Maxing out short-term reversals in weekly stock returns. Journal of Empirical Finance 82, 101608. DOI 10.1016/j.jempfin.2025.101608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weekly reversal 在 high-MAX、小型、低流動性、散戶 imbalance 高的股票更強。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Bernard, V. L. &amp; Thomas, J. K. (1989). Post-Earnings-Announcement Drift: Delayed Price Response or Risk Premium? Journal of Accounting Research 27, 1–36. DOI 10.2307/2491062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PEAD 經典證據。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B+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Yang, J. T., Lin, M.-Y. &amp; Chang, J.-R. (2026). Profit from analysts’ earnings forecasts consensus? Evidence from Taiwan stock market. Finance Research Letters 88, 109164. DOI 10.1016/j.frl.2025.109164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台灣：FEG 上修 portfolio 月超額 2.11%，效果可持續約一個月。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López de Prado, M. (2018). Advances in Financial Machine Learning. Wiley. Chapter 3: Triple-Barrier Method; Chapters 7/12: purged CV/backtesting.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標籤與驗證方法學；不是特定 alpha 證據。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A-/B+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Bailey, D. H. et al. (2017). The Probability of Backtest Overfitting. Journal of Computational Finance 20(4), 39–69. DOI 10.21314/JCF.2016.322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提醒回測過度擬合與多次策略搜尋風險。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Harvey, C. R., Liu, Y. &amp; Zhu, H. (2016). …and the Cross-Section of Expected Returns. Review of Financial Studies 29(1), 5–68; NBER WP 20592.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多重檢定/因子挖掘提高假發現風險。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Investor’s Business Daily / O’Neil educational material (2008). Breakout volume heuristic: breakout day daily volume minimum +40%–50% above average.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可確認是 IBD 方法；不是普遍最佳門檻。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Charles Schwab (2025–2026), swing trading education: bounce / breakout, support/resistance, stops; bull flag breakout with increased volume.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常見 swing framework 與風控範例。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Fidelity, Average True Range technical indicator guide.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ATR 定義、用途與 true range 計算；支持 ATR 用於 range volatility / stops。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O’Neil, W. J. (2009). How to Make Money in Stocks, 4th ed. McGraw-Hill.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 SLIM / growth-breakout practitioner framework。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Minervini, M. (2013). Trade Like a Stock Market Wizard. McGraw-Hill.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SEPA / trend / leadership / risk practitioner framework。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Weinstein, S. (1988). Secrets for Profiting in Bull and Bear Markets. McGraw-Hill.</w:t>
            </w:r>
          </w:p>
        </w:tc>
        <w:tc>
          <w:tcPr>
            <w:tcW w:type="dxa" w:w="34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Stage analysis practitioner framework；原設計偏中期/週線。</w:t>
            </w:r>
          </w:p>
        </w:tc>
      </w:tr>
    </w:tbl>
    <w:p>
      <w:pPr>
        <w:pStyle w:val="Heading2"/>
      </w:pPr>
      <w:r>
        <w:t>10.1 可查證網址</w:t>
      </w:r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Jegadeesh &amp; Titman 1993：</w:t>
      </w:r>
      <w:hyperlink r:id="rId11">
        <w:r>
          <w:rPr>
            <w:color w:val="0563C1"/>
            <w:u w:val="single"/>
            <w:rFonts w:ascii="Noto Sans CJK TC" w:hAnsi="Noto Sans CJK TC" w:eastAsia="Noto Sans CJK TC"/>
          </w:rPr>
          <w:t>https://onlinelibrary.wiley.com/doi/10.1111/j.1540-6261.1993.tb04702.x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George &amp; Hwang 2004：</w:t>
      </w:r>
      <w:hyperlink r:id="rId12">
        <w:r>
          <w:rPr>
            <w:color w:val="0563C1"/>
            <w:u w:val="single"/>
            <w:rFonts w:ascii="Noto Sans CJK TC" w:hAnsi="Noto Sans CJK TC" w:eastAsia="Noto Sans CJK TC"/>
          </w:rPr>
          <w:t>https://onlinelibrary.wiley.com/doi/10.1111/j.1540-6261.2004.00695.x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Moskowitz &amp; Grinblatt 1999：</w:t>
      </w:r>
      <w:hyperlink r:id="rId13">
        <w:r>
          <w:rPr>
            <w:color w:val="0563C1"/>
            <w:u w:val="single"/>
            <w:rFonts w:ascii="Noto Sans CJK TC" w:hAnsi="Noto Sans CJK TC" w:eastAsia="Noto Sans CJK TC"/>
          </w:rPr>
          <w:t>https://onlinelibrary.wiley.com/doi/10.1111/0022-1082.00146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Daniel &amp; Moskowitz / NBER：</w:t>
      </w:r>
      <w:hyperlink r:id="rId14">
        <w:r>
          <w:rPr>
            <w:color w:val="0563C1"/>
            <w:u w:val="single"/>
            <w:rFonts w:ascii="Noto Sans CJK TC" w:hAnsi="Noto Sans CJK TC" w:eastAsia="Noto Sans CJK TC"/>
          </w:rPr>
          <w:t>https://www.nber.org/papers/w20439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Nagel 2012：</w:t>
      </w:r>
      <w:hyperlink r:id="rId15">
        <w:r>
          <w:rPr>
            <w:color w:val="0563C1"/>
            <w:u w:val="single"/>
            <w:rFonts w:ascii="Noto Sans CJK TC" w:hAnsi="Noto Sans CJK TC" w:eastAsia="Noto Sans CJK TC"/>
          </w:rPr>
          <w:t>https://academic.oup.com/rfs/article-abstract/25/7/2005/1602153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Chen et al. 2025 weekly reversal：</w:t>
      </w:r>
      <w:hyperlink r:id="rId16">
        <w:r>
          <w:rPr>
            <w:color w:val="0563C1"/>
            <w:u w:val="single"/>
            <w:rFonts w:ascii="Noto Sans CJK TC" w:hAnsi="Noto Sans CJK TC" w:eastAsia="Noto Sans CJK TC"/>
          </w:rPr>
          <w:t>https://www.sciencedirect.com/science/article/pii/S0927539825000301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Bernard &amp; Thomas 1989：</w:t>
      </w:r>
      <w:hyperlink r:id="rId17">
        <w:r>
          <w:rPr>
            <w:color w:val="0563C1"/>
            <w:u w:val="single"/>
            <w:rFonts w:ascii="Noto Sans CJK TC" w:hAnsi="Noto Sans CJK TC" w:eastAsia="Noto Sans CJK TC"/>
          </w:rPr>
          <w:t>https://www.jstor.org/stable/2491062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Taiwan analyst revisions 2026：</w:t>
      </w:r>
      <w:hyperlink r:id="rId18">
        <w:r>
          <w:rPr>
            <w:color w:val="0563C1"/>
            <w:u w:val="single"/>
            <w:rFonts w:ascii="Noto Sans CJK TC" w:hAnsi="Noto Sans CJK TC" w:eastAsia="Noto Sans CJK TC"/>
          </w:rPr>
          <w:t>https://www.sciencedirect.com/science/article/abs/pii/S1544612325024134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López de Prado book：</w:t>
      </w:r>
      <w:hyperlink r:id="rId19">
        <w:r>
          <w:rPr>
            <w:color w:val="0563C1"/>
            <w:u w:val="single"/>
            <w:rFonts w:ascii="Noto Sans CJK TC" w:hAnsi="Noto Sans CJK TC" w:eastAsia="Noto Sans CJK TC"/>
          </w:rPr>
          <w:t>https://www.oreilly.com/library/view/advances-in-financial/9781119482086/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Backtest overfitting：</w:t>
      </w:r>
      <w:hyperlink r:id="rId20">
        <w:r>
          <w:rPr>
            <w:color w:val="0563C1"/>
            <w:u w:val="single"/>
            <w:rFonts w:ascii="Noto Sans CJK TC" w:hAnsi="Noto Sans CJK TC" w:eastAsia="Noto Sans CJK TC"/>
          </w:rPr>
          <w:t>https://escholarship.org/uc/item/4w1110bb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Harvey–Liu–Zhu / NBER：</w:t>
      </w:r>
      <w:hyperlink r:id="rId21">
        <w:r>
          <w:rPr>
            <w:color w:val="0563C1"/>
            <w:u w:val="single"/>
            <w:rFonts w:ascii="Noto Sans CJK TC" w:hAnsi="Noto Sans CJK TC" w:eastAsia="Noto Sans CJK TC"/>
          </w:rPr>
          <w:t>https://www.nber.org/papers/w20592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IBD breakout volume PDF：</w:t>
      </w:r>
      <w:hyperlink r:id="rId22">
        <w:r>
          <w:rPr>
            <w:color w:val="0563C1"/>
            <w:u w:val="single"/>
            <w:rFonts w:ascii="Noto Sans CJK TC" w:hAnsi="Noto Sans CJK TC" w:eastAsia="Noto Sans CJK TC"/>
          </w:rPr>
          <w:t>https://shop.investors.com/images/promotional/flat-b-b_112408.pdf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Schwab swing trade：</w:t>
      </w:r>
      <w:hyperlink r:id="rId23">
        <w:r>
          <w:rPr>
            <w:color w:val="0563C1"/>
            <w:u w:val="single"/>
            <w:rFonts w:ascii="Noto Sans CJK TC" w:hAnsi="Noto Sans CJK TC" w:eastAsia="Noto Sans CJK TC"/>
          </w:rPr>
          <w:t>https://www.schwab.com/learn/story/ins-and-outs-swing-trade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Fidelity ATR：</w:t>
      </w:r>
      <w:hyperlink r:id="rId24">
        <w:r>
          <w:rPr>
            <w:color w:val="0563C1"/>
            <w:u w:val="single"/>
            <w:rFonts w:ascii="Noto Sans CJK TC" w:hAnsi="Noto Sans CJK TC" w:eastAsia="Noto Sans CJK TC"/>
          </w:rPr>
          <w:t>https://www.fidelity.com/learning-center/trading-investing/technical-analysis/technical-indicator-guide/atr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Minervini publisher page：</w:t>
      </w:r>
      <w:hyperlink r:id="rId25">
        <w:r>
          <w:rPr>
            <w:color w:val="0563C1"/>
            <w:u w:val="single"/>
            <w:rFonts w:ascii="Noto Sans CJK TC" w:hAnsi="Noto Sans CJK TC" w:eastAsia="Noto Sans CJK TC"/>
          </w:rPr>
          <w:t>https://www.mheducation.com/highered/mhp/product/trade-like-stock-market-wizard-how-achieve-super-performance-stocks-any-market.html</w:t>
        </w:r>
      </w:hyperlink>
    </w:p>
    <w:p>
      <w:pPr>
        <w:spacing w:after="40"/>
      </w:pPr>
      <w:r>
        <w:rPr>
          <w:rFonts w:ascii="Noto Sans CJK TC" w:hAnsi="Noto Sans CJK TC" w:eastAsia="Noto Sans CJK TC"/>
          <w:b/>
          <w:sz w:val="16"/>
        </w:rPr>
        <w:t>O’Neil publisher page：</w:t>
      </w:r>
      <w:hyperlink r:id="rId26">
        <w:r>
          <w:rPr>
            <w:color w:val="0563C1"/>
            <w:u w:val="single"/>
            <w:rFonts w:ascii="Noto Sans CJK TC" w:hAnsi="Noto Sans CJK TC" w:eastAsia="Noto Sans CJK TC"/>
          </w:rPr>
          <w:t>https://www.mheducation.com/highered/mhp/product/how-make-money-stocks-winning-system-good-times-or-bad.html</w:t>
        </w:r>
      </w:hyperlink>
    </w:p>
    <w:p>
      <w:pPr>
        <w:pStyle w:val="Heading1"/>
      </w:pPr>
      <w:r>
        <w:t>附錄 A｜實作 Checklist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歷史 universe 包含後來下市股票，不只用今天的上市清單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所有 fundamental / analyst features 都是 point-in-time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close-based signal 的 entry 不在同一 close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10-day barrier 同日碰上下界時有明確 ambiguity rule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gap through stop 以可成交價計算，不假設精準 stop fill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transaction cost / tax / spread / slippage 參數化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M1/M2/M3/M4 分開回測，不先混成一個分數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Candidate ranking 與 Setup/Trigger/Risk gate 分離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RSI/MACD/KD 等同質指標先做 redundancy 檢查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volume threshold、MA 距離、stop 等門檻做 sensitivity grid，而非單點最佳化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使用 walk-forward / purged time validation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保留 final untouched holdout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報告 net expectancy、MFE/MAE、timeout、drawdown，不只看勝率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依年份、regime、sector、size/liquidity 分桶檢查穩健性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9"/>
        </w:rPr>
        <w:t>□ 新增 feature 必須證明 OOS incremental value 才保留</w:t>
      </w:r>
    </w:p>
    <w:p>
      <w:pPr>
        <w:pStyle w:val="Heading1"/>
      </w:pPr>
      <w:r>
        <w:t>附錄 B｜推薦的工具輸出欄位</w:t>
      </w:r>
    </w:p>
    <w:p>
      <w:r>
        <w:rPr>
          <w:rFonts w:ascii="Noto Sans Mono CJK TC" w:hAnsi="Noto Sans Mono CJK TC" w:eastAsia="Noto Sans Mono CJK TC"/>
          <w:sz w:val="16"/>
        </w:rPr>
        <w:t>ticker, signal_date, strategy_type, market_regime, sector, ADTV20, rs_mkt20, rs_ind20, industry_ret20, high52_ratio, rvol20, rv20_daily, atrp14, ext_ma20_atr, range10_atr, days_since_event, earnings_surprise, revision_30d, setup_pass, trigger_pass, entry_price, stop_price, target_price, risk_pct, target_pct, label_10d, first_touch_day, realized_return_10d, MFE_10d, MAE_10d, estimated_cost, net_pnl, model_probability, model_version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tblHeader w:val="true"/>
        </w:trPr>
        <w:tc>
          <w:tcPr>
            <w:tcW w:type="dxa" w:w="10200"/>
            <w:shd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 xml:space="preserve">建議下一步　</w:t>
            </w:r>
            <w:r>
              <w:rPr>
                <w:rFonts w:ascii="Noto Sans CJK TC" w:hAnsi="Noto Sans CJK TC" w:eastAsia="Noto Sans CJK TC"/>
                <w:sz w:val="19"/>
              </w:rPr>
              <w:t>如果要真正優化選股工具，先用這份規格建立「乾淨標籤 + baseline」，再逐一做 feature ablation。不要從調 RSI 參數開始；先確認資料時間戳與 barrier execution 正確，通常這對結果的影響更大。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46464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646464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7878"/>
        <w:sz w:val="16"/>
      </w:rPr>
      <w:t>短線選股工具｜研究驗證與實作規格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5F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nlinelibrary.wiley.com/doi/10.1111/j.1540-6261.1993.tb04702.x" TargetMode="External"/><Relationship Id="rId12" Type="http://schemas.openxmlformats.org/officeDocument/2006/relationships/hyperlink" Target="https://onlinelibrary.wiley.com/doi/10.1111/j.1540-6261.2004.00695.x" TargetMode="External"/><Relationship Id="rId13" Type="http://schemas.openxmlformats.org/officeDocument/2006/relationships/hyperlink" Target="https://onlinelibrary.wiley.com/doi/10.1111/0022-1082.00146" TargetMode="External"/><Relationship Id="rId14" Type="http://schemas.openxmlformats.org/officeDocument/2006/relationships/hyperlink" Target="https://www.nber.org/papers/w20439" TargetMode="External"/><Relationship Id="rId15" Type="http://schemas.openxmlformats.org/officeDocument/2006/relationships/hyperlink" Target="https://academic.oup.com/rfs/article-abstract/25/7/2005/1602153" TargetMode="External"/><Relationship Id="rId16" Type="http://schemas.openxmlformats.org/officeDocument/2006/relationships/hyperlink" Target="https://www.sciencedirect.com/science/article/pii/S0927539825000301" TargetMode="External"/><Relationship Id="rId17" Type="http://schemas.openxmlformats.org/officeDocument/2006/relationships/hyperlink" Target="https://www.jstor.org/stable/2491062" TargetMode="External"/><Relationship Id="rId18" Type="http://schemas.openxmlformats.org/officeDocument/2006/relationships/hyperlink" Target="https://www.sciencedirect.com/science/article/abs/pii/S1544612325024134" TargetMode="External"/><Relationship Id="rId19" Type="http://schemas.openxmlformats.org/officeDocument/2006/relationships/hyperlink" Target="https://www.oreilly.com/library/view/advances-in-financial/9781119482086/" TargetMode="External"/><Relationship Id="rId20" Type="http://schemas.openxmlformats.org/officeDocument/2006/relationships/hyperlink" Target="https://escholarship.org/uc/item/4w1110bb" TargetMode="External"/><Relationship Id="rId21" Type="http://schemas.openxmlformats.org/officeDocument/2006/relationships/hyperlink" Target="https://www.nber.org/papers/w20592" TargetMode="External"/><Relationship Id="rId22" Type="http://schemas.openxmlformats.org/officeDocument/2006/relationships/hyperlink" Target="https://shop.investors.com/images/promotional/flat-b-b_112408.pdf" TargetMode="External"/><Relationship Id="rId23" Type="http://schemas.openxmlformats.org/officeDocument/2006/relationships/hyperlink" Target="https://www.schwab.com/learn/story/ins-and-outs-swing-trade" TargetMode="External"/><Relationship Id="rId24" Type="http://schemas.openxmlformats.org/officeDocument/2006/relationships/hyperlink" Target="https://www.fidelity.com/learning-center/trading-investing/technical-analysis/technical-indicator-guide/atr" TargetMode="External"/><Relationship Id="rId25" Type="http://schemas.openxmlformats.org/officeDocument/2006/relationships/hyperlink" Target="https://www.mheducation.com/highered/mhp/product/trade-like-stock-market-wizard-how-achieve-super-performance-stocks-any-market.html" TargetMode="External"/><Relationship Id="rId26" Type="http://schemas.openxmlformats.org/officeDocument/2006/relationships/hyperlink" Target="https://www.mheducation.com/highered/mhp/product/how-make-money-stocks-winning-system-good-times-or-b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