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COMPLIANCE AUDIT REPORT</w:t>
      </w:r>
    </w:p>
    <w:p>
      <w:r>
        <w:t>Developed by HSINI MOHAMED</w:t>
      </w:r>
    </w:p>
    <w:p>
      <w:pPr>
        <w:pStyle w:val="Heading1"/>
      </w:pPr>
      <w:r>
        <w:t>Audit Summary</w:t>
      </w:r>
    </w:p>
    <w:p>
      <w:r>
        <w:t>Framework: ISO 27001:2022</w:t>
      </w:r>
    </w:p>
    <w:p>
      <w:r>
        <w:t>Overall Compliance Score: 68%</w:t>
      </w:r>
    </w:p>
    <w:p>
      <w:pPr>
        <w:pStyle w:val="Heading1"/>
      </w:pPr>
      <w:r>
        <w:t>Identified Gaps</w:t>
      </w:r>
    </w:p>
    <w:p>
      <w:pPr>
        <w:pStyle w:val="ListBullet"/>
      </w:pPr>
      <w:r>
        <w:t>A.8.1: User Endpoint Devices (Missing Registry Policy)</w:t>
      </w:r>
    </w:p>
    <w:p>
      <w:pPr>
        <w:pStyle w:val="ListBullet"/>
      </w:pPr>
      <w:r>
        <w:t>A.12.1: Operational Procedures (Manual Documentation Required)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