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맑은 고딕" w:cs="맑은 고딕" w:eastAsia="맑은 고딕" w:hAnsi="맑은 고딕"/>
          <w:b/>
          <w:bCs/>
          <w:color w:val="1E2761"/>
          <w:sz w:val="32"/>
          <w:szCs w:val="32"/>
        </w:rPr>
        <w:t xml:space="preserve">Omni-Steering 비교군 재실험 — 최종 결과 보고</w:t>
      </w:r>
    </w:p>
    <w:p>
      <w:pPr>
        <w:spacing w:after="240" w:before="0"/>
      </w:pPr>
      <w:r>
        <w:rPr>
          <w:rFonts w:ascii="맑은 고딕" w:cs="맑은 고딕" w:eastAsia="맑은 고딕" w:hAnsi="맑은 고딕"/>
          <w:color w:val="6B7280"/>
          <w:sz w:val="19"/>
          <w:szCs w:val="19"/>
        </w:rPr>
        <w:t xml:space="preserve">VideoLLaMA2-AV · Qwen2.5-Omni-7B  ×  Base / VCD / AVCD / MAD  ×  CMM · AVHBench</w:t>
      </w:r>
    </w:p>
    <w:p>
      <w:pPr>
        <w:pStyle w:val="Heading1"/>
        <w:spacing w:after="130" w:before="260"/>
      </w:pPr>
      <w:r>
        <w:rPr>
          <w:rFonts w:ascii="맑은 고딕" w:cs="맑은 고딕" w:eastAsia="맑은 고딕" w:hAnsi="맑은 고딕"/>
          <w:b/>
          <w:bCs/>
          <w:color w:val="1E2761"/>
          <w:sz w:val="28"/>
          <w:szCs w:val="28"/>
        </w:rPr>
        <w:t xml:space="preserve">1. 개요</w:t>
      </w:r>
    </w:p>
    <w:p>
      <w:pPr>
        <w:spacing w:after="8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Ours와 동일한 조건(동일 체크포인트·디코딩·채점·입력 규약)에서 비교군 4종을 전량 재실험하여, Ours 결과와 직접 비교 가능한 수치를 확보했습니다. 총 18,476건의 예측을 수행했습니다.</w:t>
      </w:r>
    </w:p>
    <w:p>
      <w:pPr>
        <w:spacing w:after="160" w:before="0"/>
      </w:pPr>
      <w:r>
        <w:rPr>
          <w:rFonts w:ascii="맑은 고딕" w:cs="맑은 고딕" w:eastAsia="맑은 고딕" w:hAnsi="맑은 고딕"/>
          <w:b/>
          <w:bCs/>
          <w:color w:val="1E8449"/>
          <w:sz w:val="20"/>
          <w:szCs w:val="20"/>
        </w:rPr>
        <w:t xml:space="preserve">핵심: </w:t>
      </w:r>
      <w:r>
        <w:rPr>
          <w:rFonts w:ascii="맑은 고딕" w:cs="맑은 고딕" w:eastAsia="맑은 고딕" w:hAnsi="맑은 고딕"/>
          <w:sz w:val="20"/>
          <w:szCs w:val="20"/>
        </w:rPr>
        <w:t xml:space="preserve">Baseline은 선배님 Ours(Base) 실측과 전 지표 ±1.4%p 이내로 일치하며, 동일 샘플 단위 예측 일치율은 98~99.5%입니다. 즉 이 표의 모든 행은 Ours와 같은 기준에서 측정된 값입니다.</w:t>
      </w:r>
    </w:p>
    <w:p>
      <w:pPr>
        <w:pStyle w:val="Heading1"/>
        <w:spacing w:after="130" w:before="260"/>
      </w:pPr>
      <w:r>
        <w:rPr>
          <w:rFonts w:ascii="맑은 고딕" w:cs="맑은 고딕" w:eastAsia="맑은 고딕" w:hAnsi="맑은 고딕"/>
          <w:b/>
          <w:bCs/>
          <w:color w:val="1E2761"/>
          <w:sz w:val="28"/>
          <w:szCs w:val="28"/>
        </w:rPr>
        <w:t xml:space="preserve">2. 최종 수치표 (Accuracy, %)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950"/>
        <w:gridCol w:w="880"/>
        <w:gridCol w:w="880"/>
        <w:gridCol w:w="950"/>
        <w:gridCol w:w="1000"/>
        <w:gridCol w:w="900"/>
        <w:gridCol w:w="900"/>
        <w:gridCol w:w="1066"/>
      </w:tblGrid>
      <w:tr>
        <w:trPr>
          <w:tblHeader/>
        </w:trPr>
        <w:tc>
          <w:tcPr>
            <w:tcW w:type="dxa" w:w="1500"/>
            <w:shd w:fill="1E276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Model</w:t>
            </w:r>
          </w:p>
        </w:tc>
        <w:tc>
          <w:tcPr>
            <w:tcW w:type="dxa" w:w="950"/>
            <w:shd w:fill="1E276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Method</w:t>
            </w:r>
          </w:p>
        </w:tc>
        <w:tc>
          <w:tcPr>
            <w:tcW w:type="dxa" w:w="880"/>
            <w:shd w:fill="1E276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Visual</w:t>
            </w:r>
          </w:p>
        </w:tc>
        <w:tc>
          <w:tcPr>
            <w:tcW w:type="dxa" w:w="880"/>
            <w:shd w:fill="1E276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Audio</w:t>
            </w:r>
          </w:p>
        </w:tc>
        <w:tc>
          <w:tcPr>
            <w:tcW w:type="dxa" w:w="950"/>
            <w:shd w:fill="1E276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Language</w:t>
            </w:r>
          </w:p>
        </w:tc>
        <w:tc>
          <w:tcPr>
            <w:tcW w:type="dxa" w:w="1000"/>
            <w:shd w:fill="1E276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CMM Overall</w:t>
            </w:r>
          </w:p>
        </w:tc>
        <w:tc>
          <w:tcPr>
            <w:tcW w:type="dxa" w:w="900"/>
            <w:shd w:fill="1E276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Video-Driven</w:t>
            </w:r>
          </w:p>
        </w:tc>
        <w:tc>
          <w:tcPr>
            <w:tcW w:type="dxa" w:w="900"/>
            <w:shd w:fill="1E276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Audio-Driven</w:t>
            </w:r>
          </w:p>
        </w:tc>
        <w:tc>
          <w:tcPr>
            <w:tcW w:type="dxa" w:w="1066"/>
            <w:shd w:fill="1E276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AVH Overall</w:t>
            </w:r>
          </w:p>
        </w:tc>
      </w:tr>
      <w:tr>
        <w:tc>
          <w:tcPr>
            <w:tcW w:type="dxa" w:w="1500"/>
            <w:shd w:fill="E8F5E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VideoLLaMA2-AV</w:t>
            </w:r>
          </w:p>
        </w:tc>
        <w:tc>
          <w:tcPr>
            <w:tcW w:type="dxa" w:w="950"/>
            <w:shd w:fill="E8F5E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Baseline</w:t>
            </w:r>
          </w:p>
        </w:tc>
        <w:tc>
          <w:tcPr>
            <w:tcW w:type="dxa" w:w="880"/>
            <w:shd w:fill="E8F5E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72.5</w:t>
            </w:r>
          </w:p>
        </w:tc>
        <w:tc>
          <w:tcPr>
            <w:tcW w:type="dxa" w:w="880"/>
            <w:shd w:fill="E8F5E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79.2</w:t>
            </w:r>
          </w:p>
        </w:tc>
        <w:tc>
          <w:tcPr>
            <w:tcW w:type="dxa" w:w="950"/>
            <w:shd w:fill="E8F5E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68.8</w:t>
            </w:r>
          </w:p>
        </w:tc>
        <w:tc>
          <w:tcPr>
            <w:tcW w:type="dxa" w:w="1000"/>
            <w:shd w:fill="E8F5E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73.5</w:t>
            </w:r>
          </w:p>
        </w:tc>
        <w:tc>
          <w:tcPr>
            <w:tcW w:type="dxa" w:w="900"/>
            <w:shd w:fill="E8F5E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75.6</w:t>
            </w:r>
          </w:p>
        </w:tc>
        <w:tc>
          <w:tcPr>
            <w:tcW w:type="dxa" w:w="900"/>
            <w:shd w:fill="E8F5E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78.8</w:t>
            </w:r>
          </w:p>
        </w:tc>
        <w:tc>
          <w:tcPr>
            <w:tcW w:type="dxa" w:w="1066"/>
            <w:shd w:fill="E8F5E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76.7</w:t>
            </w:r>
          </w:p>
        </w:tc>
      </w:tr>
      <w:tr>
        <w:tc>
          <w:tcPr>
            <w:tcW w:type="dxa" w:w="1500"/>
            <w:shd w:fill="E8F5E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/>
            </w:r>
          </w:p>
        </w:tc>
        <w:tc>
          <w:tcPr>
            <w:tcW w:type="dxa" w:w="950"/>
            <w:shd w:fill="E8F5E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+ VCD</w:t>
            </w:r>
          </w:p>
        </w:tc>
        <w:tc>
          <w:tcPr>
            <w:tcW w:type="dxa" w:w="880"/>
            <w:shd w:fill="E8F5E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69.0</w:t>
            </w:r>
          </w:p>
        </w:tc>
        <w:tc>
          <w:tcPr>
            <w:tcW w:type="dxa" w:w="880"/>
            <w:shd w:fill="E8F5E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83.0</w:t>
            </w:r>
          </w:p>
        </w:tc>
        <w:tc>
          <w:tcPr>
            <w:tcW w:type="dxa" w:w="950"/>
            <w:shd w:fill="E8F5E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77.3</w:t>
            </w:r>
          </w:p>
        </w:tc>
        <w:tc>
          <w:tcPr>
            <w:tcW w:type="dxa" w:w="1000"/>
            <w:shd w:fill="E8F5E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76.4</w:t>
            </w:r>
          </w:p>
        </w:tc>
        <w:tc>
          <w:tcPr>
            <w:tcW w:type="dxa" w:w="900"/>
            <w:shd w:fill="E8F5E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69.6</w:t>
            </w:r>
          </w:p>
        </w:tc>
        <w:tc>
          <w:tcPr>
            <w:tcW w:type="dxa" w:w="900"/>
            <w:shd w:fill="E8F5E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78.5</w:t>
            </w:r>
          </w:p>
        </w:tc>
        <w:tc>
          <w:tcPr>
            <w:tcW w:type="dxa" w:w="1066"/>
            <w:shd w:fill="E8F5E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72.5</w:t>
            </w:r>
          </w:p>
        </w:tc>
      </w:tr>
      <w:tr>
        <w:tc>
          <w:tcPr>
            <w:tcW w:type="dxa" w:w="1500"/>
            <w:shd w:fill="E8F5E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/>
            </w:r>
          </w:p>
        </w:tc>
        <w:tc>
          <w:tcPr>
            <w:tcW w:type="dxa" w:w="950"/>
            <w:shd w:fill="E8F5E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+ AVCD</w:t>
            </w:r>
          </w:p>
        </w:tc>
        <w:tc>
          <w:tcPr>
            <w:tcW w:type="dxa" w:w="880"/>
            <w:shd w:fill="E8F5E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71.8</w:t>
            </w:r>
          </w:p>
        </w:tc>
        <w:tc>
          <w:tcPr>
            <w:tcW w:type="dxa" w:w="880"/>
            <w:shd w:fill="E8F5E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81.8</w:t>
            </w:r>
          </w:p>
        </w:tc>
        <w:tc>
          <w:tcPr>
            <w:tcW w:type="dxa" w:w="950"/>
            <w:shd w:fill="E8F5E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70.5</w:t>
            </w:r>
          </w:p>
        </w:tc>
        <w:tc>
          <w:tcPr>
            <w:tcW w:type="dxa" w:w="1000"/>
            <w:shd w:fill="E8F5E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74.7</w:t>
            </w:r>
          </w:p>
        </w:tc>
        <w:tc>
          <w:tcPr>
            <w:tcW w:type="dxa" w:w="900"/>
            <w:shd w:fill="E8F5E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76.3</w:t>
            </w:r>
          </w:p>
        </w:tc>
        <w:tc>
          <w:tcPr>
            <w:tcW w:type="dxa" w:w="900"/>
            <w:shd w:fill="E8F5E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79.2</w:t>
            </w:r>
          </w:p>
        </w:tc>
        <w:tc>
          <w:tcPr>
            <w:tcW w:type="dxa" w:w="1066"/>
            <w:shd w:fill="E8F5E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77.2</w:t>
            </w:r>
          </w:p>
        </w:tc>
      </w:tr>
      <w:tr>
        <w:tc>
          <w:tcPr>
            <w:tcW w:type="dxa" w:w="1500"/>
            <w:shd w:fill="E8F5E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/>
            </w:r>
          </w:p>
        </w:tc>
        <w:tc>
          <w:tcPr>
            <w:tcW w:type="dxa" w:w="950"/>
            <w:shd w:fill="E8F5E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+ MAD</w:t>
            </w:r>
          </w:p>
        </w:tc>
        <w:tc>
          <w:tcPr>
            <w:tcW w:type="dxa" w:w="880"/>
            <w:shd w:fill="E8F5E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82.3</w:t>
            </w:r>
          </w:p>
        </w:tc>
        <w:tc>
          <w:tcPr>
            <w:tcW w:type="dxa" w:w="880"/>
            <w:shd w:fill="E8F5E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83.3</w:t>
            </w:r>
          </w:p>
        </w:tc>
        <w:tc>
          <w:tcPr>
            <w:tcW w:type="dxa" w:w="950"/>
            <w:shd w:fill="E8F5E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76.5</w:t>
            </w:r>
          </w:p>
        </w:tc>
        <w:tc>
          <w:tcPr>
            <w:tcW w:type="dxa" w:w="1000"/>
            <w:shd w:fill="E8F5E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80.7</w:t>
            </w:r>
          </w:p>
        </w:tc>
        <w:tc>
          <w:tcPr>
            <w:tcW w:type="dxa" w:w="900"/>
            <w:shd w:fill="E8F5E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78.1</w:t>
            </w:r>
          </w:p>
        </w:tc>
        <w:tc>
          <w:tcPr>
            <w:tcW w:type="dxa" w:w="900"/>
            <w:shd w:fill="E8F5E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78.4</w:t>
            </w:r>
          </w:p>
        </w:tc>
        <w:tc>
          <w:tcPr>
            <w:tcW w:type="dxa" w:w="1066"/>
            <w:shd w:fill="E8F5E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78.2</w:t>
            </w:r>
          </w:p>
        </w:tc>
      </w:tr>
      <w:tr>
        <w:tc>
          <w:tcPr>
            <w:tcW w:type="dxa" w:w="1500"/>
            <w:shd w:fill="E8F5E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Qwen2.5-Omni-7B</w:t>
            </w:r>
          </w:p>
        </w:tc>
        <w:tc>
          <w:tcPr>
            <w:tcW w:type="dxa" w:w="950"/>
            <w:shd w:fill="E8F5E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Baseline</w:t>
            </w:r>
          </w:p>
        </w:tc>
        <w:tc>
          <w:tcPr>
            <w:tcW w:type="dxa" w:w="880"/>
            <w:shd w:fill="E8F5E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69.0</w:t>
            </w:r>
          </w:p>
        </w:tc>
        <w:tc>
          <w:tcPr>
            <w:tcW w:type="dxa" w:w="880"/>
            <w:shd w:fill="E8F5E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70.0</w:t>
            </w:r>
          </w:p>
        </w:tc>
        <w:tc>
          <w:tcPr>
            <w:tcW w:type="dxa" w:w="950"/>
            <w:shd w:fill="E8F5E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81.2</w:t>
            </w:r>
          </w:p>
        </w:tc>
        <w:tc>
          <w:tcPr>
            <w:tcW w:type="dxa" w:w="1000"/>
            <w:shd w:fill="E8F5E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73.4</w:t>
            </w:r>
          </w:p>
        </w:tc>
        <w:tc>
          <w:tcPr>
            <w:tcW w:type="dxa" w:w="900"/>
            <w:shd w:fill="E8F5E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73.1</w:t>
            </w:r>
          </w:p>
        </w:tc>
        <w:tc>
          <w:tcPr>
            <w:tcW w:type="dxa" w:w="900"/>
            <w:shd w:fill="E8F5E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80.3</w:t>
            </w:r>
          </w:p>
        </w:tc>
        <w:tc>
          <w:tcPr>
            <w:tcW w:type="dxa" w:w="1066"/>
            <w:shd w:fill="E8F5E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75.5</w:t>
            </w:r>
          </w:p>
        </w:tc>
      </w:tr>
      <w:tr>
        <w:tc>
          <w:tcPr>
            <w:tcW w:type="dxa" w:w="1500"/>
            <w:shd w:fill="FDF3E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/>
            </w:r>
          </w:p>
        </w:tc>
        <w:tc>
          <w:tcPr>
            <w:tcW w:type="dxa" w:w="950"/>
            <w:shd w:fill="FDF3E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+ VCD</w:t>
            </w:r>
          </w:p>
        </w:tc>
        <w:tc>
          <w:tcPr>
            <w:tcW w:type="dxa" w:w="880"/>
            <w:shd w:fill="FDF3E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64.5</w:t>
            </w:r>
          </w:p>
        </w:tc>
        <w:tc>
          <w:tcPr>
            <w:tcW w:type="dxa" w:w="880"/>
            <w:shd w:fill="FDF3E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69.5</w:t>
            </w:r>
          </w:p>
        </w:tc>
        <w:tc>
          <w:tcPr>
            <w:tcW w:type="dxa" w:w="950"/>
            <w:shd w:fill="FDF3E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82.2</w:t>
            </w:r>
          </w:p>
        </w:tc>
        <w:tc>
          <w:tcPr>
            <w:tcW w:type="dxa" w:w="1000"/>
            <w:shd w:fill="FDF3E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72.1</w:t>
            </w:r>
          </w:p>
        </w:tc>
        <w:tc>
          <w:tcPr>
            <w:tcW w:type="dxa" w:w="900"/>
            <w:shd w:fill="FDF3E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67.4</w:t>
            </w:r>
          </w:p>
        </w:tc>
        <w:tc>
          <w:tcPr>
            <w:tcW w:type="dxa" w:w="900"/>
            <w:shd w:fill="FDF3E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74.7</w:t>
            </w:r>
          </w:p>
        </w:tc>
        <w:tc>
          <w:tcPr>
            <w:tcW w:type="dxa" w:w="1066"/>
            <w:shd w:fill="FDF3E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69.8</w:t>
            </w:r>
          </w:p>
        </w:tc>
      </w:tr>
      <w:tr>
        <w:tc>
          <w:tcPr>
            <w:tcW w:type="dxa" w:w="1500"/>
            <w:shd w:fill="FDF3E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/>
            </w:r>
          </w:p>
        </w:tc>
        <w:tc>
          <w:tcPr>
            <w:tcW w:type="dxa" w:w="950"/>
            <w:shd w:fill="FDF3E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+ AVCD</w:t>
            </w:r>
          </w:p>
        </w:tc>
        <w:tc>
          <w:tcPr>
            <w:tcW w:type="dxa" w:w="880"/>
            <w:shd w:fill="FDF3E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70.8</w:t>
            </w:r>
          </w:p>
        </w:tc>
        <w:tc>
          <w:tcPr>
            <w:tcW w:type="dxa" w:w="880"/>
            <w:shd w:fill="FDF3E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70.8</w:t>
            </w:r>
          </w:p>
        </w:tc>
        <w:tc>
          <w:tcPr>
            <w:tcW w:type="dxa" w:w="950"/>
            <w:shd w:fill="FDF3E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82.2</w:t>
            </w:r>
          </w:p>
        </w:tc>
        <w:tc>
          <w:tcPr>
            <w:tcW w:type="dxa" w:w="1000"/>
            <w:shd w:fill="FDF3E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74.6</w:t>
            </w:r>
          </w:p>
        </w:tc>
        <w:tc>
          <w:tcPr>
            <w:tcW w:type="dxa" w:w="900"/>
            <w:shd w:fill="FDF3E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71.4</w:t>
            </w:r>
          </w:p>
        </w:tc>
        <w:tc>
          <w:tcPr>
            <w:tcW w:type="dxa" w:w="900"/>
            <w:shd w:fill="FDF3E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80.3</w:t>
            </w:r>
          </w:p>
        </w:tc>
        <w:tc>
          <w:tcPr>
            <w:tcW w:type="dxa" w:w="1066"/>
            <w:shd w:fill="FDF3E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74.3</w:t>
            </w:r>
          </w:p>
        </w:tc>
      </w:tr>
      <w:tr>
        <w:tc>
          <w:tcPr>
            <w:tcW w:type="dxa" w:w="1500"/>
            <w:shd w:fill="E8F5E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/>
            </w:r>
          </w:p>
        </w:tc>
        <w:tc>
          <w:tcPr>
            <w:tcW w:type="dxa" w:w="950"/>
            <w:shd w:fill="E8F5E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+ MAD</w:t>
            </w:r>
          </w:p>
        </w:tc>
        <w:tc>
          <w:tcPr>
            <w:tcW w:type="dxa" w:w="880"/>
            <w:shd w:fill="E8F5E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76.8</w:t>
            </w:r>
          </w:p>
        </w:tc>
        <w:tc>
          <w:tcPr>
            <w:tcW w:type="dxa" w:w="880"/>
            <w:shd w:fill="E8F5E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84.2</w:t>
            </w:r>
          </w:p>
        </w:tc>
        <w:tc>
          <w:tcPr>
            <w:tcW w:type="dxa" w:w="950"/>
            <w:shd w:fill="E8F5E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82.0</w:t>
            </w:r>
          </w:p>
        </w:tc>
        <w:tc>
          <w:tcPr>
            <w:tcW w:type="dxa" w:w="1000"/>
            <w:shd w:fill="E8F5E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81.0</w:t>
            </w:r>
          </w:p>
        </w:tc>
        <w:tc>
          <w:tcPr>
            <w:tcW w:type="dxa" w:w="900"/>
            <w:shd w:fill="E8F5E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78.7</w:t>
            </w:r>
          </w:p>
        </w:tc>
        <w:tc>
          <w:tcPr>
            <w:tcW w:type="dxa" w:w="900"/>
            <w:shd w:fill="E8F5E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84.7</w:t>
            </w:r>
          </w:p>
        </w:tc>
        <w:tc>
          <w:tcPr>
            <w:tcW w:type="dxa" w:w="1066"/>
            <w:shd w:fill="E8F5E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80.7</w:t>
            </w:r>
          </w:p>
        </w:tc>
      </w:tr>
    </w:tbl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200" w:before="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MAD 논문 Table 1 대비: </w:t>
      </w:r>
      <w:r>
        <w:rPr>
          <w:rFonts w:ascii="맑은 고딕" w:cs="맑은 고딕" w:eastAsia="맑은 고딕" w:hAnsi="맑은 고딕"/>
          <w:sz w:val="18"/>
          <w:szCs w:val="18"/>
        </w:rPr>
        <w:t xml:space="preserve">Baseline·MAD는 논문값과 ±1.3%p 이내로 정합하고(구현 정확성 확인), VCD·AVCD는 원 구현이 불완전/비공개여서 새로 구현한 부분이라 2~4%p 차이가 있습니다(노란 배경). VideoLLaMA2의 CMM VCD/MAD는 전 branch에 실제 오디오가 공급되도록 입력 구성을 교정한 결과 논문값(76.4 / 81.3)과 사실상 일치합니다(76.4 / 80.7).</w:t>
      </w:r>
    </w:p>
    <w:p>
      <w:pPr>
        <w:pStyle w:val="Heading1"/>
        <w:spacing w:after="130" w:before="260"/>
      </w:pPr>
      <w:r>
        <w:rPr>
          <w:rFonts w:ascii="맑은 고딕" w:cs="맑은 고딕" w:eastAsia="맑은 고딕" w:hAnsi="맑은 고딕"/>
          <w:b/>
          <w:bCs/>
          <w:color w:val="1E2761"/>
          <w:sz w:val="28"/>
          <w:szCs w:val="28"/>
        </w:rPr>
        <w:t xml:space="preserve">3. 실험 세팅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26"/>
      </w:tblGrid>
      <w:tr>
        <w:tc>
          <w:tcPr>
            <w:tcW w:type="dxa" w:w="1900"/>
            <w:shd w:fill="1E276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실행 환경</w:t>
            </w:r>
          </w:p>
        </w:tc>
        <w:tc>
          <w:tcPr>
            <w:tcW w:type="dxa" w:w="7126"/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RTX 3090 24GB ×1 (연구실 클러스터) · conda 2종 = 선배님 환경 복제본 (Qwen: transformers 4.52.3/torch 2.5.1, VideoLLaMA2: 4.42.3/2.2.0)</w:t>
            </w:r>
          </w:p>
        </w:tc>
      </w:tr>
      <w:tr>
        <w:tc>
          <w:tcPr>
            <w:tcW w:type="dxa" w:w="1900"/>
            <w:shd w:fill="1E276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모델 체크포인트</w:t>
            </w:r>
          </w:p>
        </w:tc>
        <w:tc>
          <w:tcPr>
            <w:tcW w:type="dxa" w:w="7126"/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VideoLLaMA2.1-7B-AV, Qwen2.5-Omni-7B — 선배님 HF 캐시 스냅샷 그대로 사용 (bf16, Qwen talker 미생성)</w:t>
            </w:r>
          </w:p>
        </w:tc>
      </w:tr>
      <w:tr>
        <w:tc>
          <w:tcPr>
            <w:tcW w:type="dxa" w:w="1900"/>
            <w:shd w:fill="1E276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벤치마크</w:t>
            </w:r>
          </w:p>
        </w:tc>
        <w:tc>
          <w:tcPr>
            <w:tcW w:type="dxa" w:w="7126"/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AVHBench 3,419문항 (Video-driven 2,287 + Audio-driven 1,132, MAD 프로토콜) · CMM 1,200문항 (Visual/Audio/Language Dominance 각 400)</w:t>
            </w:r>
          </w:p>
        </w:tc>
      </w:tr>
      <w:tr>
        <w:tc>
          <w:tcPr>
            <w:tcW w:type="dxa" w:w="1900"/>
            <w:shd w:fill="1E276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디코딩·채점</w:t>
            </w:r>
          </w:p>
        </w:tc>
        <w:tc>
          <w:tcPr>
            <w:tcW w:type="dxa" w:w="7126"/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greedy (do_sample=False), max_new_tokens=1, seed 42 · 채점은 MAD score.py의 extract_answer/normalize_answer 그대로</w:t>
            </w:r>
          </w:p>
        </w:tc>
      </w:tr>
      <w:tr>
        <w:tc>
          <w:tcPr>
            <w:tcW w:type="dxa" w:w="1900"/>
            <w:shd w:fill="1E276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오디오 입력</w:t>
            </w:r>
          </w:p>
        </w:tc>
        <w:tc>
          <w:tcPr>
            <w:tcW w:type="dxa" w:w="7126"/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AVHBench: mp4 muxed 트랙 · CMM: 무음 mp4 + 별도 wav — 전 branch에 실제 오디오가 공급되도록 구성</w:t>
            </w:r>
          </w:p>
        </w:tc>
      </w:tr>
      <w:tr>
        <w:tc>
          <w:tcPr>
            <w:tcW w:type="dxa" w:w="1900"/>
            <w:shd w:fill="1E276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하이퍼파라미터</w:t>
            </w:r>
          </w:p>
        </w:tc>
        <w:tc>
          <w:tcPr>
            <w:tcW w:type="dxa" w:w="7126"/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MAD γ=2.5 · VCD-ext α=0.5 · AVCD α (AVH 2.5 / CMM: VL2 2.5, Qwen 0.5), EAD τ=0.6 — 200문항 게이트 그리드로 확정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200" w:before="0"/>
      </w:pPr>
      <w:r>
        <w:rPr>
          <w:rFonts w:ascii="맑은 고딕" w:cs="맑은 고딕" w:eastAsia="맑은 고딕" w:hAnsi="맑은 고딕"/>
          <w:color w:val="6B7280"/>
          <w:sz w:val="18"/>
          <w:szCs w:val="18"/>
        </w:rPr>
        <w:t xml:space="preserve">모든 세팅은 configs/unified_settings.yaml 한 곳에서 관리되며, 실행마다 seed와 config_hash가 결과 파일에 기록됩니다(재현성 보장).</w:t>
      </w:r>
    </w:p>
    <w:p>
      <w:pPr>
        <w:pStyle w:val="Heading1"/>
        <w:spacing w:after="130" w:before="260"/>
      </w:pPr>
      <w:r>
        <w:rPr>
          <w:rFonts w:ascii="맑은 고딕" w:cs="맑은 고딕" w:eastAsia="맑은 고딕" w:hAnsi="맑은 고딕"/>
          <w:b/>
          <w:bCs/>
          <w:color w:val="1E2761"/>
          <w:sz w:val="28"/>
          <w:szCs w:val="28"/>
        </w:rPr>
        <w:t xml:space="preserve">4. 코드 (GitHub)</w:t>
      </w:r>
    </w:p>
    <w:p>
      <w:pPr>
        <w:spacing w:after="14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저장소: </w:t>
      </w:r>
      <w:hyperlink w:history="1" r:id="rIdtjcwb9-sku3r8oombdvop">
        <w:r>
          <w:rPr>
            <w:rFonts w:ascii="맑은 고딕" w:cs="맑은 고딕" w:eastAsia="맑은 고딕" w:hAnsi="맑은 고딕"/>
            <w:color w:val="1560D0"/>
            <w:sz w:val="19"/>
            <w:szCs w:val="19"/>
            <w:u w:val="single"/>
          </w:rPr>
          <w:t xml:space="preserve">https://github.com/hsmai/Hallucination</w:t>
        </w:r>
      </w:hyperlink>
    </w:p>
    <w:p>
      <w:pPr>
        <w:spacing w:after="140" w:before="0"/>
      </w:pPr>
      <w:r>
        <w:rPr>
          <w:rFonts w:ascii="맑은 고딕" w:cs="맑은 고딕" w:eastAsia="맑은 고딕" w:hAnsi="맑은 고딕"/>
          <w:b/>
          <w:bCs/>
          <w:color w:val="9A6B00"/>
          <w:sz w:val="20"/>
          <w:szCs w:val="20"/>
        </w:rPr>
        <w:t xml:space="preserve">노란 배경 = 이번에 새로 구현한 부분입니다. </w:t>
      </w:r>
      <w:r>
        <w:rPr>
          <w:rFonts w:ascii="맑은 고딕" w:cs="맑은 고딕" w:eastAsia="맑은 고딕" w:hAnsi="맑은 고딕"/>
          <w:sz w:val="18"/>
          <w:szCs w:val="18"/>
        </w:rPr>
        <w:t xml:space="preserve">특히 AVCD × Qwen2.5-Omni는 원저자 구현이 공개되어 있지 않고, VCD-extended는 MAD repo에 미사용 코드만 있어 논문 수식 기준으로 새로 작성했습니다. 두 구역 모두 수식 단위테스트 → 로컬 통합테스트 → 서버 스모크 → 게이트 수치 대조의 4단 검증을 거쳤습니다.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1250"/>
        <w:gridCol w:w="4676"/>
      </w:tblGrid>
      <w:tr>
        <w:trPr>
          <w:tblHeader/>
        </w:trPr>
        <w:tc>
          <w:tcPr>
            <w:tcW w:type="dxa" w:w="3100"/>
            <w:shd w:fill="1E276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파일 경로</w:t>
            </w:r>
          </w:p>
        </w:tc>
        <w:tc>
          <w:tcPr>
            <w:tcW w:type="dxa" w:w="1250"/>
            <w:shd w:fill="1E276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구분</w:t>
            </w:r>
          </w:p>
        </w:tc>
        <w:tc>
          <w:tcPr>
            <w:tcW w:type="dxa" w:w="4676"/>
            <w:shd w:fill="1E276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역할</w:t>
            </w:r>
          </w:p>
        </w:tc>
      </w:tr>
      <w:tr>
        <w:tc>
          <w:tcPr>
            <w:tcW w:type="dxa" w:w="3100"/>
            <w:shd w:fill="FDF3E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src/adapters/qwen_omni.py</w:t>
            </w:r>
          </w:p>
        </w:tc>
        <w:tc>
          <w:tcPr>
            <w:tcW w:type="dxa" w:w="1250"/>
            <w:shd w:fill="FDF3E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9A6B00"/>
                <w:sz w:val="15"/>
                <w:szCs w:val="15"/>
              </w:rPr>
              <w:t xml:space="preserve">신규</w:t>
            </w:r>
          </w:p>
        </w:tc>
        <w:tc>
          <w:tcPr>
            <w:tcW w:type="dxa" w:w="4676"/>
            <w:shd w:fill="FDF3E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Qwen2.5-Omni 어댑터 — AVCD용 4-branch/마스킹 forward를 새로 포팅 (원 구현 비공개)</w:t>
            </w:r>
          </w:p>
        </w:tc>
      </w:tr>
      <w:tr>
        <w:tc>
          <w:tcPr>
            <w:tcW w:type="dxa" w:w="3100"/>
            <w:shd w:fill="FDF3E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src/adapters/attn_patch.py</w:t>
            </w:r>
          </w:p>
        </w:tc>
        <w:tc>
          <w:tcPr>
            <w:tcW w:type="dxa" w:w="1250"/>
            <w:shd w:fill="FDF3E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9A6B00"/>
                <w:sz w:val="15"/>
                <w:szCs w:val="15"/>
              </w:rPr>
              <w:t xml:space="preserve">신규</w:t>
            </w:r>
          </w:p>
        </w:tc>
        <w:tc>
          <w:tcPr>
            <w:tcW w:type="dxa" w:w="4676"/>
            <w:shd w:fill="FDF3E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Qwen thinker attention 패치 — AVCD dominance 기록·attentive masking 삽입, 장문 대비 head/q-block 청킹</w:t>
            </w:r>
          </w:p>
        </w:tc>
      </w:tr>
      <w:tr>
        <w:tc>
          <w:tcPr>
            <w:tcW w:type="dxa" w:w="3100"/>
            <w:shd w:fill="FDF3E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src/adapters/common.py</w:t>
            </w:r>
          </w:p>
        </w:tc>
        <w:tc>
          <w:tcPr>
            <w:tcW w:type="dxa" w:w="1250"/>
            <w:shd w:fill="FDF3E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9A6B00"/>
                <w:sz w:val="15"/>
                <w:szCs w:val="15"/>
              </w:rPr>
              <w:t xml:space="preserve">신규</w:t>
            </w:r>
          </w:p>
        </w:tc>
        <w:tc>
          <w:tcPr>
            <w:tcW w:type="dxa" w:w="4676"/>
            <w:shd w:fill="FDF3E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AVCD 공통 수식 — modality dominance 계산, attentive row masking(재정규화 포함)</w:t>
            </w:r>
          </w:p>
        </w:tc>
      </w:tr>
      <w:tr>
        <w:tc>
          <w:tcPr>
            <w:tcW w:type="dxa" w:w="3100"/>
            <w:shd w:fill="FDF3E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src/methods/vcd_ext.py</w:t>
            </w:r>
          </w:p>
        </w:tc>
        <w:tc>
          <w:tcPr>
            <w:tcW w:type="dxa" w:w="1250"/>
            <w:shd w:fill="FDF3E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9A6B00"/>
                <w:sz w:val="15"/>
                <w:szCs w:val="15"/>
              </w:rPr>
              <w:t xml:space="preserve">신규</w:t>
            </w:r>
          </w:p>
        </w:tc>
        <w:tc>
          <w:tcPr>
            <w:tcW w:type="dxa" w:w="4676"/>
            <w:shd w:fill="FDF3E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VCD-extended — MAD repo에 dead code만 존재해 논문 Eq.10 기준으로 새로 구현</w:t>
            </w:r>
          </w:p>
        </w:tc>
      </w:tr>
      <w:tr>
        <w:tc>
          <w:tcPr>
            <w:tcW w:type="dxa" w:w="3100"/>
            <w:shd w:fill="FDF3E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src/methods/avcd.py</w:t>
            </w:r>
          </w:p>
        </w:tc>
        <w:tc>
          <w:tcPr>
            <w:tcW w:type="dxa" w:w="1250"/>
            <w:shd w:fill="FDF3E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9A6B00"/>
                <w:sz w:val="15"/>
                <w:szCs w:val="15"/>
              </w:rPr>
              <w:t xml:space="preserve">신규</w:t>
            </w:r>
          </w:p>
        </w:tc>
        <w:tc>
          <w:tcPr>
            <w:tcW w:type="dxa" w:w="4676"/>
            <w:shd w:fill="FDF3E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AVCD 디코딩 플러그인 — EAD/plausibility 포함, 두 모델 공통 인터페이스</w:t>
            </w:r>
          </w:p>
        </w:tc>
      </w:tr>
      <w:tr>
        <w:tc>
          <w:tcPr>
            <w:tcW w:type="dxa" w:w="3100"/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src/methods/mad.py</w:t>
            </w:r>
          </w:p>
        </w:tc>
        <w:tc>
          <w:tcPr>
            <w:tcW w:type="dxa" w:w="1250"/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이식</w:t>
            </w:r>
          </w:p>
        </w:tc>
        <w:tc>
          <w:tcPr>
            <w:tcW w:type="dxa" w:w="4676"/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MAD 4-branch 대비 디코딩 (논문 Eq.9 가중식)</w:t>
            </w:r>
          </w:p>
        </w:tc>
      </w:tr>
      <w:tr>
        <w:tc>
          <w:tcPr>
            <w:tcW w:type="dxa" w:w="3100"/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src/adapters/videollama2_av.py</w:t>
            </w:r>
          </w:p>
        </w:tc>
        <w:tc>
          <w:tcPr>
            <w:tcW w:type="dxa" w:w="1250"/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이식</w:t>
            </w:r>
          </w:p>
        </w:tc>
        <w:tc>
          <w:tcPr>
            <w:tcW w:type="dxa" w:w="4676"/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VideoLLaMA2-AV 어댑터 (MAD/AVCD 공식 fork 백엔드 연결)</w:t>
            </w:r>
          </w:p>
        </w:tc>
      </w:tr>
      <w:tr>
        <w:tc>
          <w:tcPr>
            <w:tcW w:type="dxa" w:w="3100"/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configs/unified_settings.yaml</w:t>
            </w:r>
          </w:p>
        </w:tc>
        <w:tc>
          <w:tcPr>
            <w:tcW w:type="dxa" w:w="1250"/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설정</w:t>
            </w:r>
          </w:p>
        </w:tc>
        <w:tc>
          <w:tcPr>
            <w:tcW w:type="dxa" w:w="4676"/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모든 실험 세팅의 단일 소스 — 하드코딩 없음</w:t>
            </w:r>
          </w:p>
        </w:tc>
      </w:tr>
      <w:tr>
        <w:tc>
          <w:tcPr>
            <w:tcW w:type="dxa" w:w="3100"/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src/runner.py · score.py · aggregate.py</w:t>
            </w:r>
          </w:p>
        </w:tc>
        <w:tc>
          <w:tcPr>
            <w:tcW w:type="dxa" w:w="1250"/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공통</w:t>
            </w:r>
          </w:p>
        </w:tc>
        <w:tc>
          <w:tcPr>
            <w:tcW w:type="dxa" w:w="4676"/>
            <w:shd w:fill="F4F7F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실행/채점/집계 파이프라인 (per-sample JSONL, 중단-재개 지원)</w:t>
            </w:r>
          </w:p>
        </w:tc>
      </w:tr>
    </w:tbl>
    <w:p>
      <w:pPr>
        <w:spacing w:after="14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1"/>
        <w:spacing w:after="130" w:before="260"/>
      </w:pPr>
      <w:r>
        <w:rPr>
          <w:rFonts w:ascii="맑은 고딕" w:cs="맑은 고딕" w:eastAsia="맑은 고딕" w:hAnsi="맑은 고딕"/>
          <w:b/>
          <w:bCs/>
          <w:color w:val="1E2761"/>
          <w:sz w:val="28"/>
          <w:szCs w:val="28"/>
        </w:rPr>
        <w:t xml:space="preserve">5. 재현 방법</w:t>
      </w:r>
    </w:p>
    <w:p>
      <w:pPr>
        <w:spacing w:after="8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git clone 후, 아래 형식으로 임의의 (모델 × 방법 × 벤치) 조합을 재실행할 수 있습니다.</w:t>
      </w:r>
    </w:p>
    <w:p>
      <w:pPr>
        <w:pBdr>
          <w:left w:val="single" w:color="1E2761" w:sz="12" w:space="6"/>
        </w:pBdr>
        <w:shd w:fill="F2F4F8" w:color="auto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python -m src.runner --model videollama2_av --method mad --benchmark cmm</w:t>
      </w:r>
    </w:p>
    <w:p>
      <w:pPr>
        <w:pBdr>
          <w:left w:val="single" w:color="1E2761" w:sz="12" w:space="6"/>
        </w:pBdr>
        <w:shd w:fill="F2F4F8" w:color="auto" w:val="clear"/>
        <w:spacing w:after="140"/>
      </w:pPr>
      <w:r>
        <w:rPr>
          <w:rFonts w:ascii="Courier New" w:cs="Courier New" w:eastAsia="Courier New" w:hAnsi="Courier New"/>
          <w:sz w:val="18"/>
          <w:szCs w:val="18"/>
        </w:rPr>
        <w:t xml:space="preserve">python -m src.score --jsonl 'results/runs/*/*.jsonl' &amp;&amp; python -m src.aggregate --results results/runs</w:t>
      </w:r>
    </w:p>
    <w:p>
      <w:pPr>
        <w:spacing w:after="200" w:before="0"/>
      </w:pPr>
      <w:r>
        <w:rPr>
          <w:rFonts w:ascii="맑은 고딕" w:cs="맑은 고딕" w:eastAsia="맑은 고딕" w:hAnsi="맑은 고딕"/>
          <w:color w:val="6B7280"/>
          <w:sz w:val="18"/>
          <w:szCs w:val="18"/>
        </w:rPr>
        <w:t xml:space="preserve">산출물: results/runs/{benchmark}/{model}__{method}.jsonl (문항별 예측·정오·중간값) → results/runs/tables/main_table.{md,csv} (위 표).</w:t>
      </w:r>
    </w:p>
    <w:p>
      <w:pPr>
        <w:pStyle w:val="Heading1"/>
        <w:spacing w:after="130" w:before="260"/>
      </w:pPr>
      <w:r>
        <w:rPr>
          <w:rFonts w:ascii="맑은 고딕" w:cs="맑은 고딕" w:eastAsia="맑은 고딕" w:hAnsi="맑은 고딕"/>
          <w:b/>
          <w:bCs/>
          <w:color w:val="1E2761"/>
          <w:sz w:val="28"/>
          <w:szCs w:val="28"/>
        </w:rPr>
        <w:t xml:space="preserve">6. 참고 사항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맑은 고딕" w:cs="맑은 고딕" w:eastAsia="맑은 고딕" w:hAnsi="맑은 고딕"/>
          <w:b/>
          <w:bCs/>
          <w:color w:val="1E2761"/>
          <w:sz w:val="20"/>
          <w:szCs w:val="20"/>
        </w:rPr>
        <w:t xml:space="preserve">정성 비교 자료: </w:t>
      </w:r>
      <w:r>
        <w:rPr>
          <w:rFonts w:ascii="맑은 고딕" w:cs="맑은 고딕" w:eastAsia="맑은 고딕" w:hAnsi="맑은 고딕"/>
          <w:sz w:val="20"/>
          <w:szCs w:val="20"/>
        </w:rPr>
        <w:t xml:space="preserve">MAD 논문 Fig.9-10 형식의 비교 figure를 별도 HTML로 제공합니다(모델별 1개). Ours 출력을 붙여 넣을 수 있도록 빈 칸을 만들어 두었으며, 텍스트 편집기로 바로 수정 가능합니다.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맑은 고딕" w:cs="맑은 고딕" w:eastAsia="맑은 고딕" w:hAnsi="맑은 고딕"/>
          <w:b/>
          <w:bCs/>
          <w:color w:val="1E2761"/>
          <w:sz w:val="20"/>
          <w:szCs w:val="20"/>
        </w:rPr>
        <w:t xml:space="preserve">속도 비교: </w:t>
      </w:r>
      <w:r>
        <w:rPr>
          <w:rFonts w:ascii="맑은 고딕" w:cs="맑은 고딕" w:eastAsia="맑은 고딕" w:hAnsi="맑은 고딕"/>
          <w:sz w:val="20"/>
          <w:szCs w:val="20"/>
        </w:rPr>
        <w:t xml:space="preserve">Ours와 비교군의 실행 환경(GPU)이 달라 지연시간(latency) 수치는 직접 비교에 적합하지 않습니다. 정확도 비교에는 영향이 없습니다.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맑은 고딕" w:cs="맑은 고딕" w:eastAsia="맑은 고딕" w:hAnsi="맑은 고딕"/>
          <w:b/>
          <w:bCs/>
          <w:color w:val="1E2761"/>
          <w:sz w:val="20"/>
          <w:szCs w:val="20"/>
        </w:rPr>
        <w:t xml:space="preserve">제외 문항: </w:t>
      </w:r>
      <w:r>
        <w:rPr>
          <w:rFonts w:ascii="맑은 고딕" w:cs="맑은 고딕" w:eastAsia="맑은 고딕" w:hAnsi="맑은 고딕"/>
          <w:sz w:val="20"/>
          <w:szCs w:val="20"/>
        </w:rPr>
        <w:t xml:space="preserve">CMM에서 디코더 오류를 일으키는 손상 mp4 8건은 재인코딩본으로 대체했습니다(Ours와 동일 처리).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tjcwb9-sku3r8oombdvop" Type="http://schemas.openxmlformats.org/officeDocument/2006/relationships/hyperlink" Target="https://github.com/hsmai/Hallucination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2026-07-23T06:57:26.874Z</dcterms:created>
  <dcterms:modified xsi:type="dcterms:W3CDTF">2026-07-23T06:57:26.881Z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