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F18A" w14:textId="17A44E0C" w:rsidR="002623EB" w:rsidRDefault="00C81960">
      <w:pPr>
        <w:rPr>
          <w:lang w:val="es-MX"/>
        </w:rPr>
      </w:pPr>
      <w:r>
        <w:rPr>
          <w:lang w:val="es-MX"/>
        </w:rPr>
        <w:t xml:space="preserve">Case </w:t>
      </w:r>
      <w:proofErr w:type="spellStart"/>
      <w:r>
        <w:rPr>
          <w:lang w:val="es-MX"/>
        </w:rPr>
        <w:t>study</w:t>
      </w:r>
      <w:proofErr w:type="spellEnd"/>
    </w:p>
    <w:p w14:paraId="31829C39" w14:textId="32044D81" w:rsidR="00CC0E13" w:rsidRDefault="00C81960" w:rsidP="003C2460">
      <w:pPr>
        <w:jc w:val="both"/>
      </w:pPr>
      <w:r w:rsidRPr="00C81960">
        <w:t xml:space="preserve">Los </w:t>
      </w:r>
      <w:proofErr w:type="spellStart"/>
      <w:r w:rsidRPr="00C81960">
        <w:t>Knowledge</w:t>
      </w:r>
      <w:proofErr w:type="spellEnd"/>
      <w:r w:rsidRPr="00C81960">
        <w:t xml:space="preserve"> </w:t>
      </w:r>
      <w:proofErr w:type="spellStart"/>
      <w:r w:rsidRPr="00C81960">
        <w:t>Graphs</w:t>
      </w:r>
      <w:proofErr w:type="spellEnd"/>
      <w:r w:rsidRPr="00C81960">
        <w:t xml:space="preserve"> se utilizan en una amplia variedad de </w:t>
      </w:r>
      <w:r>
        <w:t>sectores e industrias</w:t>
      </w:r>
      <w:r w:rsidRPr="00C81960">
        <w:t xml:space="preserve">. </w:t>
      </w:r>
      <w:r w:rsidR="00925E6F">
        <w:t>El sector de la salud (1)</w:t>
      </w:r>
      <w:r w:rsidRPr="00C81960">
        <w:t xml:space="preserve">, </w:t>
      </w:r>
      <w:r w:rsidR="001C7556">
        <w:t>el sector medio ambiente (2)</w:t>
      </w:r>
      <w:r w:rsidR="00CC0E13">
        <w:t xml:space="preserve"> y el sector construcción (3) </w:t>
      </w:r>
      <w:r w:rsidRPr="00C81960">
        <w:t xml:space="preserve">son solo algunos ejemplos de cómo los </w:t>
      </w:r>
      <w:proofErr w:type="spellStart"/>
      <w:r w:rsidRPr="00C81960">
        <w:t>Knowledge</w:t>
      </w:r>
      <w:proofErr w:type="spellEnd"/>
      <w:r w:rsidRPr="00C81960">
        <w:t xml:space="preserve"> </w:t>
      </w:r>
      <w:proofErr w:type="spellStart"/>
      <w:r w:rsidRPr="00C81960">
        <w:t>Graphs</w:t>
      </w:r>
      <w:proofErr w:type="spellEnd"/>
      <w:r w:rsidRPr="00C81960">
        <w:t xml:space="preserve"> han</w:t>
      </w:r>
      <w:r w:rsidR="00CC0E13">
        <w:t xml:space="preserve"> permitido mejorar</w:t>
      </w:r>
      <w:r w:rsidRPr="00C81960">
        <w:t xml:space="preserve"> la eficiencia y la calidad de la información en diferentes contextos.</w:t>
      </w:r>
    </w:p>
    <w:p w14:paraId="4B13AF19" w14:textId="3E2D640C" w:rsidR="00CC0E13" w:rsidRDefault="00CC0E13" w:rsidP="003C2460">
      <w:pPr>
        <w:jc w:val="both"/>
      </w:pPr>
      <w:r>
        <w:t xml:space="preserve">En el área de la educación existen diferentes formas de aplicación de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se analiza el diseño y creación de </w:t>
      </w:r>
      <w:proofErr w:type="spellStart"/>
      <w:r>
        <w:t>MathGraph</w:t>
      </w:r>
      <w:proofErr w:type="spellEnd"/>
      <w:r w:rsidR="00325BEB">
        <w:t>,</w:t>
      </w:r>
      <w:r>
        <w:t xml:space="preserve"> </w:t>
      </w:r>
      <w:r w:rsidRPr="00CC0E13">
        <w:t>un grafo de conocimiento</w:t>
      </w:r>
      <w:r w:rsidR="003C2460">
        <w:t>,</w:t>
      </w:r>
      <w:r w:rsidRPr="00CC0E13">
        <w:t xml:space="preserve"> </w:t>
      </w:r>
      <w:r w:rsidR="00325BEB">
        <w:t>implementado para la resolución de problemas matemáticos</w:t>
      </w:r>
      <w:r w:rsidR="003C2460">
        <w:t xml:space="preserve"> (4)</w:t>
      </w:r>
      <w:r>
        <w:t xml:space="preserve">, </w:t>
      </w:r>
      <w:r w:rsidR="00325BEB">
        <w:t>como primera base para</w:t>
      </w:r>
      <w:r>
        <w:t xml:space="preserve"> el desarrollo de la propuesta del presente </w:t>
      </w:r>
      <w:proofErr w:type="spellStart"/>
      <w:r>
        <w:t>articulo</w:t>
      </w:r>
      <w:proofErr w:type="spellEnd"/>
      <w:r w:rsidR="00325BEB">
        <w:t>.</w:t>
      </w:r>
    </w:p>
    <w:p w14:paraId="741F7142" w14:textId="65532003" w:rsidR="00325BEB" w:rsidRDefault="00325BEB" w:rsidP="003C2460">
      <w:pPr>
        <w:jc w:val="both"/>
      </w:pPr>
      <w:proofErr w:type="spellStart"/>
      <w:r>
        <w:t>MathGraph</w:t>
      </w:r>
      <w:proofErr w:type="spellEnd"/>
      <w:r>
        <w:t xml:space="preserve"> es  </w:t>
      </w:r>
      <w:r w:rsidRPr="00325BEB">
        <w:t xml:space="preserve">un grafo de conocimiento </w:t>
      </w:r>
      <w:r>
        <w:t>capaz de</w:t>
      </w:r>
      <w:r w:rsidRPr="00325BEB">
        <w:t xml:space="preserve"> representar tantas entidades matemáticas y relaciones lógicas como sea posible</w:t>
      </w:r>
      <w:r>
        <w:t xml:space="preserve">, </w:t>
      </w:r>
      <w:r w:rsidRPr="00325BEB">
        <w:t>admite tipos masivos de objetos matemáticos, operaciones y restricciones que pueden estar involucrados en los ejercicios</w:t>
      </w:r>
      <w:r>
        <w:t xml:space="preserve"> y dar respuesta a los mismos.</w:t>
      </w:r>
      <w:r w:rsidR="003C2460">
        <w:t>(4)</w:t>
      </w:r>
    </w:p>
    <w:p w14:paraId="2A059096" w14:textId="4EBE8AC1" w:rsidR="00612320" w:rsidRDefault="00612320" w:rsidP="00325BEB">
      <w:pPr>
        <w:jc w:val="both"/>
      </w:pPr>
      <w:r w:rsidRPr="00612320">
        <w:drawing>
          <wp:inline distT="0" distB="0" distL="0" distR="0" wp14:anchorId="7EDDF357" wp14:editId="23CD39A8">
            <wp:extent cx="5268060" cy="2934109"/>
            <wp:effectExtent l="0" t="0" r="8890" b="0"/>
            <wp:docPr id="26005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5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1685" w14:textId="77777777" w:rsidR="00612320" w:rsidRDefault="00612320" w:rsidP="00325BEB">
      <w:pPr>
        <w:jc w:val="both"/>
        <w:rPr>
          <w:lang w:val="en-US"/>
        </w:rPr>
      </w:pPr>
      <w:r w:rsidRPr="00612320">
        <w:rPr>
          <w:lang w:val="en-US"/>
        </w:rPr>
        <w:t xml:space="preserve">El knowledge graph de </w:t>
      </w:r>
      <w:proofErr w:type="spellStart"/>
      <w:r w:rsidRPr="00612320">
        <w:rPr>
          <w:lang w:val="en-US"/>
        </w:rPr>
        <w:t>MathGraph</w:t>
      </w:r>
      <w:proofErr w:type="spellEnd"/>
      <w:r w:rsidRPr="00612320">
        <w:rPr>
          <w:lang w:val="en-US"/>
        </w:rPr>
        <w:t xml:space="preserve"> </w:t>
      </w:r>
      <w:proofErr w:type="spellStart"/>
      <w:r w:rsidRPr="00612320">
        <w:rPr>
          <w:lang w:val="en-US"/>
        </w:rPr>
        <w:t>esta</w:t>
      </w:r>
      <w:proofErr w:type="spellEnd"/>
      <w:r w:rsidRPr="00612320">
        <w:rPr>
          <w:lang w:val="en-US"/>
        </w:rPr>
        <w:t xml:space="preserve"> </w:t>
      </w:r>
      <w:proofErr w:type="spellStart"/>
      <w:r w:rsidRPr="00612320">
        <w:rPr>
          <w:lang w:val="en-US"/>
        </w:rPr>
        <w:t>constitudida</w:t>
      </w:r>
      <w:proofErr w:type="spellEnd"/>
      <w:r w:rsidRPr="00612320">
        <w:rPr>
          <w:lang w:val="en-US"/>
        </w:rPr>
        <w:t xml:space="preserve"> </w:t>
      </w:r>
      <w:proofErr w:type="spellStart"/>
      <w:r w:rsidRPr="00612320">
        <w:rPr>
          <w:lang w:val="en-US"/>
        </w:rPr>
        <w:t>por</w:t>
      </w:r>
      <w:proofErr w:type="spellEnd"/>
      <w:r>
        <w:rPr>
          <w:lang w:val="en-US"/>
        </w:rPr>
        <w:t>:</w:t>
      </w:r>
    </w:p>
    <w:p w14:paraId="412AC1EE" w14:textId="1957B3F3" w:rsidR="00612320" w:rsidRDefault="00612320" w:rsidP="0061232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</w:t>
      </w:r>
      <w:r w:rsidRPr="00612320">
        <w:rPr>
          <w:lang w:val="en-US"/>
        </w:rPr>
        <w:t>odes</w:t>
      </w:r>
      <w:r>
        <w:rPr>
          <w:lang w:val="en-US"/>
        </w:rPr>
        <w:t>:</w:t>
      </w:r>
      <w:r w:rsidRPr="00612320">
        <w:rPr>
          <w:lang w:val="en-US"/>
        </w:rPr>
        <w:t xml:space="preserve"> they</w:t>
      </w:r>
      <w:r w:rsidRPr="00612320">
        <w:rPr>
          <w:lang w:val="en-US"/>
        </w:rPr>
        <w:t xml:space="preserve"> are categorized into three different types: object nodes, operation nodes and constraint nodes</w:t>
      </w:r>
      <w:r>
        <w:rPr>
          <w:lang w:val="en-US"/>
        </w:rPr>
        <w:t>.</w:t>
      </w:r>
    </w:p>
    <w:p w14:paraId="262E9690" w14:textId="7FA72D6D" w:rsidR="003C2460" w:rsidRPr="003C2460" w:rsidRDefault="003C2460" w:rsidP="003C246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Edges: </w:t>
      </w:r>
      <w:r w:rsidRPr="003C2460">
        <w:rPr>
          <w:lang w:val="en-US"/>
        </w:rPr>
        <w:t>There are two types of edges</w:t>
      </w:r>
      <w:r w:rsidR="00206198">
        <w:rPr>
          <w:lang w:val="en-US"/>
        </w:rPr>
        <w:t>,</w:t>
      </w:r>
      <w:r w:rsidRPr="003C2460">
        <w:rPr>
          <w:lang w:val="en-US"/>
        </w:rPr>
        <w:t xml:space="preserve"> the derive edges and the flow</w:t>
      </w:r>
    </w:p>
    <w:p w14:paraId="7B73CDB3" w14:textId="6452D42C" w:rsidR="00612320" w:rsidRDefault="003C2460" w:rsidP="003C246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C2460">
        <w:rPr>
          <w:lang w:val="en-US"/>
        </w:rPr>
        <w:t>edges.</w:t>
      </w:r>
    </w:p>
    <w:p w14:paraId="4E7E0171" w14:textId="316E8CF0" w:rsidR="00DF4B8D" w:rsidRDefault="00DF4B8D" w:rsidP="00DF4B8D">
      <w:pPr>
        <w:jc w:val="both"/>
      </w:pPr>
      <w:proofErr w:type="spellStart"/>
      <w:r w:rsidRPr="00DF4B8D">
        <w:t>MathGraph</w:t>
      </w:r>
      <w:proofErr w:type="spellEnd"/>
      <w:r w:rsidRPr="00DF4B8D">
        <w:t xml:space="preserve"> trabaja co</w:t>
      </w:r>
      <w:r>
        <w:t xml:space="preserve">n una base de datos matemática donde se recopilan </w:t>
      </w:r>
      <w:r w:rsidRPr="00DF4B8D">
        <w:t xml:space="preserve"> cuatro conjuntos de datos del mundo real de ejercicios matemáticos de escuelas secundarias chinas, a saber, Complejo, Triángulo, Cónico y Sólido. Los ejercicios se almacenan en texto plano y las expresiones matemáticas se almacenan en formato LaTeX</w:t>
      </w:r>
      <w:r>
        <w:t>. Cada uno de es</w:t>
      </w:r>
      <w:r w:rsidR="00BE636E">
        <w:t>tos conjuntos contiene mas de 600 ejercicios matemáticos y son categorizados en cuatro niveles.</w:t>
      </w:r>
    </w:p>
    <w:p w14:paraId="1C763187" w14:textId="3A082BFB" w:rsidR="00BE636E" w:rsidRDefault="00BE636E" w:rsidP="00BE636E">
      <w:pPr>
        <w:jc w:val="center"/>
      </w:pPr>
      <w:r w:rsidRPr="00BE636E">
        <w:lastRenderedPageBreak/>
        <w:drawing>
          <wp:inline distT="0" distB="0" distL="0" distR="0" wp14:anchorId="668BFDAB" wp14:editId="238F7FE2">
            <wp:extent cx="3219899" cy="1467055"/>
            <wp:effectExtent l="0" t="0" r="0" b="0"/>
            <wp:docPr id="546996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7D2" w14:textId="59DB4E31" w:rsidR="00BE636E" w:rsidRPr="00DF4B8D" w:rsidRDefault="00BE636E" w:rsidP="00C261B5">
      <w:pPr>
        <w:jc w:val="both"/>
      </w:pPr>
      <w:r w:rsidRPr="00BE636E">
        <w:t xml:space="preserve">Para los conjuntos de datos, </w:t>
      </w:r>
      <w:r>
        <w:t>se construyó</w:t>
      </w:r>
      <w:r w:rsidRPr="00BE636E">
        <w:t xml:space="preserve"> el gráfico de conocimiento manualmente involucrando solo las instancias, operaciones y restricciones que pueden existir en estos ejercicios</w:t>
      </w:r>
      <w:r>
        <w:t xml:space="preserve">. </w:t>
      </w:r>
    </w:p>
    <w:p w14:paraId="3E23740B" w14:textId="40C696D1" w:rsidR="00206198" w:rsidRDefault="00206198" w:rsidP="00C261B5">
      <w:pPr>
        <w:jc w:val="both"/>
        <w:rPr>
          <w:bCs/>
        </w:rPr>
      </w:pPr>
      <w:r>
        <w:t>En cuanto a</w:t>
      </w:r>
      <w:r w:rsidR="00DF4B8D" w:rsidRPr="00DF4B8D">
        <w:t xml:space="preserve"> la resolución de pr</w:t>
      </w:r>
      <w:r w:rsidR="00DF4B8D">
        <w:t xml:space="preserve">oblemas matemáticos, </w:t>
      </w:r>
      <w:proofErr w:type="spellStart"/>
      <w:r w:rsidR="00DF4B8D">
        <w:t>MathGraph</w:t>
      </w:r>
      <w:proofErr w:type="spellEnd"/>
      <w:r w:rsidR="00DF4B8D">
        <w:t xml:space="preserve"> implementa un analizador semántico</w:t>
      </w:r>
      <w:r>
        <w:t xml:space="preserve"> </w:t>
      </w:r>
      <w:r w:rsidR="006A3B5C" w:rsidRPr="006A3B5C">
        <w:rPr>
          <w:bCs/>
        </w:rPr>
        <w:t>para analizar el texto del ejercicio y luego asignarlo a los nodos correspondientes</w:t>
      </w:r>
      <w:r w:rsidR="006A3B5C">
        <w:rPr>
          <w:bCs/>
        </w:rPr>
        <w:t xml:space="preserve"> </w:t>
      </w:r>
      <w:r w:rsidR="006A3B5C">
        <w:rPr>
          <w:bCs/>
        </w:rPr>
        <w:t>(</w:t>
      </w:r>
      <w:r w:rsidR="006A3B5C">
        <w:rPr>
          <w:bCs/>
        </w:rPr>
        <w:t>instancias</w:t>
      </w:r>
      <w:r w:rsidR="006A3B5C" w:rsidRPr="00DF4B8D">
        <w:rPr>
          <w:bCs/>
        </w:rPr>
        <w:t xml:space="preserve">, operaciones </w:t>
      </w:r>
      <w:r w:rsidR="006A3B5C">
        <w:rPr>
          <w:bCs/>
        </w:rPr>
        <w:t>o</w:t>
      </w:r>
      <w:r w:rsidR="006A3B5C" w:rsidRPr="00DF4B8D">
        <w:rPr>
          <w:bCs/>
        </w:rPr>
        <w:t xml:space="preserve"> restricciones</w:t>
      </w:r>
      <w:r w:rsidR="006A3B5C">
        <w:rPr>
          <w:bCs/>
        </w:rPr>
        <w:t>)</w:t>
      </w:r>
      <w:r w:rsidR="002A5316">
        <w:rPr>
          <w:bCs/>
        </w:rPr>
        <w:t xml:space="preserve"> a través de algoritmos específicos</w:t>
      </w:r>
      <w:r w:rsidR="00993C0C">
        <w:rPr>
          <w:bCs/>
        </w:rPr>
        <w:t xml:space="preserve"> y analiza la relación entre nodos existentes. Una vez obtenidas estas relaciones,</w:t>
      </w:r>
      <w:r w:rsidR="00993C0C" w:rsidRPr="00993C0C">
        <w:rPr>
          <w:bCs/>
        </w:rPr>
        <w:t xml:space="preserve"> </w:t>
      </w:r>
      <w:r w:rsidR="00993C0C">
        <w:rPr>
          <w:bCs/>
        </w:rPr>
        <w:t xml:space="preserve">se implementan </w:t>
      </w:r>
      <w:r w:rsidR="00993C0C" w:rsidRPr="00993C0C">
        <w:rPr>
          <w:bCs/>
        </w:rPr>
        <w:t>métodos de una biblioteca de ejecución simbólica o algunos algoritmos de aproximación</w:t>
      </w:r>
      <w:r w:rsidR="00993C0C">
        <w:rPr>
          <w:bCs/>
        </w:rPr>
        <w:t xml:space="preserve"> para resolver la operación y finalmente mostrar el resultado</w:t>
      </w:r>
      <w:r w:rsidR="00C261B5">
        <w:rPr>
          <w:bCs/>
        </w:rPr>
        <w:t>.</w:t>
      </w:r>
    </w:p>
    <w:p w14:paraId="7520C430" w14:textId="77777777" w:rsidR="00D87898" w:rsidRDefault="00206198" w:rsidP="00C261B5">
      <w:pPr>
        <w:jc w:val="both"/>
        <w:rPr>
          <w:bCs/>
        </w:rPr>
      </w:pPr>
      <w:r>
        <w:rPr>
          <w:bCs/>
        </w:rPr>
        <w:t xml:space="preserve">Esta literatura nos permite abordar </w:t>
      </w:r>
      <w:r w:rsidR="00C261B5">
        <w:rPr>
          <w:bCs/>
        </w:rPr>
        <w:t>una estructura relacional para organizar los conceptos que deseamos implementar en la creación de</w:t>
      </w:r>
      <w:r w:rsidR="00D87898">
        <w:rPr>
          <w:bCs/>
        </w:rPr>
        <w:t xml:space="preserve"> nuestro</w:t>
      </w:r>
      <w:r w:rsidR="00C261B5">
        <w:rPr>
          <w:bCs/>
        </w:rPr>
        <w:t xml:space="preserve"> k</w:t>
      </w:r>
      <w:proofErr w:type="spellStart"/>
      <w:r w:rsidR="00C261B5">
        <w:rPr>
          <w:bCs/>
        </w:rPr>
        <w:t>nowledge</w:t>
      </w:r>
      <w:proofErr w:type="spellEnd"/>
      <w:r w:rsidR="00C261B5">
        <w:rPr>
          <w:bCs/>
        </w:rPr>
        <w:t xml:space="preserve"> </w:t>
      </w:r>
      <w:proofErr w:type="spellStart"/>
      <w:r w:rsidR="00C261B5">
        <w:rPr>
          <w:bCs/>
        </w:rPr>
        <w:t>graph</w:t>
      </w:r>
      <w:proofErr w:type="spellEnd"/>
      <w:r w:rsidR="00C261B5">
        <w:rPr>
          <w:bCs/>
        </w:rPr>
        <w:t xml:space="preserve"> </w:t>
      </w:r>
    </w:p>
    <w:p w14:paraId="70D04F67" w14:textId="77777777" w:rsidR="00E9096F" w:rsidRPr="00E9096F" w:rsidRDefault="00D87898" w:rsidP="00E9096F">
      <w:pPr>
        <w:jc w:val="both"/>
        <w:rPr>
          <w:bCs/>
        </w:rPr>
      </w:pPr>
      <w:r w:rsidRPr="00D87898">
        <w:rPr>
          <w:bCs/>
        </w:rPr>
        <w:t xml:space="preserve">incluida la extracción de </w:t>
      </w:r>
      <w:r>
        <w:rPr>
          <w:bCs/>
        </w:rPr>
        <w:t>la informacion de la base de datos que contiene los conceptos,</w:t>
      </w:r>
      <w:r w:rsidR="00D75FC7">
        <w:rPr>
          <w:bCs/>
        </w:rPr>
        <w:t xml:space="preserve"> </w:t>
      </w:r>
      <w:r>
        <w:rPr>
          <w:bCs/>
        </w:rPr>
        <w:t xml:space="preserve">definiciones y aplicaciones matemáticas </w:t>
      </w:r>
      <w:r w:rsidRPr="00D87898">
        <w:rPr>
          <w:bCs/>
        </w:rPr>
        <w:t xml:space="preserve">, la exploración de las relaciones entre </w:t>
      </w:r>
      <w:r w:rsidR="00D75FC7">
        <w:rPr>
          <w:bCs/>
        </w:rPr>
        <w:t>las entrada de texto</w:t>
      </w:r>
      <w:r w:rsidRPr="00D87898">
        <w:rPr>
          <w:bCs/>
        </w:rPr>
        <w:t xml:space="preserve"> y los elementos, y la exploración de conceptos</w:t>
      </w:r>
      <w:r w:rsidR="00D75FC7">
        <w:rPr>
          <w:bCs/>
        </w:rPr>
        <w:t xml:space="preserve"> </w:t>
      </w:r>
      <w:r w:rsidR="00C07AFE">
        <w:rPr>
          <w:bCs/>
        </w:rPr>
        <w:t>,métodos para la consulta e interacción con</w:t>
      </w:r>
      <w:r w:rsidR="00D75FC7">
        <w:rPr>
          <w:bCs/>
        </w:rPr>
        <w:t xml:space="preserve"> el</w:t>
      </w:r>
      <w:r w:rsidR="00C07AFE">
        <w:rPr>
          <w:bCs/>
        </w:rPr>
        <w:t xml:space="preserve"> g</w:t>
      </w:r>
      <w:proofErr w:type="spellStart"/>
      <w:r w:rsidR="00C07AFE">
        <w:rPr>
          <w:bCs/>
        </w:rPr>
        <w:t>raph</w:t>
      </w:r>
      <w:proofErr w:type="spellEnd"/>
      <w:r w:rsidR="00C07AFE">
        <w:rPr>
          <w:bCs/>
        </w:rPr>
        <w:t xml:space="preserve"> y</w:t>
      </w:r>
      <w:r w:rsidR="00C261B5">
        <w:rPr>
          <w:bCs/>
        </w:rPr>
        <w:t xml:space="preserve">  la implementación de herramientas y algoritmos para el procesamiento de los datos, a saber,</w:t>
      </w:r>
      <w:r w:rsidR="00D75FC7">
        <w:rPr>
          <w:bCs/>
        </w:rPr>
        <w:t xml:space="preserve"> </w:t>
      </w:r>
      <w:r w:rsidR="00C261B5">
        <w:rPr>
          <w:bCs/>
        </w:rPr>
        <w:t xml:space="preserve">analizadores semánticos para clasificar valores de entrada y </w:t>
      </w:r>
      <w:r w:rsidR="00C261B5" w:rsidRPr="00C261B5">
        <w:rPr>
          <w:bCs/>
        </w:rPr>
        <w:t xml:space="preserve">Neo4j </w:t>
      </w:r>
      <w:r w:rsidR="00E9096F" w:rsidRPr="00E9096F">
        <w:rPr>
          <w:bCs/>
          <w:lang w:val="es-ES"/>
        </w:rPr>
        <w:t>como plataforma de base de datos de gráficos para construir e indexar nuestro gráfico.</w:t>
      </w:r>
    </w:p>
    <w:p w14:paraId="2307D19B" w14:textId="77777777" w:rsidR="00D87898" w:rsidRPr="00D87898" w:rsidRDefault="00D87898" w:rsidP="00C261B5">
      <w:pPr>
        <w:jc w:val="both"/>
        <w:rPr>
          <w:bCs/>
          <w:u w:val="single"/>
        </w:rPr>
      </w:pPr>
    </w:p>
    <w:p w14:paraId="3EDC9995" w14:textId="7EA660C1" w:rsidR="00925E6F" w:rsidRDefault="00925E6F">
      <w:r>
        <w:t>Referencias</w:t>
      </w:r>
    </w:p>
    <w:p w14:paraId="15EBC7A0" w14:textId="2886865F" w:rsidR="00925E6F" w:rsidRPr="001C7556" w:rsidRDefault="00925E6F" w:rsidP="00925E6F">
      <w:pPr>
        <w:pStyle w:val="Prrafodelista"/>
        <w:numPr>
          <w:ilvl w:val="0"/>
          <w:numId w:val="1"/>
        </w:numPr>
        <w:rPr>
          <w:lang w:val="es-MX"/>
        </w:rPr>
      </w:pPr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>Liu, W., Tang, T., Feng, J. </w:t>
      </w:r>
      <w:r w:rsidRPr="00925E6F">
        <w:rPr>
          <w:rFonts w:ascii="Segoe UI" w:hAnsi="Segoe UI" w:cs="Segoe UI"/>
          <w:i/>
          <w:iCs/>
          <w:color w:val="333333"/>
          <w:shd w:val="clear" w:color="auto" w:fill="FFFFFF"/>
          <w:lang w:val="en-US"/>
        </w:rPr>
        <w:t>et al.</w:t>
      </w:r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 Knowledge graph construction based on granulosa cells transcriptome from polycystic ovary syndrome with </w:t>
      </w:r>
      <w:proofErr w:type="spellStart"/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>normoandrogen</w:t>
      </w:r>
      <w:proofErr w:type="spellEnd"/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and </w:t>
      </w:r>
      <w:proofErr w:type="spellStart"/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>hyperandrogen</w:t>
      </w:r>
      <w:proofErr w:type="spellEnd"/>
      <w:r w:rsidRPr="00925E6F">
        <w:rPr>
          <w:rFonts w:ascii="Segoe UI" w:hAnsi="Segoe UI" w:cs="Segoe UI"/>
          <w:color w:val="333333"/>
          <w:shd w:val="clear" w:color="auto" w:fill="FFFFFF"/>
          <w:lang w:val="en-US"/>
        </w:rPr>
        <w:t>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J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FFFFF"/>
        </w:rPr>
        <w:t>Ovarian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Res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17</w:t>
      </w:r>
      <w:r>
        <w:rPr>
          <w:rFonts w:ascii="Segoe UI" w:hAnsi="Segoe UI" w:cs="Segoe UI"/>
          <w:color w:val="333333"/>
          <w:shd w:val="clear" w:color="auto" w:fill="FFFFFF"/>
        </w:rPr>
        <w:t xml:space="preserve">, 38 (2024). </w:t>
      </w:r>
      <w:hyperlink r:id="rId7" w:history="1">
        <w:r w:rsidR="001C7556" w:rsidRPr="00F4256B">
          <w:rPr>
            <w:rStyle w:val="Hipervnculo"/>
            <w:rFonts w:ascii="Segoe UI" w:hAnsi="Segoe UI" w:cs="Segoe UI"/>
            <w:shd w:val="clear" w:color="auto" w:fill="FFFFFF"/>
          </w:rPr>
          <w:t>https://doi.org/10.1186/s13048-024-01361-z</w:t>
        </w:r>
      </w:hyperlink>
    </w:p>
    <w:p w14:paraId="61232E46" w14:textId="43C358FA" w:rsidR="001C7556" w:rsidRPr="001C7556" w:rsidRDefault="001C7556" w:rsidP="00925E6F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1C7556">
        <w:rPr>
          <w:color w:val="FF0000"/>
          <w:lang w:val="en-US"/>
        </w:rPr>
        <w:t xml:space="preserve">Yang, Y.; Zhu, X. Eco-Environmental Risk </w:t>
      </w:r>
      <w:proofErr w:type="gramStart"/>
      <w:r w:rsidRPr="001C7556">
        <w:rPr>
          <w:color w:val="FF0000"/>
          <w:lang w:val="en-US"/>
        </w:rPr>
        <w:t>Assessment</w:t>
      </w:r>
      <w:proofErr w:type="gramEnd"/>
      <w:r w:rsidRPr="001C7556">
        <w:rPr>
          <w:color w:val="FF0000"/>
          <w:lang w:val="en-US"/>
        </w:rPr>
        <w:t xml:space="preserve"> and Its Precaution Partitions Based on a Knowledge Graph: A Case Study of Shenzhen City, China. </w:t>
      </w:r>
      <w:proofErr w:type="spellStart"/>
      <w:r w:rsidRPr="001C7556">
        <w:rPr>
          <w:i/>
          <w:iCs/>
          <w:color w:val="FF0000"/>
        </w:rPr>
        <w:t>Sustainability</w:t>
      </w:r>
      <w:proofErr w:type="spellEnd"/>
      <w:r w:rsidRPr="001C7556">
        <w:rPr>
          <w:color w:val="FF0000"/>
        </w:rPr>
        <w:t> </w:t>
      </w:r>
      <w:r w:rsidRPr="001C7556">
        <w:rPr>
          <w:b/>
          <w:bCs/>
          <w:color w:val="FF0000"/>
        </w:rPr>
        <w:t>2024</w:t>
      </w:r>
      <w:r w:rsidRPr="001C7556">
        <w:rPr>
          <w:color w:val="FF0000"/>
        </w:rPr>
        <w:t>, </w:t>
      </w:r>
      <w:r w:rsidRPr="001C7556">
        <w:rPr>
          <w:i/>
          <w:iCs/>
          <w:color w:val="FF0000"/>
        </w:rPr>
        <w:t>16</w:t>
      </w:r>
      <w:r w:rsidRPr="001C7556">
        <w:rPr>
          <w:color w:val="FF0000"/>
        </w:rPr>
        <w:t xml:space="preserve">, 909. </w:t>
      </w:r>
      <w:hyperlink r:id="rId8" w:history="1">
        <w:r w:rsidRPr="001C7556">
          <w:rPr>
            <w:rStyle w:val="Hipervnculo"/>
            <w:color w:val="FF0000"/>
          </w:rPr>
          <w:t>https://doi.org/10.3390/su16020909</w:t>
        </w:r>
      </w:hyperlink>
    </w:p>
    <w:p w14:paraId="78C418B7" w14:textId="42526EE4" w:rsidR="00CC0E13" w:rsidRPr="00CC0E13" w:rsidRDefault="00CC0E13" w:rsidP="00CC0E13">
      <w:pPr>
        <w:pStyle w:val="Prrafodelista"/>
        <w:numPr>
          <w:ilvl w:val="0"/>
          <w:numId w:val="1"/>
        </w:numPr>
        <w:rPr>
          <w:lang w:val="en-US"/>
        </w:rPr>
      </w:pPr>
      <w:r w:rsidRPr="00CC0E13">
        <w:rPr>
          <w:lang w:val="en-US"/>
        </w:rPr>
        <w:t>Hui Xu, Huiming Liao, </w:t>
      </w:r>
      <w:proofErr w:type="spellStart"/>
      <w:r w:rsidRPr="00CC0E13">
        <w:rPr>
          <w:lang w:val="en-US"/>
        </w:rPr>
        <w:t>Yongtao</w:t>
      </w:r>
      <w:proofErr w:type="spellEnd"/>
      <w:r w:rsidRPr="00CC0E13">
        <w:rPr>
          <w:lang w:val="en-US"/>
        </w:rPr>
        <w:t xml:space="preserve"> Tan, Bin Xing</w:t>
      </w:r>
      <w:r w:rsidRPr="00CC0E13">
        <w:rPr>
          <w:vertAlign w:val="superscript"/>
          <w:lang w:val="en-US"/>
        </w:rPr>
        <w:t xml:space="preserve"> </w:t>
      </w:r>
      <w:r w:rsidRPr="00CC0E13">
        <w:rPr>
          <w:lang w:val="en-US"/>
        </w:rPr>
        <w:t>and Bo Hou</w:t>
      </w:r>
      <w:r w:rsidRPr="00CC0E13">
        <w:rPr>
          <w:lang w:val="en-US"/>
        </w:rPr>
        <w:t>.</w:t>
      </w:r>
      <w:r w:rsidRPr="00CC0E13">
        <w:rPr>
          <w:rFonts w:ascii="Open Sans" w:eastAsia="Times New Roman" w:hAnsi="Open Sans" w:cs="Open Sans"/>
          <w:kern w:val="0"/>
          <w:sz w:val="36"/>
          <w:szCs w:val="36"/>
          <w:lang w:val="en-US" w:eastAsia="es-CO"/>
          <w14:ligatures w14:val="none"/>
        </w:rPr>
        <w:t xml:space="preserve"> </w:t>
      </w:r>
      <w:r w:rsidRPr="00CC0E13">
        <w:rPr>
          <w:lang w:val="en-US"/>
        </w:rPr>
        <w:t>Intelligent Exploration of Construction Accidents Based on Knowledge Graph</w:t>
      </w:r>
      <w:r w:rsidRPr="00CC0E13">
        <w:rPr>
          <w:lang w:val="en-US"/>
        </w:rPr>
        <w:t xml:space="preserve"> (2023). </w:t>
      </w:r>
      <w:hyperlink r:id="rId9" w:history="1">
        <w:r w:rsidRPr="00F4256B">
          <w:rPr>
            <w:rStyle w:val="Hipervnculo"/>
          </w:rPr>
          <w:t>https://doi.org/10.1051/e3sconf/202340904002</w:t>
        </w:r>
      </w:hyperlink>
    </w:p>
    <w:p w14:paraId="203DADBF" w14:textId="5887A389" w:rsidR="001C7556" w:rsidRPr="00CC0E13" w:rsidRDefault="00CC0E13" w:rsidP="00925E6F">
      <w:pPr>
        <w:pStyle w:val="Prrafodelista"/>
        <w:numPr>
          <w:ilvl w:val="0"/>
          <w:numId w:val="1"/>
        </w:numPr>
        <w:rPr>
          <w:lang w:val="en-US"/>
        </w:rPr>
      </w:pPr>
      <w:r w:rsidRPr="00CC0E13">
        <w:t>G. Li et al. (Eds.): DASFAA 2019, LNCS 11446, pp. 760–776, 2019</w:t>
      </w:r>
      <w:r>
        <w:t>.</w:t>
      </w:r>
      <w:r w:rsidRPr="00CC0E13">
        <w:t xml:space="preserve"> </w:t>
      </w:r>
      <w:hyperlink r:id="rId10" w:history="1">
        <w:r w:rsidRPr="00F4256B">
          <w:rPr>
            <w:rStyle w:val="Hipervnculo"/>
          </w:rPr>
          <w:t>https://doi.org/10.1007/978-3-030-18576-3_4</w:t>
        </w:r>
        <w:r w:rsidRPr="00F4256B">
          <w:rPr>
            <w:rStyle w:val="Hipervnculo"/>
          </w:rPr>
          <w:t>5</w:t>
        </w:r>
      </w:hyperlink>
    </w:p>
    <w:p w14:paraId="504FA31E" w14:textId="77777777" w:rsidR="00CC0E13" w:rsidRPr="00CC0E13" w:rsidRDefault="00CC0E13" w:rsidP="00CC0E13">
      <w:pPr>
        <w:pStyle w:val="Prrafodelista"/>
        <w:rPr>
          <w:lang w:val="en-US"/>
        </w:rPr>
      </w:pPr>
    </w:p>
    <w:sectPr w:rsidR="00CC0E13" w:rsidRPr="00CC0E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7AF"/>
    <w:multiLevelType w:val="hybridMultilevel"/>
    <w:tmpl w:val="2970F1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379"/>
    <w:multiLevelType w:val="hybridMultilevel"/>
    <w:tmpl w:val="53D6C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3477">
    <w:abstractNumId w:val="0"/>
  </w:num>
  <w:num w:numId="2" w16cid:durableId="7539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57"/>
    <w:rsid w:val="001C7556"/>
    <w:rsid w:val="001E2A57"/>
    <w:rsid w:val="00206198"/>
    <w:rsid w:val="002623EB"/>
    <w:rsid w:val="00295AC6"/>
    <w:rsid w:val="002A5316"/>
    <w:rsid w:val="00325BEB"/>
    <w:rsid w:val="003C2460"/>
    <w:rsid w:val="00476256"/>
    <w:rsid w:val="005247CA"/>
    <w:rsid w:val="00527057"/>
    <w:rsid w:val="00577B42"/>
    <w:rsid w:val="00612320"/>
    <w:rsid w:val="006A3B5C"/>
    <w:rsid w:val="00925E6F"/>
    <w:rsid w:val="00993C0C"/>
    <w:rsid w:val="00A751D5"/>
    <w:rsid w:val="00B940FC"/>
    <w:rsid w:val="00BE636E"/>
    <w:rsid w:val="00C07AFE"/>
    <w:rsid w:val="00C261B5"/>
    <w:rsid w:val="00C81960"/>
    <w:rsid w:val="00CC0E13"/>
    <w:rsid w:val="00D722EB"/>
    <w:rsid w:val="00D75FC7"/>
    <w:rsid w:val="00D8579C"/>
    <w:rsid w:val="00D87898"/>
    <w:rsid w:val="00DF4B8D"/>
    <w:rsid w:val="00E9096F"/>
    <w:rsid w:val="00E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1BAE"/>
  <w15:chartTrackingRefBased/>
  <w15:docId w15:val="{3157DB9B-4485-4508-88A2-6978A28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A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A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A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A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75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755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09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09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u160209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s13048-024-01361-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07/978-3-030-18576-3_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51/e3sconf/2023409040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ANDREA CHACON VELASQUEZ</dc:creator>
  <cp:keywords/>
  <dc:description/>
  <cp:lastModifiedBy>LAURA ANDREA CHACON VELASQUEZ</cp:lastModifiedBy>
  <cp:revision>2</cp:revision>
  <dcterms:created xsi:type="dcterms:W3CDTF">2024-02-27T17:26:00Z</dcterms:created>
  <dcterms:modified xsi:type="dcterms:W3CDTF">2024-02-28T03:38:00Z</dcterms:modified>
</cp:coreProperties>
</file>