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i w:val="0"/>
          <w:sz w:val="32"/>
        </w:rPr>
        <w:t>On Nadir-Gap Filling for SWOT KaRIn Sea-Surface Height Anomaly</w:t>
      </w:r>
    </w:p>
    <w:p>
      <w:pPr>
        <w:spacing w:after="80" w:before="0"/>
        <w:jc w:val="center"/>
      </w:pPr>
      <w:r>
        <w:rPr>
          <w:rFonts w:ascii="Times New Roman" w:hAnsi="Times New Roman" w:eastAsia="Times New Roman"/>
          <w:b w:val="0"/>
          <w:i/>
          <w:sz w:val="24"/>
        </w:rPr>
        <w:t>Theory, Papoulis–Gerchberg Algorithm, and 2024 Production Results</w:t>
      </w:r>
    </w:p>
    <w:p>
      <w:pPr>
        <w:spacing w:after="40" w:before="0"/>
        <w:jc w:val="center"/>
      </w:pPr>
      <w:r>
        <w:rPr>
          <w:rFonts w:ascii="Times New Roman" w:hAnsi="Times New Roman" w:eastAsia="Times New Roman"/>
          <w:b w:val="0"/>
          <w:i w:val="0"/>
          <w:sz w:val="20"/>
        </w:rPr>
        <w:t>RespondSeeSurface / fill_nadir_gap  ·  Technical report</w:t>
      </w:r>
    </w:p>
    <w:p>
      <w:pPr>
        <w:spacing w:after="360" w:before="0"/>
        <w:jc w:val="center"/>
      </w:pPr>
      <w:r>
        <w:rPr>
          <w:rFonts w:ascii="Times New Roman" w:hAnsi="Times New Roman" w:eastAsia="Times New Roman"/>
          <w:b w:val="0"/>
          <w:i w:val="0"/>
          <w:sz w:val="18"/>
        </w:rPr>
        <w:t>Dataset year: 2024 (E:\SWOT2024 → E:\SWOT2024_Ok)  ·  Method tag: papoulis_gerchberg_2d_aniso</w:t>
      </w:r>
    </w:p>
    <w:p>
      <w:pPr>
        <w:pStyle w:val="Heading1"/>
      </w:pPr>
      <w:r>
        <w:rPr>
          <w:rFonts w:ascii="Times New Roman" w:hAnsi="Times New Roman" w:eastAsia="Times New Roman"/>
          <w:b/>
          <w:i w:val="0"/>
          <w:sz w:val="28"/>
        </w:rPr>
        <w:t>Abstract</w:t>
      </w:r>
    </w:p>
    <w:p>
      <w:pPr>
        <w:spacing w:after="240" w:before="0"/>
        <w:jc w:val="both"/>
      </w:pPr>
      <w:r>
        <w:rPr>
          <w:rFonts w:ascii="Times New Roman" w:hAnsi="Times New Roman" w:eastAsia="Times New Roman"/>
          <w:b w:val="0"/>
          <w:i w:val="0"/>
          <w:sz w:val="22"/>
        </w:rPr>
        <w:t>The Surface Water and Ocean Topography (SWOT) Ka-band Radar Interferometer (KaRIn) delivers wide-swath sea-surface height anomaly (SSHA) with a persistent along-track void at nadir where the interferometric baseline vanishes. Reconstructing this gap is required for continuous swath products used in downscaling and residual learning against Level-4 sea-level anomaly (SLA). This report formalizes the nadir-gap problem in the discrete Fourier domain, explains why magnitude-only spectral interpolation is scientifically inadequate, and derives the two-dimensional anisotropic Papoulis–Gerchberg (PG) algorithm used in production. On 10,038 SWOT L3 LR half-orbits from 2024, the pipeline successfully wrote 9,532 filled NetCDF twins (≈95% success) under the contract that all originally valid KaRIn samples are reinstated exactly. Quality scoring on 1,000 random 138×69 crops yields mean score 75.1 (median 77.9), with ringing and weak left–right correlation as the dominant residual failure modes. Results support PG as an operational reconstruction with uncertainty—not as new KaRIn measurements—and motivate a future hybrid spatial-residual AI with spectral guard.</w:t>
      </w:r>
    </w:p>
    <w:p>
      <w:pPr>
        <w:pStyle w:val="Heading1"/>
      </w:pPr>
      <w:r>
        <w:rPr>
          <w:rFonts w:ascii="Times New Roman" w:hAnsi="Times New Roman" w:eastAsia="Times New Roman"/>
          <w:b/>
          <w:i w:val="0"/>
          <w:sz w:val="28"/>
        </w:rPr>
        <w:t>1. Introduction</w:t>
      </w:r>
    </w:p>
    <w:p>
      <w:pPr>
        <w:spacing w:after="160" w:before="0"/>
        <w:jc w:val="both"/>
      </w:pPr>
      <w:r>
        <w:rPr>
          <w:rFonts w:ascii="Times New Roman" w:hAnsi="Times New Roman" w:eastAsia="Times New Roman"/>
          <w:b w:val="0"/>
          <w:i w:val="0"/>
          <w:sz w:val="22"/>
        </w:rPr>
        <w:t>SWOT KaRIn Level-3 low-resolution (LR) Basic products provide SSHA on a swath grid with 69 across-track pixels. Near the satellite ground track, the KaRIn measurement geometry leaves a central band of missing or unreliable interferometric estimates (the nadir gap). Sparse secondary-instrument (nadir altimeter) hits may appear inside that band and must be cleared before gap filling so that the void is a clean reconstruction target rather than a mixture of incompatible instruments.</w:t>
      </w:r>
    </w:p>
    <w:p>
      <w:pPr>
        <w:spacing w:after="160" w:before="0"/>
        <w:jc w:val="both"/>
      </w:pPr>
      <w:r>
        <w:rPr>
          <w:rFonts w:ascii="Times New Roman" w:hAnsi="Times New Roman" w:eastAsia="Times New Roman"/>
          <w:b w:val="0"/>
          <w:i w:val="0"/>
          <w:sz w:val="22"/>
        </w:rPr>
        <w:t>Scientifically, gap fill is an inverse problem: estimate unobserved SSHA from observed KaRIn flanks while preserving spectral energy (eddy scale content) and spatial phase (where that energy sits). The production choice for RespondSeeSurface 2024 is classical 2D PG with an anisotropic low-pass projector, initialized by across-track linear interpolation, followed by exact reinstatement of known samples.</w:t>
      </w:r>
    </w:p>
    <w:p>
      <w:pPr>
        <w:pStyle w:val="Heading1"/>
      </w:pPr>
      <w:r>
        <w:rPr>
          <w:rFonts w:ascii="Times New Roman" w:hAnsi="Times New Roman" w:eastAsia="Times New Roman"/>
          <w:b/>
          <w:i w:val="0"/>
          <w:sz w:val="28"/>
        </w:rPr>
        <w:t>2. Problem formulation</w:t>
      </w:r>
    </w:p>
    <w:p>
      <w:pPr>
        <w:pStyle w:val="Heading2"/>
      </w:pPr>
      <w:r>
        <w:rPr>
          <w:rFonts w:ascii="Times New Roman" w:hAnsi="Times New Roman" w:eastAsia="Times New Roman"/>
          <w:b/>
          <w:i w:val="0"/>
          <w:sz w:val="24"/>
        </w:rPr>
        <w:t>2.1 Discrete swath field and observation mask</w:t>
      </w:r>
    </w:p>
    <w:p>
      <w:pPr>
        <w:spacing w:after="80" w:before="0"/>
        <w:jc w:val="both"/>
      </w:pPr>
      <w:r>
        <w:rPr>
          <w:rFonts w:ascii="Times New Roman" w:hAnsi="Times New Roman" w:eastAsia="Times New Roman"/>
          <w:b w:val="0"/>
          <w:i w:val="0"/>
          <w:sz w:val="22"/>
        </w:rPr>
        <w:t>Let the SSHA field on a half-orbit (or a crop) be the real array</w:t>
      </w:r>
    </w:p>
    <w:p>
      <w:pPr>
        <w:spacing w:before="120" w:after="120"/>
        <w:jc w:val="center"/>
      </w:pPr>
      <w:r>
        <w:rPr>
          <w:rFonts w:ascii="Times New Roman" w:hAnsi="Times New Roman" w:eastAsia="Times New Roman"/>
          <w:b w:val="0"/>
          <w:i/>
          <w:sz w:val="22"/>
        </w:rPr>
        <w:t>u[n, p] ∈ ℝ,    n = 0,…,N−1,    p = 0,…,68</w:t>
      </w:r>
      <w:r>
        <w:rPr>
          <w:rFonts w:ascii="Times New Roman" w:hAnsi="Times New Roman" w:eastAsia="Times New Roman"/>
          <w:b w:val="0"/>
          <w:i w:val="0"/>
          <w:sz w:val="22"/>
        </w:rPr>
        <w:t xml:space="preserve">    (1)</w:t>
      </w:r>
    </w:p>
    <w:p>
      <w:pPr>
        <w:spacing w:after="80" w:before="0"/>
        <w:jc w:val="both"/>
      </w:pPr>
      <w:r>
        <w:rPr>
          <w:rFonts w:ascii="Times New Roman" w:hAnsi="Times New Roman" w:eastAsia="Times New Roman"/>
          <w:b w:val="0"/>
          <w:i w:val="0"/>
          <w:sz w:val="22"/>
        </w:rPr>
        <w:t>where n is the along-track index and p the across-track pixel. Define the binary observation mask m[n,p] ∈ {0,1} with m=1 on valid KaRIn ssha_filtered samples and m=0 on fill values, land, outer empty columns, and the cleared central nadir void. The observed field is</w:t>
      </w:r>
    </w:p>
    <w:p>
      <w:pPr>
        <w:spacing w:before="120" w:after="120"/>
        <w:jc w:val="center"/>
      </w:pPr>
      <w:r>
        <w:rPr>
          <w:rFonts w:ascii="Times New Roman" w:hAnsi="Times New Roman" w:eastAsia="Times New Roman"/>
          <w:b w:val="0"/>
          <w:i/>
          <w:sz w:val="22"/>
        </w:rPr>
        <w:t>u_obs = m ⊙ u</w:t>
      </w:r>
      <w:r>
        <w:rPr>
          <w:rFonts w:ascii="Times New Roman" w:hAnsi="Times New Roman" w:eastAsia="Times New Roman"/>
          <w:b w:val="0"/>
          <w:i w:val="0"/>
          <w:sz w:val="22"/>
        </w:rPr>
        <w:t xml:space="preserve">    (2)</w:t>
      </w:r>
    </w:p>
    <w:p>
      <w:pPr>
        <w:spacing w:after="160" w:before="0"/>
        <w:jc w:val="both"/>
      </w:pPr>
      <w:r>
        <w:rPr>
          <w:rFonts w:ascii="Times New Roman" w:hAnsi="Times New Roman" w:eastAsia="Times New Roman"/>
          <w:b w:val="0"/>
          <w:i w:val="0"/>
          <w:sz w:val="22"/>
        </w:rPr>
        <w:t>with ⊙ the Hadamard (element-wise) product. The reconstruction goal is to produce u_rec such that u_rec[n,p] = u_obs[n,p] whenever m[n,p]=1, and u_rec approximates the missing continuum on m=0.</w:t>
      </w:r>
    </w:p>
    <w:p>
      <w:pPr>
        <w:spacing w:after="40"/>
        <w:jc w:val="center"/>
      </w:pPr>
      <w:r>
        <w:drawing>
          <wp:inline xmlns:a="http://schemas.openxmlformats.org/drawingml/2006/main" xmlns:pic="http://schemas.openxmlformats.org/drawingml/2006/picture">
            <wp:extent cx="5486400" cy="2697824"/>
            <wp:docPr id="1" name="Picture 1"/>
            <wp:cNvGraphicFramePr>
              <a:graphicFrameLocks noChangeAspect="1"/>
            </wp:cNvGraphicFramePr>
            <a:graphic>
              <a:graphicData uri="http://schemas.openxmlformats.org/drawingml/2006/picture">
                <pic:pic>
                  <pic:nvPicPr>
                    <pic:cNvPr id="0" name="Fig01_swath_geometry.png"/>
                    <pic:cNvPicPr/>
                  </pic:nvPicPr>
                  <pic:blipFill>
                    <a:blip r:embed="rId9"/>
                    <a:stretch>
                      <a:fillRect/>
                    </a:stretch>
                  </pic:blipFill>
                  <pic:spPr>
                    <a:xfrm>
                      <a:off x="0" y="0"/>
                      <a:ext cx="5486400" cy="2697824"/>
                    </a:xfrm>
                    <a:prstGeom prst="rect"/>
                  </pic:spPr>
                </pic:pic>
              </a:graphicData>
            </a:graphic>
          </wp:inline>
        </w:drawing>
      </w:r>
    </w:p>
    <w:p>
      <w:pPr>
        <w:spacing w:after="240" w:before="0"/>
        <w:jc w:val="center"/>
      </w:pPr>
      <w:r>
        <w:rPr>
          <w:rFonts w:ascii="Times New Roman" w:hAnsi="Times New Roman" w:eastAsia="Times New Roman"/>
          <w:b w:val="0"/>
          <w:i/>
          <w:sz w:val="18"/>
        </w:rPr>
        <w:t>Figure 1. Schematic KaRIn LR swath (69 across-track pixels) with central nadir void (m=0). Outer edge columns may also be empty; they are not treated as the scientific nadir gap target.</w:t>
      </w:r>
    </w:p>
    <w:p>
      <w:pPr>
        <w:pStyle w:val="Heading2"/>
      </w:pPr>
      <w:r>
        <w:rPr>
          <w:rFonts w:ascii="Times New Roman" w:hAnsi="Times New Roman" w:eastAsia="Times New Roman"/>
          <w:b/>
          <w:i w:val="0"/>
          <w:sz w:val="24"/>
        </w:rPr>
        <w:t>2.2 Complex spectrum: magnitude and phase</w:t>
      </w:r>
    </w:p>
    <w:p>
      <w:pPr>
        <w:spacing w:after="80" w:before="0"/>
        <w:jc w:val="both"/>
      </w:pPr>
      <w:r>
        <w:rPr>
          <w:rFonts w:ascii="Times New Roman" w:hAnsi="Times New Roman" w:eastAsia="Times New Roman"/>
          <w:b w:val="0"/>
          <w:i w:val="0"/>
          <w:sz w:val="22"/>
        </w:rPr>
        <w:t>The two-dimensional discrete Fourier transform (DFT) of a completed field v is</w:t>
      </w:r>
    </w:p>
    <w:p>
      <w:pPr>
        <w:spacing w:before="120" w:after="120"/>
        <w:jc w:val="center"/>
      </w:pPr>
      <w:r>
        <w:rPr>
          <w:rFonts w:ascii="Times New Roman" w:hAnsi="Times New Roman" w:eastAsia="Times New Roman"/>
          <w:b w:val="0"/>
          <w:i/>
          <w:sz w:val="22"/>
        </w:rPr>
        <w:t>V̂(k_n, k_p) = Σ_{n,p} v[n,p]  exp(−2πi (k_n n/N + k_p p/P))</w:t>
      </w:r>
      <w:r>
        <w:rPr>
          <w:rFonts w:ascii="Times New Roman" w:hAnsi="Times New Roman" w:eastAsia="Times New Roman"/>
          <w:b w:val="0"/>
          <w:i w:val="0"/>
          <w:sz w:val="22"/>
        </w:rPr>
        <w:t xml:space="preserve">    (3)</w:t>
      </w:r>
    </w:p>
    <w:p>
      <w:pPr>
        <w:spacing w:after="80" w:before="0"/>
        <w:jc w:val="both"/>
      </w:pPr>
      <w:r>
        <w:rPr>
          <w:rFonts w:ascii="Times New Roman" w:hAnsi="Times New Roman" w:eastAsia="Times New Roman"/>
          <w:b w:val="0"/>
          <w:i w:val="0"/>
          <w:sz w:val="22"/>
        </w:rPr>
        <w:t>In polar form,</w:t>
      </w:r>
    </w:p>
    <w:p>
      <w:pPr>
        <w:spacing w:before="120" w:after="120"/>
        <w:jc w:val="center"/>
      </w:pPr>
      <w:r>
        <w:rPr>
          <w:rFonts w:ascii="Times New Roman" w:hAnsi="Times New Roman" w:eastAsia="Times New Roman"/>
          <w:b w:val="0"/>
          <w:i/>
          <w:sz w:val="22"/>
        </w:rPr>
        <w:t>V̂(k) = |V̂(k)|  exp(i φ(k))</w:t>
      </w:r>
      <w:r>
        <w:rPr>
          <w:rFonts w:ascii="Times New Roman" w:hAnsi="Times New Roman" w:eastAsia="Times New Roman"/>
          <w:b w:val="0"/>
          <w:i w:val="0"/>
          <w:sz w:val="22"/>
        </w:rPr>
        <w:t xml:space="preserve">    (4)</w:t>
      </w:r>
    </w:p>
    <w:p>
      <w:pPr>
        <w:spacing w:after="160" w:before="0"/>
        <w:jc w:val="both"/>
      </w:pPr>
      <w:r>
        <w:rPr>
          <w:rFonts w:ascii="Times New Roman" w:hAnsi="Times New Roman" w:eastAsia="Times New Roman"/>
          <w:b w:val="0"/>
          <w:i w:val="0"/>
          <w:sz w:val="22"/>
        </w:rPr>
        <w:t>The magnitude |V̂| encodes the power spectral density (PSD) and thus the partition of variance across eddy scales. The phase φ encodes spatial placement: where ridges, fronts, and eddy cores sit in physical space. Consequently, magnitude-only interpolation in Fourier space followed by inverse DFT destroys structure even when the PSD looks plausible. Any primary method must act on complex coefficients or on the spatial field with a spectral constraint that preserves the phase of retained modes.</w:t>
      </w:r>
    </w:p>
    <w:p>
      <w:pPr>
        <w:pStyle w:val="Heading2"/>
      </w:pPr>
      <w:r>
        <w:rPr>
          <w:rFonts w:ascii="Times New Roman" w:hAnsi="Times New Roman" w:eastAsia="Times New Roman"/>
          <w:b/>
          <w:i w:val="0"/>
          <w:sz w:val="24"/>
        </w:rPr>
        <w:t>2.3 Why a naive FFT of gapped data fails</w:t>
      </w:r>
    </w:p>
    <w:p>
      <w:pPr>
        <w:spacing w:after="80" w:before="0"/>
        <w:jc w:val="both"/>
      </w:pPr>
      <w:r>
        <w:rPr>
          <w:rFonts w:ascii="Times New Roman" w:hAnsi="Times New Roman" w:eastAsia="Times New Roman"/>
          <w:b w:val="0"/>
          <w:i w:val="0"/>
          <w:sz w:val="22"/>
        </w:rPr>
        <w:t>Masking is a multiplication in space and therefore a convolution in frequency:</w:t>
      </w:r>
    </w:p>
    <w:p>
      <w:pPr>
        <w:spacing w:before="120" w:after="120"/>
        <w:jc w:val="center"/>
      </w:pPr>
      <w:r>
        <w:rPr>
          <w:rFonts w:ascii="Times New Roman" w:hAnsi="Times New Roman" w:eastAsia="Times New Roman"/>
          <w:b w:val="0"/>
          <w:i/>
          <w:sz w:val="22"/>
        </w:rPr>
        <w:t>Û_obs = M̂ ∗ Û</w:t>
      </w:r>
      <w:r>
        <w:rPr>
          <w:rFonts w:ascii="Times New Roman" w:hAnsi="Times New Roman" w:eastAsia="Times New Roman"/>
          <w:b w:val="0"/>
          <w:i w:val="0"/>
          <w:sz w:val="22"/>
        </w:rPr>
        <w:t xml:space="preserve">    (5)</w:t>
      </w:r>
    </w:p>
    <w:p>
      <w:pPr>
        <w:spacing w:after="160" w:before="0"/>
        <w:jc w:val="both"/>
      </w:pPr>
      <w:r>
        <w:rPr>
          <w:rFonts w:ascii="Times New Roman" w:hAnsi="Times New Roman" w:eastAsia="Times New Roman"/>
          <w:b w:val="0"/>
          <w:i w:val="0"/>
          <w:sz w:val="22"/>
        </w:rPr>
        <w:t>Spectral leakage from the sharp nadir cut contaminates all wavenumbers. Zero-filling NaNs and taking an FFT without reinjecting observations is not a consistent estimator. Mask-aware iterative schemes (PG) or learning models that see m explicitly are required.</w:t>
      </w:r>
    </w:p>
    <w:p>
      <w:pPr>
        <w:pStyle w:val="Heading1"/>
      </w:pPr>
      <w:r>
        <w:rPr>
          <w:rFonts w:ascii="Times New Roman" w:hAnsi="Times New Roman" w:eastAsia="Times New Roman"/>
          <w:b/>
          <w:i w:val="0"/>
          <w:sz w:val="28"/>
        </w:rPr>
        <w:t>3. Methods</w:t>
      </w:r>
    </w:p>
    <w:p>
      <w:pPr>
        <w:pStyle w:val="Heading2"/>
      </w:pPr>
      <w:r>
        <w:rPr>
          <w:rFonts w:ascii="Times New Roman" w:hAnsi="Times New Roman" w:eastAsia="Times New Roman"/>
          <w:b/>
          <w:i w:val="0"/>
          <w:sz w:val="24"/>
        </w:rPr>
        <w:t>3.1 Candidate family</w:t>
      </w:r>
    </w:p>
    <w:p>
      <w:pPr>
        <w:spacing w:after="120" w:before="0"/>
      </w:pPr>
      <w:r>
        <w:rPr>
          <w:rFonts w:ascii="Times New Roman" w:hAnsi="Times New Roman" w:eastAsia="Times New Roman"/>
          <w:b w:val="0"/>
          <w:i w:val="0"/>
          <w:sz w:val="22"/>
        </w:rPr>
        <w:t>Table 1 summarizes methods considered in the design notes.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850"/>
          </w:tcPr>
          <w:p>
            <w:r/>
            <w:r>
              <w:rPr>
                <w:rFonts w:ascii="Times New Roman" w:hAnsi="Times New Roman" w:eastAsia="Times New Roman"/>
                <w:b/>
                <w:i w:val="0"/>
                <w:sz w:val="18"/>
              </w:rPr>
              <w:t>ID</w:t>
            </w:r>
          </w:p>
        </w:tc>
        <w:tc>
          <w:tcPr>
            <w:tcW w:type="dxa" w:w="2835"/>
          </w:tcPr>
          <w:p>
            <w:r/>
            <w:r>
              <w:rPr>
                <w:rFonts w:ascii="Times New Roman" w:hAnsi="Times New Roman" w:eastAsia="Times New Roman"/>
                <w:b/>
                <w:i w:val="0"/>
                <w:sz w:val="18"/>
              </w:rPr>
              <w:t>Method</w:t>
            </w:r>
          </w:p>
        </w:tc>
        <w:tc>
          <w:tcPr>
            <w:tcW w:type="dxa" w:w="1247"/>
          </w:tcPr>
          <w:p>
            <w:r/>
            <w:r>
              <w:rPr>
                <w:rFonts w:ascii="Times New Roman" w:hAnsi="Times New Roman" w:eastAsia="Times New Roman"/>
                <w:b/>
                <w:i w:val="0"/>
                <w:sz w:val="18"/>
              </w:rPr>
              <w:t>Frequency</w:t>
            </w:r>
          </w:p>
        </w:tc>
        <w:tc>
          <w:tcPr>
            <w:tcW w:type="dxa" w:w="1417"/>
          </w:tcPr>
          <w:p>
            <w:r/>
            <w:r>
              <w:rPr>
                <w:rFonts w:ascii="Times New Roman" w:hAnsi="Times New Roman" w:eastAsia="Times New Roman"/>
                <w:b/>
                <w:i w:val="0"/>
                <w:sz w:val="18"/>
              </w:rPr>
              <w:t>Phase</w:t>
            </w:r>
          </w:p>
        </w:tc>
        <w:tc>
          <w:tcPr>
            <w:tcW w:type="dxa" w:w="1814"/>
          </w:tcPr>
          <w:p>
            <w:r/>
            <w:r>
              <w:rPr>
                <w:rFonts w:ascii="Times New Roman" w:hAnsi="Times New Roman" w:eastAsia="Times New Roman"/>
                <w:b/>
                <w:i w:val="0"/>
                <w:sz w:val="18"/>
              </w:rPr>
              <w:t>Role</w:t>
            </w:r>
          </w:p>
        </w:tc>
      </w:tr>
      <w:tr>
        <w:tc>
          <w:tcPr>
            <w:tcW w:type="dxa" w:w="850"/>
          </w:tcPr>
          <w:p>
            <w:r/>
            <w:r>
              <w:rPr>
                <w:rFonts w:ascii="Times New Roman" w:hAnsi="Times New Roman" w:eastAsia="Times New Roman"/>
                <w:b w:val="0"/>
                <w:i w:val="0"/>
                <w:sz w:val="18"/>
              </w:rPr>
              <w:t>E0</w:t>
            </w:r>
          </w:p>
        </w:tc>
        <w:tc>
          <w:tcPr>
            <w:tcW w:type="dxa" w:w="2835"/>
          </w:tcPr>
          <w:p>
            <w:r/>
            <w:r>
              <w:rPr>
                <w:rFonts w:ascii="Times New Roman" w:hAnsi="Times New Roman" w:eastAsia="Times New Roman"/>
                <w:b w:val="0"/>
                <w:i w:val="0"/>
                <w:sz w:val="18"/>
              </w:rPr>
              <w:t>Across-track linear / spline</w:t>
            </w:r>
          </w:p>
        </w:tc>
        <w:tc>
          <w:tcPr>
            <w:tcW w:type="dxa" w:w="1247"/>
          </w:tcPr>
          <w:p>
            <w:r/>
            <w:r>
              <w:rPr>
                <w:rFonts w:ascii="Times New Roman" w:hAnsi="Times New Roman" w:eastAsia="Times New Roman"/>
                <w:b w:val="0"/>
                <w:i w:val="0"/>
                <w:sz w:val="18"/>
              </w:rPr>
              <w:t>No</w:t>
            </w:r>
          </w:p>
        </w:tc>
        <w:tc>
          <w:tcPr>
            <w:tcW w:type="dxa" w:w="1417"/>
          </w:tcPr>
          <w:p>
            <w:r/>
            <w:r>
              <w:rPr>
                <w:rFonts w:ascii="Times New Roman" w:hAnsi="Times New Roman" w:eastAsia="Times New Roman"/>
                <w:b w:val="0"/>
                <w:i w:val="0"/>
                <w:sz w:val="18"/>
              </w:rPr>
              <w:t>Implicit</w:t>
            </w:r>
          </w:p>
        </w:tc>
        <w:tc>
          <w:tcPr>
            <w:tcW w:type="dxa" w:w="1814"/>
          </w:tcPr>
          <w:p>
            <w:r/>
            <w:r>
              <w:rPr>
                <w:rFonts w:ascii="Times New Roman" w:hAnsi="Times New Roman" w:eastAsia="Times New Roman"/>
                <w:b w:val="0"/>
                <w:i w:val="0"/>
                <w:sz w:val="18"/>
              </w:rPr>
              <w:t>Baseline init</w:t>
            </w:r>
          </w:p>
        </w:tc>
      </w:tr>
      <w:tr>
        <w:tc>
          <w:tcPr>
            <w:tcW w:type="dxa" w:w="850"/>
          </w:tcPr>
          <w:p>
            <w:r/>
            <w:r>
              <w:rPr>
                <w:rFonts w:ascii="Times New Roman" w:hAnsi="Times New Roman" w:eastAsia="Times New Roman"/>
                <w:b w:val="0"/>
                <w:i w:val="0"/>
                <w:sz w:val="18"/>
              </w:rPr>
              <w:t>E0b</w:t>
            </w:r>
          </w:p>
        </w:tc>
        <w:tc>
          <w:tcPr>
            <w:tcW w:type="dxa" w:w="2835"/>
          </w:tcPr>
          <w:p>
            <w:r/>
            <w:r>
              <w:rPr>
                <w:rFonts w:ascii="Times New Roman" w:hAnsi="Times New Roman" w:eastAsia="Times New Roman"/>
                <w:b w:val="0"/>
                <w:i w:val="0"/>
                <w:sz w:val="18"/>
              </w:rPr>
              <w:t>Co-temporal L4 SLA blend</w:t>
            </w:r>
          </w:p>
        </w:tc>
        <w:tc>
          <w:tcPr>
            <w:tcW w:type="dxa" w:w="1247"/>
          </w:tcPr>
          <w:p>
            <w:r/>
            <w:r>
              <w:rPr>
                <w:rFonts w:ascii="Times New Roman" w:hAnsi="Times New Roman" w:eastAsia="Times New Roman"/>
                <w:b w:val="0"/>
                <w:i w:val="0"/>
                <w:sz w:val="18"/>
              </w:rPr>
              <w:t>Low-pass</w:t>
            </w:r>
          </w:p>
        </w:tc>
        <w:tc>
          <w:tcPr>
            <w:tcW w:type="dxa" w:w="1417"/>
          </w:tcPr>
          <w:p>
            <w:r/>
            <w:r>
              <w:rPr>
                <w:rFonts w:ascii="Times New Roman" w:hAnsi="Times New Roman" w:eastAsia="Times New Roman"/>
                <w:b w:val="0"/>
                <w:i w:val="0"/>
                <w:sz w:val="18"/>
              </w:rPr>
              <w:t>From L4</w:t>
            </w:r>
          </w:p>
        </w:tc>
        <w:tc>
          <w:tcPr>
            <w:tcW w:type="dxa" w:w="1814"/>
          </w:tcPr>
          <w:p>
            <w:r/>
            <w:r>
              <w:rPr>
                <w:rFonts w:ascii="Times New Roman" w:hAnsi="Times New Roman" w:eastAsia="Times New Roman"/>
                <w:b w:val="0"/>
                <w:i w:val="0"/>
                <w:sz w:val="18"/>
              </w:rPr>
              <w:t>Prior L</w:t>
            </w:r>
          </w:p>
        </w:tc>
      </w:tr>
      <w:tr>
        <w:tc>
          <w:tcPr>
            <w:tcW w:type="dxa" w:w="850"/>
          </w:tcPr>
          <w:p>
            <w:r/>
            <w:r>
              <w:rPr>
                <w:rFonts w:ascii="Times New Roman" w:hAnsi="Times New Roman" w:eastAsia="Times New Roman"/>
                <w:b w:val="0"/>
                <w:i w:val="0"/>
                <w:sz w:val="18"/>
              </w:rPr>
              <w:t>E1</w:t>
            </w:r>
          </w:p>
        </w:tc>
        <w:tc>
          <w:tcPr>
            <w:tcW w:type="dxa" w:w="2835"/>
          </w:tcPr>
          <w:p>
            <w:r/>
            <w:r>
              <w:rPr>
                <w:rFonts w:ascii="Times New Roman" w:hAnsi="Times New Roman" w:eastAsia="Times New Roman"/>
                <w:b w:val="0"/>
                <w:i w:val="0"/>
                <w:sz w:val="18"/>
              </w:rPr>
              <w:t>2D Papoulis–Gerchberg</w:t>
            </w:r>
          </w:p>
        </w:tc>
        <w:tc>
          <w:tcPr>
            <w:tcW w:type="dxa" w:w="1247"/>
          </w:tcPr>
          <w:p>
            <w:r/>
            <w:r>
              <w:rPr>
                <w:rFonts w:ascii="Times New Roman" w:hAnsi="Times New Roman" w:eastAsia="Times New Roman"/>
                <w:b w:val="0"/>
                <w:i w:val="0"/>
                <w:sz w:val="18"/>
              </w:rPr>
              <w:t>Yes</w:t>
            </w:r>
          </w:p>
        </w:tc>
        <w:tc>
          <w:tcPr>
            <w:tcW w:type="dxa" w:w="1417"/>
          </w:tcPr>
          <w:p>
            <w:r/>
            <w:r>
              <w:rPr>
                <w:rFonts w:ascii="Times New Roman" w:hAnsi="Times New Roman" w:eastAsia="Times New Roman"/>
                <w:b w:val="0"/>
                <w:i w:val="0"/>
                <w:sz w:val="18"/>
              </w:rPr>
              <w:t>Yes (complex)</w:t>
            </w:r>
          </w:p>
        </w:tc>
        <w:tc>
          <w:tcPr>
            <w:tcW w:type="dxa" w:w="1814"/>
          </w:tcPr>
          <w:p>
            <w:r/>
            <w:r>
              <w:rPr>
                <w:rFonts w:ascii="Times New Roman" w:hAnsi="Times New Roman" w:eastAsia="Times New Roman"/>
                <w:b w:val="0"/>
                <w:i w:val="0"/>
                <w:sz w:val="18"/>
              </w:rPr>
              <w:t>Production 2024</w:t>
            </w:r>
          </w:p>
        </w:tc>
      </w:tr>
      <w:tr>
        <w:tc>
          <w:tcPr>
            <w:tcW w:type="dxa" w:w="850"/>
          </w:tcPr>
          <w:p>
            <w:r/>
            <w:r>
              <w:rPr>
                <w:rFonts w:ascii="Times New Roman" w:hAnsi="Times New Roman" w:eastAsia="Times New Roman"/>
                <w:b w:val="0"/>
                <w:i w:val="0"/>
                <w:sz w:val="18"/>
              </w:rPr>
              <w:t>—</w:t>
            </w:r>
          </w:p>
        </w:tc>
        <w:tc>
          <w:tcPr>
            <w:tcW w:type="dxa" w:w="2835"/>
          </w:tcPr>
          <w:p>
            <w:r/>
            <w:r>
              <w:rPr>
                <w:rFonts w:ascii="Times New Roman" w:hAnsi="Times New Roman" w:eastAsia="Times New Roman"/>
                <w:b w:val="0"/>
                <w:i w:val="0"/>
                <w:sz w:val="18"/>
              </w:rPr>
              <w:t>|FFT|-only → IFFT</w:t>
            </w:r>
          </w:p>
        </w:tc>
        <w:tc>
          <w:tcPr>
            <w:tcW w:type="dxa" w:w="1247"/>
          </w:tcPr>
          <w:p>
            <w:r/>
            <w:r>
              <w:rPr>
                <w:rFonts w:ascii="Times New Roman" w:hAnsi="Times New Roman" w:eastAsia="Times New Roman"/>
                <w:b w:val="0"/>
                <w:i w:val="0"/>
                <w:sz w:val="18"/>
              </w:rPr>
              <w:t>Yes</w:t>
            </w:r>
          </w:p>
        </w:tc>
        <w:tc>
          <w:tcPr>
            <w:tcW w:type="dxa" w:w="1417"/>
          </w:tcPr>
          <w:p>
            <w:r/>
            <w:r>
              <w:rPr>
                <w:rFonts w:ascii="Times New Roman" w:hAnsi="Times New Roman" w:eastAsia="Times New Roman"/>
                <w:b w:val="0"/>
                <w:i w:val="0"/>
                <w:sz w:val="18"/>
              </w:rPr>
              <w:t>Broken</w:t>
            </w:r>
          </w:p>
        </w:tc>
        <w:tc>
          <w:tcPr>
            <w:tcW w:type="dxa" w:w="1814"/>
          </w:tcPr>
          <w:p>
            <w:r/>
            <w:r>
              <w:rPr>
                <w:rFonts w:ascii="Times New Roman" w:hAnsi="Times New Roman" w:eastAsia="Times New Roman"/>
                <w:b w:val="0"/>
                <w:i w:val="0"/>
                <w:sz w:val="18"/>
              </w:rPr>
              <w:t>Avoid</w:t>
            </w:r>
          </w:p>
        </w:tc>
      </w:tr>
      <w:tr>
        <w:tc>
          <w:tcPr>
            <w:tcW w:type="dxa" w:w="850"/>
          </w:tcPr>
          <w:p>
            <w:r/>
            <w:r>
              <w:rPr>
                <w:rFonts w:ascii="Times New Roman" w:hAnsi="Times New Roman" w:eastAsia="Times New Roman"/>
                <w:b w:val="0"/>
                <w:i w:val="0"/>
                <w:sz w:val="18"/>
              </w:rPr>
              <w:t>E2</w:t>
            </w:r>
          </w:p>
        </w:tc>
        <w:tc>
          <w:tcPr>
            <w:tcW w:type="dxa" w:w="2835"/>
          </w:tcPr>
          <w:p>
            <w:r/>
            <w:r>
              <w:rPr>
                <w:rFonts w:ascii="Times New Roman" w:hAnsi="Times New Roman" w:eastAsia="Times New Roman"/>
                <w:b w:val="0"/>
                <w:i w:val="0"/>
                <w:sz w:val="18"/>
              </w:rPr>
              <w:t>CNN/UNet spatial residual</w:t>
            </w:r>
          </w:p>
        </w:tc>
        <w:tc>
          <w:tcPr>
            <w:tcW w:type="dxa" w:w="1247"/>
          </w:tcPr>
          <w:p>
            <w:r/>
            <w:r>
              <w:rPr>
                <w:rFonts w:ascii="Times New Roman" w:hAnsi="Times New Roman" w:eastAsia="Times New Roman"/>
                <w:b w:val="0"/>
                <w:i w:val="0"/>
                <w:sz w:val="18"/>
              </w:rPr>
              <w:t>Indirect</w:t>
            </w:r>
          </w:p>
        </w:tc>
        <w:tc>
          <w:tcPr>
            <w:tcW w:type="dxa" w:w="1417"/>
          </w:tcPr>
          <w:p>
            <w:r/>
            <w:r>
              <w:rPr>
                <w:rFonts w:ascii="Times New Roman" w:hAnsi="Times New Roman" w:eastAsia="Times New Roman"/>
                <w:b w:val="0"/>
                <w:i w:val="0"/>
                <w:sz w:val="18"/>
              </w:rPr>
              <w:t>Learned</w:t>
            </w:r>
          </w:p>
        </w:tc>
        <w:tc>
          <w:tcPr>
            <w:tcW w:type="dxa" w:w="1814"/>
          </w:tcPr>
          <w:p>
            <w:r/>
            <w:r>
              <w:rPr>
                <w:rFonts w:ascii="Times New Roman" w:hAnsi="Times New Roman" w:eastAsia="Times New Roman"/>
                <w:b w:val="0"/>
                <w:i w:val="0"/>
                <w:sz w:val="18"/>
              </w:rPr>
              <w:t>Strong w/ surgery</w:t>
            </w:r>
          </w:p>
        </w:tc>
      </w:tr>
      <w:tr>
        <w:tc>
          <w:tcPr>
            <w:tcW w:type="dxa" w:w="850"/>
          </w:tcPr>
          <w:p>
            <w:r/>
            <w:r>
              <w:rPr>
                <w:rFonts w:ascii="Times New Roman" w:hAnsi="Times New Roman" w:eastAsia="Times New Roman"/>
                <w:b w:val="0"/>
                <w:i w:val="0"/>
                <w:sz w:val="18"/>
              </w:rPr>
              <w:t>E2*</w:t>
            </w:r>
          </w:p>
        </w:tc>
        <w:tc>
          <w:tcPr>
            <w:tcW w:type="dxa" w:w="2835"/>
          </w:tcPr>
          <w:p>
            <w:r/>
            <w:r>
              <w:rPr>
                <w:rFonts w:ascii="Times New Roman" w:hAnsi="Times New Roman" w:eastAsia="Times New Roman"/>
                <w:b w:val="0"/>
                <w:i w:val="0"/>
                <w:sz w:val="18"/>
              </w:rPr>
              <w:t>Hybrid: AI residual + H(k) + reinstate</w:t>
            </w:r>
          </w:p>
        </w:tc>
        <w:tc>
          <w:tcPr>
            <w:tcW w:type="dxa" w:w="1247"/>
          </w:tcPr>
          <w:p>
            <w:r/>
            <w:r>
              <w:rPr>
                <w:rFonts w:ascii="Times New Roman" w:hAnsi="Times New Roman" w:eastAsia="Times New Roman"/>
                <w:b w:val="0"/>
                <w:i w:val="0"/>
                <w:sz w:val="18"/>
              </w:rPr>
              <w:t>Controlled</w:t>
            </w:r>
          </w:p>
        </w:tc>
        <w:tc>
          <w:tcPr>
            <w:tcW w:type="dxa" w:w="1417"/>
          </w:tcPr>
          <w:p>
            <w:r/>
            <w:r>
              <w:rPr>
                <w:rFonts w:ascii="Times New Roman" w:hAnsi="Times New Roman" w:eastAsia="Times New Roman"/>
                <w:b w:val="0"/>
                <w:i w:val="0"/>
                <w:sz w:val="18"/>
              </w:rPr>
              <w:t>Preserved</w:t>
            </w:r>
          </w:p>
        </w:tc>
        <w:tc>
          <w:tcPr>
            <w:tcW w:type="dxa" w:w="1814"/>
          </w:tcPr>
          <w:p>
            <w:r/>
            <w:r>
              <w:rPr>
                <w:rFonts w:ascii="Times New Roman" w:hAnsi="Times New Roman" w:eastAsia="Times New Roman"/>
                <w:b w:val="0"/>
                <w:i w:val="0"/>
                <w:sz w:val="18"/>
              </w:rPr>
              <w:t>Recommended next</w:t>
            </w:r>
          </w:p>
        </w:tc>
      </w:tr>
    </w:tbl>
    <w:p/>
    <w:p>
      <w:pPr>
        <w:spacing w:after="240" w:before="0"/>
        <w:jc w:val="center"/>
      </w:pPr>
      <w:r>
        <w:rPr>
          <w:rFonts w:ascii="Times New Roman" w:hAnsi="Times New Roman" w:eastAsia="Times New Roman"/>
          <w:b w:val="0"/>
          <w:i/>
          <w:sz w:val="18"/>
        </w:rPr>
        <w:t>Table 1. Method family for SWOT KaRIn nadir-gap reconstruction.</w:t>
      </w:r>
    </w:p>
    <w:p>
      <w:pPr>
        <w:pStyle w:val="Heading2"/>
      </w:pPr>
      <w:r>
        <w:rPr>
          <w:rFonts w:ascii="Times New Roman" w:hAnsi="Times New Roman" w:eastAsia="Times New Roman"/>
          <w:b/>
          <w:i w:val="0"/>
          <w:sz w:val="24"/>
        </w:rPr>
        <w:t>3.2 Across-track linear baseline (E0)</w:t>
      </w:r>
    </w:p>
    <w:p>
      <w:pPr>
        <w:spacing w:after="160" w:before="0"/>
        <w:jc w:val="both"/>
      </w:pPr>
      <w:r>
        <w:rPr>
          <w:rFonts w:ascii="Times New Roman" w:hAnsi="Times New Roman" w:eastAsia="Times New Roman"/>
          <w:b w:val="0"/>
          <w:i w:val="0"/>
          <w:sz w:val="22"/>
        </w:rPr>
        <w:t>For each along-track row n, missing across-track samples are filled by linear interpolation in p using neighboring finite KaRIn values (row-wise). Rows with no finite samples fall back to a global finite mean. E0 provides a spatially smooth but spectrally uncontrolled estimate and serves as the PG initializer.</w:t>
      </w:r>
    </w:p>
    <w:p>
      <w:pPr>
        <w:pStyle w:val="Heading2"/>
      </w:pPr>
      <w:r>
        <w:rPr>
          <w:rFonts w:ascii="Times New Roman" w:hAnsi="Times New Roman" w:eastAsia="Times New Roman"/>
          <w:b/>
          <w:i w:val="0"/>
          <w:sz w:val="24"/>
        </w:rPr>
        <w:t>3.3 Papoulis–Gerchberg iteration (E1)</w:t>
      </w:r>
    </w:p>
    <w:p>
      <w:pPr>
        <w:spacing w:after="80" w:before="0"/>
        <w:jc w:val="both"/>
      </w:pPr>
      <w:r>
        <w:rPr>
          <w:rFonts w:ascii="Times New Roman" w:hAnsi="Times New Roman" w:eastAsia="Times New Roman"/>
          <w:b w:val="0"/>
          <w:i w:val="0"/>
          <w:sz w:val="22"/>
        </w:rPr>
        <w:t>Classical Papoulis–Gerchberg alternates a band-limit projector P_B and a data consistency (mask) projector P_M:</w:t>
      </w:r>
    </w:p>
    <w:p>
      <w:pPr>
        <w:spacing w:before="120" w:after="120"/>
        <w:jc w:val="center"/>
      </w:pPr>
      <w:r>
        <w:rPr>
          <w:rFonts w:ascii="Times New Roman" w:hAnsi="Times New Roman" w:eastAsia="Times New Roman"/>
          <w:b w:val="0"/>
          <w:i/>
          <w:sz w:val="22"/>
        </w:rPr>
        <w:t>v^(t+1) = P_M  P_B  v^(t)</w:t>
      </w:r>
      <w:r>
        <w:rPr>
          <w:rFonts w:ascii="Times New Roman" w:hAnsi="Times New Roman" w:eastAsia="Times New Roman"/>
          <w:b w:val="0"/>
          <w:i w:val="0"/>
          <w:sz w:val="22"/>
        </w:rPr>
        <w:t xml:space="preserve">    (6)</w:t>
      </w:r>
    </w:p>
    <w:p>
      <w:pPr>
        <w:spacing w:after="80" w:before="0"/>
        <w:jc w:val="both"/>
      </w:pPr>
      <w:r>
        <w:rPr>
          <w:rFonts w:ascii="Times New Roman" w:hAnsi="Times New Roman" w:eastAsia="Times New Roman"/>
          <w:b w:val="0"/>
          <w:i w:val="0"/>
          <w:sz w:val="22"/>
        </w:rPr>
        <w:t>with initialization v^(0) = E0(u_obs). The band-limit projector is</w:t>
      </w:r>
    </w:p>
    <w:p>
      <w:pPr>
        <w:spacing w:before="120" w:after="120"/>
        <w:jc w:val="center"/>
      </w:pPr>
      <w:r>
        <w:rPr>
          <w:rFonts w:ascii="Times New Roman" w:hAnsi="Times New Roman" w:eastAsia="Times New Roman"/>
          <w:b w:val="0"/>
          <w:i/>
          <w:sz w:val="22"/>
        </w:rPr>
        <w:t>P_B v = F⁻¹ ( H ⊙ F(v) )</w:t>
      </w:r>
      <w:r>
        <w:rPr>
          <w:rFonts w:ascii="Times New Roman" w:hAnsi="Times New Roman" w:eastAsia="Times New Roman"/>
          <w:b w:val="0"/>
          <w:i w:val="0"/>
          <w:sz w:val="22"/>
        </w:rPr>
        <w:t xml:space="preserve">    (7)</w:t>
      </w:r>
    </w:p>
    <w:p>
      <w:pPr>
        <w:spacing w:after="80" w:before="0"/>
        <w:jc w:val="both"/>
      </w:pPr>
      <w:r>
        <w:rPr>
          <w:rFonts w:ascii="Times New Roman" w:hAnsi="Times New Roman" w:eastAsia="Times New Roman"/>
          <w:b w:val="0"/>
          <w:i w:val="0"/>
          <w:sz w:val="22"/>
        </w:rPr>
        <w:t>where F is the 2D DFT (with fftshift centering), H is a binary keep mask in frequency, and the phase of retained coefficients is unchanged. The data projector reinstates observations:</w:t>
      </w:r>
    </w:p>
    <w:p>
      <w:pPr>
        <w:spacing w:before="120" w:after="120"/>
        <w:jc w:val="center"/>
      </w:pPr>
      <w:r>
        <w:rPr>
          <w:rFonts w:ascii="Times New Roman" w:hAnsi="Times New Roman" w:eastAsia="Times New Roman"/>
          <w:b w:val="0"/>
          <w:i/>
          <w:sz w:val="22"/>
        </w:rPr>
        <w:t>P_M v = m ⊙ u_obs  +  (1 − m) ⊙ v</w:t>
      </w:r>
      <w:r>
        <w:rPr>
          <w:rFonts w:ascii="Times New Roman" w:hAnsi="Times New Roman" w:eastAsia="Times New Roman"/>
          <w:b w:val="0"/>
          <w:i w:val="0"/>
          <w:sz w:val="22"/>
        </w:rPr>
        <w:t xml:space="preserve">    (8)</w:t>
      </w:r>
    </w:p>
    <w:p>
      <w:pPr>
        <w:spacing w:after="160" w:before="0"/>
        <w:jc w:val="both"/>
      </w:pPr>
      <w:r>
        <w:rPr>
          <w:rFonts w:ascii="Times New Roman" w:hAnsi="Times New Roman" w:eastAsia="Times New Roman"/>
          <w:b w:val="0"/>
          <w:i w:val="0"/>
          <w:sz w:val="22"/>
        </w:rPr>
        <w:t>After T iterations, the production field is u_rec = P_M v^(T), guaranteeing bit-level consistency with every originally valid KaRIn sample. One-dimensional along-track PG on an all-gap column is under-determined; the production code therefore uses full 2D PG on the (N × 69) ribbon (or 138 × 69 crops).</w:t>
      </w:r>
    </w:p>
    <w:p>
      <w:pPr>
        <w:spacing w:after="40"/>
        <w:jc w:val="center"/>
      </w:pPr>
      <w:r>
        <w:drawing>
          <wp:inline xmlns:a="http://schemas.openxmlformats.org/drawingml/2006/main" xmlns:pic="http://schemas.openxmlformats.org/drawingml/2006/picture">
            <wp:extent cx="5760720" cy="2001566"/>
            <wp:docPr id="2" name="Picture 2"/>
            <wp:cNvGraphicFramePr>
              <a:graphicFrameLocks noChangeAspect="1"/>
            </wp:cNvGraphicFramePr>
            <a:graphic>
              <a:graphicData uri="http://schemas.openxmlformats.org/drawingml/2006/picture">
                <pic:pic>
                  <pic:nvPicPr>
                    <pic:cNvPr id="0" name="Fig02_pg_iteration.png"/>
                    <pic:cNvPicPr/>
                  </pic:nvPicPr>
                  <pic:blipFill>
                    <a:blip r:embed="rId10"/>
                    <a:stretch>
                      <a:fillRect/>
                    </a:stretch>
                  </pic:blipFill>
                  <pic:spPr>
                    <a:xfrm>
                      <a:off x="0" y="0"/>
                      <a:ext cx="5760720" cy="2001566"/>
                    </a:xfrm>
                    <a:prstGeom prst="rect"/>
                  </pic:spPr>
                </pic:pic>
              </a:graphicData>
            </a:graphic>
          </wp:inline>
        </w:drawing>
      </w:r>
    </w:p>
    <w:p>
      <w:pPr>
        <w:spacing w:after="240" w:before="0"/>
        <w:jc w:val="center"/>
      </w:pPr>
      <w:r>
        <w:rPr>
          <w:rFonts w:ascii="Times New Roman" w:hAnsi="Times New Roman" w:eastAsia="Times New Roman"/>
          <w:b w:val="0"/>
          <w:i/>
          <w:sz w:val="18"/>
        </w:rPr>
        <w:t>Figure 2. Schematic of one PG iteration: observed gap → E0 init → spectral band-limit P_B → reinstatement P_M.</w:t>
      </w:r>
    </w:p>
    <w:p>
      <w:pPr>
        <w:pStyle w:val="Heading2"/>
      </w:pPr>
      <w:r>
        <w:rPr>
          <w:rFonts w:ascii="Times New Roman" w:hAnsi="Times New Roman" w:eastAsia="Times New Roman"/>
          <w:b/>
          <w:i w:val="0"/>
          <w:sz w:val="24"/>
        </w:rPr>
        <w:t>3.4 Anisotropic spectral keep mask</w:t>
      </w:r>
    </w:p>
    <w:p>
      <w:pPr>
        <w:spacing w:after="80" w:before="0"/>
        <w:jc w:val="both"/>
      </w:pPr>
      <w:r>
        <w:rPr>
          <w:rFonts w:ascii="Times New Roman" w:hAnsi="Times New Roman" w:eastAsia="Times New Roman"/>
          <w:b w:val="0"/>
          <w:i w:val="0"/>
          <w:sz w:val="22"/>
        </w:rPr>
        <w:t>Full half-orbits are tall (N ≫ 69). An isotropic keep fraction that is reasonable on square crops would over-smooth or under-constrain one axis. Production therefore uses an elliptical low-pass mask in the shifted frequency plane:</w:t>
      </w:r>
    </w:p>
    <w:p>
      <w:pPr>
        <w:spacing w:before="120" w:after="120"/>
        <w:jc w:val="center"/>
      </w:pPr>
      <w:r>
        <w:rPr>
          <w:rFonts w:ascii="Times New Roman" w:hAnsi="Times New Roman" w:eastAsia="Times New Roman"/>
          <w:b w:val="0"/>
          <w:i/>
          <w:sz w:val="22"/>
        </w:rPr>
        <w:t>H(k_n, k_p) = 1  if  ((k_n−c_n)/r_n)² + ((k_p−c_p)/r_p)² ≤ 1,   else 0</w:t>
      </w:r>
      <w:r>
        <w:rPr>
          <w:rFonts w:ascii="Times New Roman" w:hAnsi="Times New Roman" w:eastAsia="Times New Roman"/>
          <w:b w:val="0"/>
          <w:i w:val="0"/>
          <w:sz w:val="22"/>
        </w:rPr>
        <w:t xml:space="preserve">    (9)</w:t>
      </w:r>
    </w:p>
    <w:p>
      <w:pPr>
        <w:spacing w:after="160" w:before="0"/>
        <w:jc w:val="both"/>
      </w:pPr>
      <w:r>
        <w:rPr>
          <w:rFonts w:ascii="Times New Roman" w:hAnsi="Times New Roman" w:eastAsia="Times New Roman"/>
          <w:b w:val="0"/>
          <w:i w:val="0"/>
          <w:sz w:val="22"/>
        </w:rPr>
        <w:t>with radii r_n = round(f_∥ N/2) and r_p = round(f_⊥ P/2). Default production parameters are f_∥ = 0.35 (along-track), f_⊥ = 0.55 (across-track), and T = 60 iterations. The method tag is papoulis_gerchberg_2d_aniso.</w:t>
      </w:r>
    </w:p>
    <w:p>
      <w:pPr>
        <w:spacing w:after="40"/>
        <w:jc w:val="center"/>
      </w:pPr>
      <w:r>
        <w:drawing>
          <wp:inline xmlns:a="http://schemas.openxmlformats.org/drawingml/2006/main" xmlns:pic="http://schemas.openxmlformats.org/drawingml/2006/picture">
            <wp:extent cx="5669280" cy="2953094"/>
            <wp:docPr id="3" name="Picture 3"/>
            <wp:cNvGraphicFramePr>
              <a:graphicFrameLocks noChangeAspect="1"/>
            </wp:cNvGraphicFramePr>
            <a:graphic>
              <a:graphicData uri="http://schemas.openxmlformats.org/drawingml/2006/picture">
                <pic:pic>
                  <pic:nvPicPr>
                    <pic:cNvPr id="0" name="Fig03_spectral_mask.png"/>
                    <pic:cNvPicPr/>
                  </pic:nvPicPr>
                  <pic:blipFill>
                    <a:blip r:embed="rId11"/>
                    <a:stretch>
                      <a:fillRect/>
                    </a:stretch>
                  </pic:blipFill>
                  <pic:spPr>
                    <a:xfrm>
                      <a:off x="0" y="0"/>
                      <a:ext cx="5669280" cy="2953094"/>
                    </a:xfrm>
                    <a:prstGeom prst="rect"/>
                  </pic:spPr>
                </pic:pic>
              </a:graphicData>
            </a:graphic>
          </wp:inline>
        </w:drawing>
      </w:r>
    </w:p>
    <w:p>
      <w:pPr>
        <w:spacing w:after="240" w:before="0"/>
        <w:jc w:val="center"/>
      </w:pPr>
      <w:r>
        <w:rPr>
          <w:rFonts w:ascii="Times New Roman" w:hAnsi="Times New Roman" w:eastAsia="Times New Roman"/>
          <w:b w:val="0"/>
          <w:i/>
          <w:sz w:val="18"/>
        </w:rPr>
        <w:t>Figure 3. Elliptical keep mask H(k) implementing the anisotropic spectral projector P_B used for full-orbit fills.</w:t>
      </w:r>
    </w:p>
    <w:p>
      <w:pPr>
        <w:pStyle w:val="Heading2"/>
      </w:pPr>
      <w:r>
        <w:rPr>
          <w:rFonts w:ascii="Times New Roman" w:hAnsi="Times New Roman" w:eastAsia="Times New Roman"/>
          <w:b/>
          <w:i w:val="0"/>
          <w:sz w:val="24"/>
        </w:rPr>
        <w:t>3.5 Central nadir clearing</w:t>
      </w:r>
    </w:p>
    <w:p>
      <w:pPr>
        <w:spacing w:after="160" w:before="0"/>
        <w:jc w:val="both"/>
      </w:pPr>
      <w:r>
        <w:rPr>
          <w:rFonts w:ascii="Times New Roman" w:hAnsi="Times New Roman" w:eastAsia="Times New Roman"/>
          <w:b w:val="0"/>
          <w:i w:val="0"/>
          <w:sz w:val="22"/>
        </w:rPr>
        <w:t>Before PG, clear_central_nadir_gap detects the contiguous low-validity column band in the swath interior (away from edge_guard columns) and sets that entire band to NaN. This removes secondary-instrument hits so that PG does not treat them as KaRIn anchors. Typical void columns on 69-pixel LR products lie near p ∈ [30, 38].</w:t>
      </w:r>
    </w:p>
    <w:p>
      <w:pPr>
        <w:pStyle w:val="Heading2"/>
      </w:pPr>
      <w:r>
        <w:rPr>
          <w:rFonts w:ascii="Times New Roman" w:hAnsi="Times New Roman" w:eastAsia="Times New Roman"/>
          <w:b/>
          <w:i w:val="0"/>
          <w:sz w:val="24"/>
        </w:rPr>
        <w:t>3.6 Production pipeline</w:t>
      </w:r>
    </w:p>
    <w:p>
      <w:pPr>
        <w:spacing w:after="40"/>
        <w:jc w:val="center"/>
      </w:pPr>
      <w:r>
        <w:drawing>
          <wp:inline xmlns:a="http://schemas.openxmlformats.org/drawingml/2006/main" xmlns:pic="http://schemas.openxmlformats.org/drawingml/2006/picture">
            <wp:extent cx="5852160" cy="2014632"/>
            <wp:docPr id="4" name="Picture 4"/>
            <wp:cNvGraphicFramePr>
              <a:graphicFrameLocks noChangeAspect="1"/>
            </wp:cNvGraphicFramePr>
            <a:graphic>
              <a:graphicData uri="http://schemas.openxmlformats.org/drawingml/2006/picture">
                <pic:pic>
                  <pic:nvPicPr>
                    <pic:cNvPr id="0" name="Fig07_pipeline.png"/>
                    <pic:cNvPicPr/>
                  </pic:nvPicPr>
                  <pic:blipFill>
                    <a:blip r:embed="rId12"/>
                    <a:stretch>
                      <a:fillRect/>
                    </a:stretch>
                  </pic:blipFill>
                  <pic:spPr>
                    <a:xfrm>
                      <a:off x="0" y="0"/>
                      <a:ext cx="5852160" cy="2014632"/>
                    </a:xfrm>
                    <a:prstGeom prst="rect"/>
                  </pic:spPr>
                </pic:pic>
              </a:graphicData>
            </a:graphic>
          </wp:inline>
        </w:drawing>
      </w:r>
    </w:p>
    <w:p>
      <w:pPr>
        <w:spacing w:after="240" w:before="0"/>
        <w:jc w:val="center"/>
      </w:pPr>
      <w:r>
        <w:rPr>
          <w:rFonts w:ascii="Times New Roman" w:hAnsi="Times New Roman" w:eastAsia="Times New Roman"/>
          <w:b w:val="0"/>
          <w:i/>
          <w:sz w:val="18"/>
        </w:rPr>
        <w:t>Figure 7. End-to-end pipeline from SWOT L3 LR Basic NetCDF to the Ok twin dataset with filled ssha_filtered.</w:t>
      </w:r>
    </w:p>
    <w:p>
      <w:pPr>
        <w:spacing w:after="160" w:before="0"/>
        <w:jc w:val="both"/>
      </w:pPr>
      <w:r>
        <w:rPr>
          <w:rFonts w:ascii="Times New Roman" w:hAnsi="Times New Roman" w:eastAsia="Times New Roman"/>
          <w:b w:val="0"/>
          <w:i w:val="0"/>
          <w:sz w:val="22"/>
        </w:rPr>
        <w:t>Implementation: fill_nadir_gap/src/build_filled_69xfull.py. Source trees E:\SWOT2024 (and 2025); outputs E:\SWOT2024_Ok. Other variables are copied; only ssha_filtered is reconstructed in the gap.</w:t>
      </w:r>
    </w:p>
    <w:p>
      <w:pPr>
        <w:pStyle w:val="Heading2"/>
      </w:pPr>
      <w:r>
        <w:rPr>
          <w:rFonts w:ascii="Times New Roman" w:hAnsi="Times New Roman" w:eastAsia="Times New Roman"/>
          <w:b/>
          <w:i w:val="0"/>
          <w:sz w:val="24"/>
        </w:rPr>
        <w:t>3.7 Gap surgery validation (PoC)</w:t>
      </w:r>
    </w:p>
    <w:p>
      <w:pPr>
        <w:spacing w:after="80" w:before="0"/>
        <w:jc w:val="both"/>
      </w:pPr>
      <w:r>
        <w:rPr>
          <w:rFonts w:ascii="Times New Roman" w:hAnsi="Times New Roman" w:eastAsia="Times New Roman"/>
          <w:b w:val="0"/>
          <w:i w:val="0"/>
          <w:sz w:val="22"/>
        </w:rPr>
        <w:t>Because true nadir SSHA is unavailable, quantitative PoC tests artificially widen the central gap by W additional known columns on each side (gap surgery), hold those samples out, run E0 and E1, and score hold-out MAE. Skill is</w:t>
      </w:r>
    </w:p>
    <w:p>
      <w:pPr>
        <w:spacing w:before="120" w:after="120"/>
        <w:jc w:val="center"/>
      </w:pPr>
      <w:r>
        <w:rPr>
          <w:rFonts w:ascii="Times New Roman" w:hAnsi="Times New Roman" w:eastAsia="Times New Roman"/>
          <w:b w:val="0"/>
          <w:i/>
          <w:sz w:val="22"/>
        </w:rPr>
        <w:t>skill_MAE = 1 − MAE_E1 / MAE_E0</w:t>
      </w:r>
      <w:r>
        <w:rPr>
          <w:rFonts w:ascii="Times New Roman" w:hAnsi="Times New Roman" w:eastAsia="Times New Roman"/>
          <w:b w:val="0"/>
          <w:i w:val="0"/>
          <w:sz w:val="22"/>
        </w:rPr>
        <w:t xml:space="preserve">    (10)</w:t>
      </w:r>
    </w:p>
    <w:p>
      <w:pPr>
        <w:spacing w:after="160" w:before="0"/>
        <w:jc w:val="both"/>
      </w:pPr>
      <w:r>
        <w:rPr>
          <w:rFonts w:ascii="Times New Roman" w:hAnsi="Times New Roman" w:eastAsia="Times New Roman"/>
          <w:b w:val="0"/>
          <w:i w:val="0"/>
          <w:sz w:val="22"/>
        </w:rPr>
        <w:t>Positive skill means PG beats linear on the synthetic hold-out. Session notes for a 50-crop batch (seed 69, T=60, keep_frac=0.55, surgery=3) report mean skill ≈ −0.02, median ≈ +0.02, and fraction skill&gt;0 ≈ 56%: PG helps often but not always, motivating quality filters and hybrid methods.</w:t>
      </w:r>
    </w:p>
    <w:p>
      <w:pPr>
        <w:pStyle w:val="Heading2"/>
      </w:pPr>
      <w:r>
        <w:rPr>
          <w:rFonts w:ascii="Times New Roman" w:hAnsi="Times New Roman" w:eastAsia="Times New Roman"/>
          <w:b/>
          <w:i w:val="0"/>
          <w:sz w:val="24"/>
        </w:rPr>
        <w:t>3.8 Composite quality score (crop audit)</w:t>
      </w:r>
    </w:p>
    <w:p>
      <w:pPr>
        <w:spacing w:after="160" w:before="0"/>
        <w:jc w:val="both"/>
      </w:pPr>
      <w:r>
        <w:rPr>
          <w:rFonts w:ascii="Times New Roman" w:hAnsi="Times New Roman" w:eastAsia="Times New Roman"/>
          <w:b w:val="0"/>
          <w:i w:val="0"/>
          <w:sz w:val="22"/>
        </w:rPr>
        <w:t>On 1,000 random 138×69 visualization crops, fill_quality_score aggregates side_std, gap_std / side_std, left–right correlation across the gap, gradient ratio, and flags (invented variance, ringing, flat field, weak L–R, edge). Grades A–F summarize operational acceptability of the reconstruction appearance and continuity—not an absolute SSH error against truth.</w:t>
      </w:r>
    </w:p>
    <w:p>
      <w:pPr>
        <w:pStyle w:val="Heading1"/>
      </w:pPr>
      <w:r>
        <w:rPr>
          <w:rFonts w:ascii="Times New Roman" w:hAnsi="Times New Roman" w:eastAsia="Times New Roman"/>
          <w:b/>
          <w:i w:val="0"/>
          <w:sz w:val="28"/>
        </w:rPr>
        <w:t>4. Results (2024)</w:t>
      </w:r>
    </w:p>
    <w:p>
      <w:pPr>
        <w:pStyle w:val="Heading2"/>
      </w:pPr>
      <w:r>
        <w:rPr>
          <w:rFonts w:ascii="Times New Roman" w:hAnsi="Times New Roman" w:eastAsia="Times New Roman"/>
          <w:b/>
          <w:i w:val="0"/>
          <w:sz w:val="24"/>
        </w:rPr>
        <w:t>4.1 Full half-orbit production</w:t>
      </w:r>
    </w:p>
    <w:p>
      <w:pPr>
        <w:spacing w:after="160" w:before="0"/>
        <w:jc w:val="both"/>
      </w:pPr>
      <w:r>
        <w:rPr>
          <w:rFonts w:ascii="Times New Roman" w:hAnsi="Times New Roman" w:eastAsia="Times New Roman"/>
          <w:b w:val="0"/>
          <w:i w:val="0"/>
          <w:sz w:val="22"/>
        </w:rPr>
        <w:t>From 10038 source NetCDF passes under E:\SWOT2024, the build wrote 9532 new Ok files to E:\SWOT2024_Ok in 3.14 h with 4 workers (T=60, f_∥=0.35, f_⊥=0.55). Completion accounting reports 9533 Ok files on disk and success rate 94.97%.</w:t>
      </w:r>
    </w:p>
    <w:tbl>
      <w:tblPr>
        <w:tblStyle w:val="TableGrid"/>
        <w:tblW w:type="auto" w:w="0"/>
        <w:tblLook w:firstColumn="1" w:firstRow="1" w:lastColumn="0" w:lastRow="0" w:noHBand="0" w:noVBand="1" w:val="04A0"/>
      </w:tblPr>
      <w:tblGrid>
        <w:gridCol w:w="4873"/>
        <w:gridCol w:w="4873"/>
      </w:tblGrid>
      <w:tr>
        <w:tc>
          <w:tcPr>
            <w:tcW w:type="dxa" w:w="3685"/>
          </w:tcPr>
          <w:p>
            <w:r/>
            <w:r>
              <w:rPr>
                <w:rFonts w:ascii="Times New Roman" w:hAnsi="Times New Roman" w:eastAsia="Times New Roman"/>
                <w:b/>
                <w:i w:val="0"/>
                <w:sz w:val="18"/>
              </w:rPr>
              <w:t>Quantity</w:t>
            </w:r>
          </w:p>
        </w:tc>
        <w:tc>
          <w:tcPr>
            <w:tcW w:type="dxa" w:w="4819"/>
          </w:tcPr>
          <w:p>
            <w:r/>
            <w:r>
              <w:rPr>
                <w:rFonts w:ascii="Times New Roman" w:hAnsi="Times New Roman" w:eastAsia="Times New Roman"/>
                <w:b/>
                <w:i w:val="0"/>
                <w:sz w:val="18"/>
              </w:rPr>
              <w:t>Value</w:t>
            </w:r>
          </w:p>
        </w:tc>
      </w:tr>
      <w:tr>
        <w:tc>
          <w:tcPr>
            <w:tcW w:type="dxa" w:w="3685"/>
          </w:tcPr>
          <w:p>
            <w:r/>
            <w:r>
              <w:rPr>
                <w:rFonts w:ascii="Times New Roman" w:hAnsi="Times New Roman" w:eastAsia="Times New Roman"/>
                <w:b w:val="0"/>
                <w:i w:val="0"/>
                <w:sz w:val="18"/>
              </w:rPr>
              <w:t>Source root</w:t>
            </w:r>
          </w:p>
        </w:tc>
        <w:tc>
          <w:tcPr>
            <w:tcW w:type="dxa" w:w="4819"/>
          </w:tcPr>
          <w:p>
            <w:r/>
            <w:r>
              <w:rPr>
                <w:rFonts w:ascii="Times New Roman" w:hAnsi="Times New Roman" w:eastAsia="Times New Roman"/>
                <w:b w:val="0"/>
                <w:i w:val="0"/>
                <w:sz w:val="18"/>
              </w:rPr>
              <w:t>E:\SWOT2024</w:t>
            </w:r>
          </w:p>
        </w:tc>
      </w:tr>
      <w:tr>
        <w:tc>
          <w:tcPr>
            <w:tcW w:type="dxa" w:w="3685"/>
          </w:tcPr>
          <w:p>
            <w:r/>
            <w:r>
              <w:rPr>
                <w:rFonts w:ascii="Times New Roman" w:hAnsi="Times New Roman" w:eastAsia="Times New Roman"/>
                <w:b w:val="0"/>
                <w:i w:val="0"/>
                <w:sz w:val="18"/>
              </w:rPr>
              <w:t>Output root</w:t>
            </w:r>
          </w:p>
        </w:tc>
        <w:tc>
          <w:tcPr>
            <w:tcW w:type="dxa" w:w="4819"/>
          </w:tcPr>
          <w:p>
            <w:r/>
            <w:r>
              <w:rPr>
                <w:rFonts w:ascii="Times New Roman" w:hAnsi="Times New Roman" w:eastAsia="Times New Roman"/>
                <w:b w:val="0"/>
                <w:i w:val="0"/>
                <w:sz w:val="18"/>
              </w:rPr>
              <w:t>E:\SWOT2024_Ok</w:t>
            </w:r>
          </w:p>
        </w:tc>
      </w:tr>
      <w:tr>
        <w:tc>
          <w:tcPr>
            <w:tcW w:type="dxa" w:w="3685"/>
          </w:tcPr>
          <w:p>
            <w:r/>
            <w:r>
              <w:rPr>
                <w:rFonts w:ascii="Times New Roman" w:hAnsi="Times New Roman" w:eastAsia="Times New Roman"/>
                <w:b w:val="0"/>
                <w:i w:val="0"/>
                <w:sz w:val="18"/>
              </w:rPr>
              <w:t>Source passes</w:t>
            </w:r>
          </w:p>
        </w:tc>
        <w:tc>
          <w:tcPr>
            <w:tcW w:type="dxa" w:w="4819"/>
          </w:tcPr>
          <w:p>
            <w:r/>
            <w:r>
              <w:rPr>
                <w:rFonts w:ascii="Times New Roman" w:hAnsi="Times New Roman" w:eastAsia="Times New Roman"/>
                <w:b w:val="0"/>
                <w:i w:val="0"/>
                <w:sz w:val="18"/>
              </w:rPr>
              <w:t>10,038</w:t>
            </w:r>
          </w:p>
        </w:tc>
      </w:tr>
      <w:tr>
        <w:tc>
          <w:tcPr>
            <w:tcW w:type="dxa" w:w="3685"/>
          </w:tcPr>
          <w:p>
            <w:r/>
            <w:r>
              <w:rPr>
                <w:rFonts w:ascii="Times New Roman" w:hAnsi="Times New Roman" w:eastAsia="Times New Roman"/>
                <w:b w:val="0"/>
                <w:i w:val="0"/>
                <w:sz w:val="18"/>
              </w:rPr>
              <w:t>Successfully filled (new)</w:t>
            </w:r>
          </w:p>
        </w:tc>
        <w:tc>
          <w:tcPr>
            <w:tcW w:type="dxa" w:w="4819"/>
          </w:tcPr>
          <w:p>
            <w:r/>
            <w:r>
              <w:rPr>
                <w:rFonts w:ascii="Times New Roman" w:hAnsi="Times New Roman" w:eastAsia="Times New Roman"/>
                <w:b w:val="0"/>
                <w:i w:val="0"/>
                <w:sz w:val="18"/>
              </w:rPr>
              <w:t>9,532</w:t>
            </w:r>
          </w:p>
        </w:tc>
      </w:tr>
      <w:tr>
        <w:tc>
          <w:tcPr>
            <w:tcW w:type="dxa" w:w="3685"/>
          </w:tcPr>
          <w:p>
            <w:r/>
            <w:r>
              <w:rPr>
                <w:rFonts w:ascii="Times New Roman" w:hAnsi="Times New Roman" w:eastAsia="Times New Roman"/>
                <w:b w:val="0"/>
                <w:i w:val="0"/>
                <w:sz w:val="18"/>
              </w:rPr>
              <w:t>Skipped (already present)</w:t>
            </w:r>
          </w:p>
        </w:tc>
        <w:tc>
          <w:tcPr>
            <w:tcW w:type="dxa" w:w="4819"/>
          </w:tcPr>
          <w:p>
            <w:r/>
            <w:r>
              <w:rPr>
                <w:rFonts w:ascii="Times New Roman" w:hAnsi="Times New Roman" w:eastAsia="Times New Roman"/>
                <w:b w:val="0"/>
                <w:i w:val="0"/>
                <w:sz w:val="18"/>
              </w:rPr>
              <w:t>1</w:t>
            </w:r>
          </w:p>
        </w:tc>
      </w:tr>
      <w:tr>
        <w:tc>
          <w:tcPr>
            <w:tcW w:type="dxa" w:w="3685"/>
          </w:tcPr>
          <w:p>
            <w:r/>
            <w:r>
              <w:rPr>
                <w:rFonts w:ascii="Times New Roman" w:hAnsi="Times New Roman" w:eastAsia="Times New Roman"/>
                <w:b w:val="0"/>
                <w:i w:val="0"/>
                <w:sz w:val="18"/>
              </w:rPr>
              <w:t>Failed</w:t>
            </w:r>
          </w:p>
        </w:tc>
        <w:tc>
          <w:tcPr>
            <w:tcW w:type="dxa" w:w="4819"/>
          </w:tcPr>
          <w:p>
            <w:r/>
            <w:r>
              <w:rPr>
                <w:rFonts w:ascii="Times New Roman" w:hAnsi="Times New Roman" w:eastAsia="Times New Roman"/>
                <w:b w:val="0"/>
                <w:i w:val="0"/>
                <w:sz w:val="18"/>
              </w:rPr>
              <w:t>505</w:t>
            </w:r>
          </w:p>
        </w:tc>
      </w:tr>
      <w:tr>
        <w:tc>
          <w:tcPr>
            <w:tcW w:type="dxa" w:w="3685"/>
          </w:tcPr>
          <w:p>
            <w:r/>
            <w:r>
              <w:rPr>
                <w:rFonts w:ascii="Times New Roman" w:hAnsi="Times New Roman" w:eastAsia="Times New Roman"/>
                <w:b w:val="0"/>
                <w:i w:val="0"/>
                <w:sz w:val="18"/>
              </w:rPr>
              <w:t>Success rate</w:t>
            </w:r>
          </w:p>
        </w:tc>
        <w:tc>
          <w:tcPr>
            <w:tcW w:type="dxa" w:w="4819"/>
          </w:tcPr>
          <w:p>
            <w:r/>
            <w:r>
              <w:rPr>
                <w:rFonts w:ascii="Times New Roman" w:hAnsi="Times New Roman" w:eastAsia="Times New Roman"/>
                <w:b w:val="0"/>
                <w:i w:val="0"/>
                <w:sz w:val="18"/>
              </w:rPr>
              <w:t>94.97%</w:t>
            </w:r>
          </w:p>
        </w:tc>
      </w:tr>
      <w:tr>
        <w:tc>
          <w:tcPr>
            <w:tcW w:type="dxa" w:w="3685"/>
          </w:tcPr>
          <w:p>
            <w:r/>
            <w:r>
              <w:rPr>
                <w:rFonts w:ascii="Times New Roman" w:hAnsi="Times New Roman" w:eastAsia="Times New Roman"/>
                <w:b w:val="0"/>
                <w:i w:val="0"/>
                <w:sz w:val="18"/>
              </w:rPr>
              <w:t>Ok NetCDF on disk</w:t>
            </w:r>
          </w:p>
        </w:tc>
        <w:tc>
          <w:tcPr>
            <w:tcW w:type="dxa" w:w="4819"/>
          </w:tcPr>
          <w:p>
            <w:r/>
            <w:r>
              <w:rPr>
                <w:rFonts w:ascii="Times New Roman" w:hAnsi="Times New Roman" w:eastAsia="Times New Roman"/>
                <w:b w:val="0"/>
                <w:i w:val="0"/>
                <w:sz w:val="18"/>
              </w:rPr>
              <w:t>9,533</w:t>
            </w:r>
          </w:p>
        </w:tc>
      </w:tr>
      <w:tr>
        <w:tc>
          <w:tcPr>
            <w:tcW w:type="dxa" w:w="3685"/>
          </w:tcPr>
          <w:p>
            <w:r/>
            <w:r>
              <w:rPr>
                <w:rFonts w:ascii="Times New Roman" w:hAnsi="Times New Roman" w:eastAsia="Times New Roman"/>
                <w:b w:val="0"/>
                <w:i w:val="0"/>
                <w:sz w:val="18"/>
              </w:rPr>
              <w:t>PG iterations T</w:t>
            </w:r>
          </w:p>
        </w:tc>
        <w:tc>
          <w:tcPr>
            <w:tcW w:type="dxa" w:w="4819"/>
          </w:tcPr>
          <w:p>
            <w:r/>
            <w:r>
              <w:rPr>
                <w:rFonts w:ascii="Times New Roman" w:hAnsi="Times New Roman" w:eastAsia="Times New Roman"/>
                <w:b w:val="0"/>
                <w:i w:val="0"/>
                <w:sz w:val="18"/>
              </w:rPr>
              <w:t>60</w:t>
            </w:r>
          </w:p>
        </w:tc>
      </w:tr>
      <w:tr>
        <w:tc>
          <w:tcPr>
            <w:tcW w:type="dxa" w:w="3685"/>
          </w:tcPr>
          <w:p>
            <w:r/>
            <w:r>
              <w:rPr>
                <w:rFonts w:ascii="Times New Roman" w:hAnsi="Times New Roman" w:eastAsia="Times New Roman"/>
                <w:b w:val="0"/>
                <w:i w:val="0"/>
                <w:sz w:val="18"/>
              </w:rPr>
              <w:t>keep_frac_along (f_∥)</w:t>
            </w:r>
          </w:p>
        </w:tc>
        <w:tc>
          <w:tcPr>
            <w:tcW w:type="dxa" w:w="4819"/>
          </w:tcPr>
          <w:p>
            <w:r/>
            <w:r>
              <w:rPr>
                <w:rFonts w:ascii="Times New Roman" w:hAnsi="Times New Roman" w:eastAsia="Times New Roman"/>
                <w:b w:val="0"/>
                <w:i w:val="0"/>
                <w:sz w:val="18"/>
              </w:rPr>
              <w:t>0.35</w:t>
            </w:r>
          </w:p>
        </w:tc>
      </w:tr>
      <w:tr>
        <w:tc>
          <w:tcPr>
            <w:tcW w:type="dxa" w:w="3685"/>
          </w:tcPr>
          <w:p>
            <w:r/>
            <w:r>
              <w:rPr>
                <w:rFonts w:ascii="Times New Roman" w:hAnsi="Times New Roman" w:eastAsia="Times New Roman"/>
                <w:b w:val="0"/>
                <w:i w:val="0"/>
                <w:sz w:val="18"/>
              </w:rPr>
              <w:t>keep_frac_across (f_⊥)</w:t>
            </w:r>
          </w:p>
        </w:tc>
        <w:tc>
          <w:tcPr>
            <w:tcW w:type="dxa" w:w="4819"/>
          </w:tcPr>
          <w:p>
            <w:r/>
            <w:r>
              <w:rPr>
                <w:rFonts w:ascii="Times New Roman" w:hAnsi="Times New Roman" w:eastAsia="Times New Roman"/>
                <w:b w:val="0"/>
                <w:i w:val="0"/>
                <w:sz w:val="18"/>
              </w:rPr>
              <w:t>0.55</w:t>
            </w:r>
          </w:p>
        </w:tc>
      </w:tr>
      <w:tr>
        <w:tc>
          <w:tcPr>
            <w:tcW w:type="dxa" w:w="3685"/>
          </w:tcPr>
          <w:p>
            <w:r/>
            <w:r>
              <w:rPr>
                <w:rFonts w:ascii="Times New Roman" w:hAnsi="Times New Roman" w:eastAsia="Times New Roman"/>
                <w:b w:val="0"/>
                <w:i w:val="0"/>
                <w:sz w:val="18"/>
              </w:rPr>
              <w:t>Workers</w:t>
            </w:r>
          </w:p>
        </w:tc>
        <w:tc>
          <w:tcPr>
            <w:tcW w:type="dxa" w:w="4819"/>
          </w:tcPr>
          <w:p>
            <w:r/>
            <w:r>
              <w:rPr>
                <w:rFonts w:ascii="Times New Roman" w:hAnsi="Times New Roman" w:eastAsia="Times New Roman"/>
                <w:b w:val="0"/>
                <w:i w:val="0"/>
                <w:sz w:val="18"/>
              </w:rPr>
              <w:t>4</w:t>
            </w:r>
          </w:p>
        </w:tc>
      </w:tr>
      <w:tr>
        <w:tc>
          <w:tcPr>
            <w:tcW w:type="dxa" w:w="3685"/>
          </w:tcPr>
          <w:p>
            <w:r/>
            <w:r>
              <w:rPr>
                <w:rFonts w:ascii="Times New Roman" w:hAnsi="Times New Roman" w:eastAsia="Times New Roman"/>
                <w:b w:val="0"/>
                <w:i w:val="0"/>
                <w:sz w:val="18"/>
              </w:rPr>
              <w:t>Wall time</w:t>
            </w:r>
          </w:p>
        </w:tc>
        <w:tc>
          <w:tcPr>
            <w:tcW w:type="dxa" w:w="4819"/>
          </w:tcPr>
          <w:p>
            <w:r/>
            <w:r>
              <w:rPr>
                <w:rFonts w:ascii="Times New Roman" w:hAnsi="Times New Roman" w:eastAsia="Times New Roman"/>
                <w:b w:val="0"/>
                <w:i w:val="0"/>
                <w:sz w:val="18"/>
              </w:rPr>
              <w:t>3.14 h (11306 s)</w:t>
            </w:r>
          </w:p>
        </w:tc>
      </w:tr>
      <w:tr>
        <w:tc>
          <w:tcPr>
            <w:tcW w:type="dxa" w:w="3685"/>
          </w:tcPr>
          <w:p>
            <w:r/>
            <w:r>
              <w:rPr>
                <w:rFonts w:ascii="Times New Roman" w:hAnsi="Times New Roman" w:eastAsia="Times New Roman"/>
                <w:b w:val="0"/>
                <w:i w:val="0"/>
                <w:sz w:val="18"/>
              </w:rPr>
              <w:t>Method</w:t>
            </w:r>
          </w:p>
        </w:tc>
        <w:tc>
          <w:tcPr>
            <w:tcW w:type="dxa" w:w="4819"/>
          </w:tcPr>
          <w:p>
            <w:r/>
            <w:r>
              <w:rPr>
                <w:rFonts w:ascii="Times New Roman" w:hAnsi="Times New Roman" w:eastAsia="Times New Roman"/>
                <w:b w:val="0"/>
                <w:i w:val="0"/>
                <w:sz w:val="18"/>
              </w:rPr>
              <w:t>clear_central_nadir_gap + papoulis_gerchberg_2d_aniso</w:t>
            </w:r>
          </w:p>
        </w:tc>
      </w:tr>
    </w:tbl>
    <w:p/>
    <w:p>
      <w:pPr>
        <w:spacing w:after="240" w:before="0"/>
        <w:jc w:val="center"/>
      </w:pPr>
      <w:r>
        <w:rPr>
          <w:rFonts w:ascii="Times New Roman" w:hAnsi="Times New Roman" w:eastAsia="Times New Roman"/>
          <w:b w:val="0"/>
          <w:i/>
          <w:sz w:val="18"/>
        </w:rPr>
        <w:t>Table 2. SWOT2024 full-orbit nadir-gap fill production summary.</w:t>
      </w:r>
    </w:p>
    <w:tbl>
      <w:tblPr>
        <w:tblStyle w:val="TableGrid"/>
        <w:tblW w:type="auto" w:w="0"/>
        <w:tblLook w:firstColumn="1" w:firstRow="1" w:lastColumn="0" w:lastRow="0" w:noHBand="0" w:noVBand="1" w:val="04A0"/>
      </w:tblPr>
      <w:tblGrid>
        <w:gridCol w:w="3249"/>
        <w:gridCol w:w="3249"/>
        <w:gridCol w:w="3249"/>
      </w:tblGrid>
      <w:tr>
        <w:tc>
          <w:tcPr>
            <w:tcW w:type="dxa" w:w="3402"/>
          </w:tcPr>
          <w:p>
            <w:r/>
            <w:r>
              <w:rPr>
                <w:rFonts w:ascii="Times New Roman" w:hAnsi="Times New Roman" w:eastAsia="Times New Roman"/>
                <w:b/>
                <w:i w:val="0"/>
                <w:sz w:val="18"/>
              </w:rPr>
              <w:t>Failure reason</w:t>
            </w:r>
          </w:p>
        </w:tc>
        <w:tc>
          <w:tcPr>
            <w:tcW w:type="dxa" w:w="1701"/>
          </w:tcPr>
          <w:p>
            <w:r/>
            <w:r>
              <w:rPr>
                <w:rFonts w:ascii="Times New Roman" w:hAnsi="Times New Roman" w:eastAsia="Times New Roman"/>
                <w:b/>
                <w:i w:val="0"/>
                <w:sz w:val="18"/>
              </w:rPr>
              <w:t>Count</w:t>
            </w:r>
          </w:p>
        </w:tc>
        <w:tc>
          <w:tcPr>
            <w:tcW w:type="dxa" w:w="2268"/>
          </w:tcPr>
          <w:p>
            <w:r/>
            <w:r>
              <w:rPr>
                <w:rFonts w:ascii="Times New Roman" w:hAnsi="Times New Roman" w:eastAsia="Times New Roman"/>
                <w:b/>
                <w:i w:val="0"/>
                <w:sz w:val="18"/>
              </w:rPr>
              <w:t>Share of failures</w:t>
            </w:r>
          </w:p>
        </w:tc>
      </w:tr>
      <w:tr>
        <w:tc>
          <w:tcPr>
            <w:tcW w:type="dxa" w:w="3402"/>
          </w:tcPr>
          <w:p>
            <w:r/>
            <w:r>
              <w:rPr>
                <w:rFonts w:ascii="Times New Roman" w:hAnsi="Times New Roman" w:eastAsia="Times New Roman"/>
                <w:b w:val="0"/>
                <w:i w:val="0"/>
                <w:sz w:val="18"/>
              </w:rPr>
              <w:t>NetCDF/HDF error</w:t>
            </w:r>
          </w:p>
        </w:tc>
        <w:tc>
          <w:tcPr>
            <w:tcW w:type="dxa" w:w="1701"/>
          </w:tcPr>
          <w:p>
            <w:r/>
            <w:r>
              <w:rPr>
                <w:rFonts w:ascii="Times New Roman" w:hAnsi="Times New Roman" w:eastAsia="Times New Roman"/>
                <w:b w:val="0"/>
                <w:i w:val="0"/>
                <w:sz w:val="18"/>
              </w:rPr>
              <w:t>400</w:t>
            </w:r>
          </w:p>
        </w:tc>
        <w:tc>
          <w:tcPr>
            <w:tcW w:type="dxa" w:w="2268"/>
          </w:tcPr>
          <w:p>
            <w:r/>
            <w:r>
              <w:rPr>
                <w:rFonts w:ascii="Times New Roman" w:hAnsi="Times New Roman" w:eastAsia="Times New Roman"/>
                <w:b w:val="0"/>
                <w:i w:val="0"/>
                <w:sz w:val="18"/>
              </w:rPr>
              <w:t>79.2%</w:t>
            </w:r>
          </w:p>
        </w:tc>
      </w:tr>
      <w:tr>
        <w:tc>
          <w:tcPr>
            <w:tcW w:type="dxa" w:w="3402"/>
          </w:tcPr>
          <w:p>
            <w:r/>
            <w:r>
              <w:rPr>
                <w:rFonts w:ascii="Times New Roman" w:hAnsi="Times New Roman" w:eastAsia="Times New Roman"/>
                <w:b w:val="0"/>
                <w:i w:val="0"/>
                <w:sz w:val="18"/>
              </w:rPr>
              <w:t>too few known samples</w:t>
            </w:r>
          </w:p>
        </w:tc>
        <w:tc>
          <w:tcPr>
            <w:tcW w:type="dxa" w:w="1701"/>
          </w:tcPr>
          <w:p>
            <w:r/>
            <w:r>
              <w:rPr>
                <w:rFonts w:ascii="Times New Roman" w:hAnsi="Times New Roman" w:eastAsia="Times New Roman"/>
                <w:b w:val="0"/>
                <w:i w:val="0"/>
                <w:sz w:val="18"/>
              </w:rPr>
              <w:t>105</w:t>
            </w:r>
          </w:p>
        </w:tc>
        <w:tc>
          <w:tcPr>
            <w:tcW w:type="dxa" w:w="2268"/>
          </w:tcPr>
          <w:p>
            <w:r/>
            <w:r>
              <w:rPr>
                <w:rFonts w:ascii="Times New Roman" w:hAnsi="Times New Roman" w:eastAsia="Times New Roman"/>
                <w:b w:val="0"/>
                <w:i w:val="0"/>
                <w:sz w:val="18"/>
              </w:rPr>
              <w:t>20.8%</w:t>
            </w:r>
          </w:p>
        </w:tc>
      </w:tr>
    </w:tbl>
    <w:p/>
    <w:p>
      <w:pPr>
        <w:spacing w:after="240" w:before="0"/>
        <w:jc w:val="center"/>
      </w:pPr>
      <w:r>
        <w:rPr>
          <w:rFonts w:ascii="Times New Roman" w:hAnsi="Times New Roman" w:eastAsia="Times New Roman"/>
          <w:b w:val="0"/>
          <w:i/>
          <w:sz w:val="18"/>
        </w:rPr>
        <w:t>Table 3. Failure taxonomy for the 2024 build (NetCDF/HDF I/O vs. insufficient known KaRIn samples).</w:t>
      </w:r>
    </w:p>
    <w:p>
      <w:pPr>
        <w:spacing w:after="40"/>
        <w:jc w:val="center"/>
      </w:pPr>
      <w:r>
        <w:drawing>
          <wp:inline xmlns:a="http://schemas.openxmlformats.org/drawingml/2006/main" xmlns:pic="http://schemas.openxmlformats.org/drawingml/2006/picture">
            <wp:extent cx="5669280" cy="2489671"/>
            <wp:docPr id="5" name="Picture 5"/>
            <wp:cNvGraphicFramePr>
              <a:graphicFrameLocks noChangeAspect="1"/>
            </wp:cNvGraphicFramePr>
            <a:graphic>
              <a:graphicData uri="http://schemas.openxmlformats.org/drawingml/2006/picture">
                <pic:pic>
                  <pic:nvPicPr>
                    <pic:cNvPr id="0" name="Fig06_production_2024.png"/>
                    <pic:cNvPicPr/>
                  </pic:nvPicPr>
                  <pic:blipFill>
                    <a:blip r:embed="rId13"/>
                    <a:stretch>
                      <a:fillRect/>
                    </a:stretch>
                  </pic:blipFill>
                  <pic:spPr>
                    <a:xfrm>
                      <a:off x="0" y="0"/>
                      <a:ext cx="5669280" cy="2489671"/>
                    </a:xfrm>
                    <a:prstGeom prst="rect"/>
                  </pic:spPr>
                </pic:pic>
              </a:graphicData>
            </a:graphic>
          </wp:inline>
        </w:drawing>
      </w:r>
    </w:p>
    <w:p>
      <w:pPr>
        <w:spacing w:after="240" w:before="0"/>
        <w:jc w:val="center"/>
      </w:pPr>
      <w:r>
        <w:rPr>
          <w:rFonts w:ascii="Times New Roman" w:hAnsi="Times New Roman" w:eastAsia="Times New Roman"/>
          <w:b w:val="0"/>
          <w:i/>
          <w:sz w:val="18"/>
        </w:rPr>
        <w:t>Figure 6. Production outcomes and failure reasons for the 2024 Ok dataset.</w:t>
      </w:r>
    </w:p>
    <w:p>
      <w:pPr>
        <w:pStyle w:val="Heading2"/>
      </w:pPr>
      <w:r>
        <w:rPr>
          <w:rFonts w:ascii="Times New Roman" w:hAnsi="Times New Roman" w:eastAsia="Times New Roman"/>
          <w:b/>
          <w:i w:val="0"/>
          <w:sz w:val="24"/>
        </w:rPr>
        <w:t>4.2 Qualitative reconstruction examples</w:t>
      </w:r>
    </w:p>
    <w:p>
      <w:pPr>
        <w:spacing w:after="40"/>
        <w:jc w:val="center"/>
      </w:pPr>
      <w:r>
        <w:drawing>
          <wp:inline xmlns:a="http://schemas.openxmlformats.org/drawingml/2006/main" xmlns:pic="http://schemas.openxmlformats.org/drawingml/2006/picture">
            <wp:extent cx="5120640" cy="9665163"/>
            <wp:docPr id="6" name="Picture 6"/>
            <wp:cNvGraphicFramePr>
              <a:graphicFrameLocks noChangeAspect="1"/>
            </wp:cNvGraphicFramePr>
            <a:graphic>
              <a:graphicData uri="http://schemas.openxmlformats.org/drawingml/2006/picture">
                <pic:pic>
                  <pic:nvPicPr>
                    <pic:cNvPr id="0" name="Fig04_before_after.png"/>
                    <pic:cNvPicPr/>
                  </pic:nvPicPr>
                  <pic:blipFill>
                    <a:blip r:embed="rId14"/>
                    <a:stretch>
                      <a:fillRect/>
                    </a:stretch>
                  </pic:blipFill>
                  <pic:spPr>
                    <a:xfrm>
                      <a:off x="0" y="0"/>
                      <a:ext cx="5120640" cy="9665163"/>
                    </a:xfrm>
                    <a:prstGeom prst="rect"/>
                  </pic:spPr>
                </pic:pic>
              </a:graphicData>
            </a:graphic>
          </wp:inline>
        </w:drawing>
      </w:r>
    </w:p>
    <w:p>
      <w:pPr>
        <w:spacing w:after="240" w:before="0"/>
        <w:jc w:val="center"/>
      </w:pPr>
      <w:r>
        <w:rPr>
          <w:rFonts w:ascii="Times New Roman" w:hAnsi="Times New Roman" w:eastAsia="Times New Roman"/>
          <w:b w:val="0"/>
          <w:i/>
          <w:sz w:val="18"/>
        </w:rPr>
        <w:t>Figure 4. Example SWOT2024 crops (test_69x138 vs filled_69x138). (a) Coherent mesoscale continuation across the gap. (b) Low side variance / challenging case where percentile stretch amplifies residual ringing. (c) Highest composite score in the 1,000-crop audit.</w:t>
      </w:r>
    </w:p>
    <w:p>
      <w:pPr>
        <w:pStyle w:val="Heading2"/>
      </w:pPr>
      <w:r>
        <w:rPr>
          <w:rFonts w:ascii="Times New Roman" w:hAnsi="Times New Roman" w:eastAsia="Times New Roman"/>
          <w:b/>
          <w:i w:val="0"/>
          <w:sz w:val="24"/>
        </w:rPr>
        <w:t>4.3 Crop quality audit (n = 1,000)</w:t>
      </w:r>
    </w:p>
    <w:p>
      <w:pPr>
        <w:spacing w:after="160" w:before="0"/>
        <w:jc w:val="both"/>
      </w:pPr>
      <w:r>
        <w:rPr>
          <w:rFonts w:ascii="Times New Roman" w:hAnsi="Times New Roman" w:eastAsia="Times New Roman"/>
          <w:b w:val="0"/>
          <w:i w:val="0"/>
          <w:sz w:val="22"/>
        </w:rPr>
        <w:t>Composite scores: mean 75.13, median 77.94, P10 56.43, P90 91.22. Grade counts: A=425, B=361, C=162, D=45, F=7.</w:t>
      </w:r>
    </w:p>
    <w:tbl>
      <w:tblPr>
        <w:tblStyle w:val="TableGrid"/>
        <w:tblW w:type="auto" w:w="0"/>
        <w:tblLook w:firstColumn="1" w:firstRow="1" w:lastColumn="0" w:lastRow="0" w:noHBand="0" w:noVBand="1" w:val="04A0"/>
      </w:tblPr>
      <w:tblGrid>
        <w:gridCol w:w="4873"/>
        <w:gridCol w:w="4873"/>
      </w:tblGrid>
      <w:tr>
        <w:tc>
          <w:tcPr>
            <w:tcW w:type="dxa" w:w="3685"/>
          </w:tcPr>
          <w:p>
            <w:r/>
            <w:r>
              <w:rPr>
                <w:rFonts w:ascii="Times New Roman" w:hAnsi="Times New Roman" w:eastAsia="Times New Roman"/>
                <w:b/>
                <w:i w:val="0"/>
                <w:sz w:val="18"/>
              </w:rPr>
              <w:t>Metric</w:t>
            </w:r>
          </w:p>
        </w:tc>
        <w:tc>
          <w:tcPr>
            <w:tcW w:type="dxa" w:w="4819"/>
          </w:tcPr>
          <w:p>
            <w:r/>
            <w:r>
              <w:rPr>
                <w:rFonts w:ascii="Times New Roman" w:hAnsi="Times New Roman" w:eastAsia="Times New Roman"/>
                <w:b/>
                <w:i w:val="0"/>
                <w:sz w:val="18"/>
              </w:rPr>
              <w:t>Value</w:t>
            </w:r>
          </w:p>
        </w:tc>
      </w:tr>
      <w:tr>
        <w:tc>
          <w:tcPr>
            <w:tcW w:type="dxa" w:w="3685"/>
          </w:tcPr>
          <w:p>
            <w:r/>
            <w:r>
              <w:rPr>
                <w:rFonts w:ascii="Times New Roman" w:hAnsi="Times New Roman" w:eastAsia="Times New Roman"/>
                <w:b w:val="0"/>
                <w:i w:val="0"/>
                <w:sz w:val="18"/>
              </w:rPr>
              <w:t>Crops scored</w:t>
            </w:r>
          </w:p>
        </w:tc>
        <w:tc>
          <w:tcPr>
            <w:tcW w:type="dxa" w:w="4819"/>
          </w:tcPr>
          <w:p>
            <w:r/>
            <w:r>
              <w:rPr>
                <w:rFonts w:ascii="Times New Roman" w:hAnsi="Times New Roman" w:eastAsia="Times New Roman"/>
                <w:b w:val="0"/>
                <w:i w:val="0"/>
                <w:sz w:val="18"/>
              </w:rPr>
              <w:t>1,000</w:t>
            </w:r>
          </w:p>
        </w:tc>
      </w:tr>
      <w:tr>
        <w:tc>
          <w:tcPr>
            <w:tcW w:type="dxa" w:w="3685"/>
          </w:tcPr>
          <w:p>
            <w:r/>
            <w:r>
              <w:rPr>
                <w:rFonts w:ascii="Times New Roman" w:hAnsi="Times New Roman" w:eastAsia="Times New Roman"/>
                <w:b w:val="0"/>
                <w:i w:val="0"/>
                <w:sz w:val="18"/>
              </w:rPr>
              <w:t>Mean score</w:t>
            </w:r>
          </w:p>
        </w:tc>
        <w:tc>
          <w:tcPr>
            <w:tcW w:type="dxa" w:w="4819"/>
          </w:tcPr>
          <w:p>
            <w:r/>
            <w:r>
              <w:rPr>
                <w:rFonts w:ascii="Times New Roman" w:hAnsi="Times New Roman" w:eastAsia="Times New Roman"/>
                <w:b w:val="0"/>
                <w:i w:val="0"/>
                <w:sz w:val="18"/>
              </w:rPr>
              <w:t>75.13</w:t>
            </w:r>
          </w:p>
        </w:tc>
      </w:tr>
      <w:tr>
        <w:tc>
          <w:tcPr>
            <w:tcW w:type="dxa" w:w="3685"/>
          </w:tcPr>
          <w:p>
            <w:r/>
            <w:r>
              <w:rPr>
                <w:rFonts w:ascii="Times New Roman" w:hAnsi="Times New Roman" w:eastAsia="Times New Roman"/>
                <w:b w:val="0"/>
                <w:i w:val="0"/>
                <w:sz w:val="18"/>
              </w:rPr>
              <w:t>Median score</w:t>
            </w:r>
          </w:p>
        </w:tc>
        <w:tc>
          <w:tcPr>
            <w:tcW w:type="dxa" w:w="4819"/>
          </w:tcPr>
          <w:p>
            <w:r/>
            <w:r>
              <w:rPr>
                <w:rFonts w:ascii="Times New Roman" w:hAnsi="Times New Roman" w:eastAsia="Times New Roman"/>
                <w:b w:val="0"/>
                <w:i w:val="0"/>
                <w:sz w:val="18"/>
              </w:rPr>
              <w:t>77.94</w:t>
            </w:r>
          </w:p>
        </w:tc>
      </w:tr>
      <w:tr>
        <w:tc>
          <w:tcPr>
            <w:tcW w:type="dxa" w:w="3685"/>
          </w:tcPr>
          <w:p>
            <w:r/>
            <w:r>
              <w:rPr>
                <w:rFonts w:ascii="Times New Roman" w:hAnsi="Times New Roman" w:eastAsia="Times New Roman"/>
                <w:b w:val="0"/>
                <w:i w:val="0"/>
                <w:sz w:val="18"/>
              </w:rPr>
              <w:t>P10 / P90</w:t>
            </w:r>
          </w:p>
        </w:tc>
        <w:tc>
          <w:tcPr>
            <w:tcW w:type="dxa" w:w="4819"/>
          </w:tcPr>
          <w:p>
            <w:r/>
            <w:r>
              <w:rPr>
                <w:rFonts w:ascii="Times New Roman" w:hAnsi="Times New Roman" w:eastAsia="Times New Roman"/>
                <w:b w:val="0"/>
                <w:i w:val="0"/>
                <w:sz w:val="18"/>
              </w:rPr>
              <w:t>56.43 / 91.22</w:t>
            </w:r>
          </w:p>
        </w:tc>
      </w:tr>
      <w:tr>
        <w:tc>
          <w:tcPr>
            <w:tcW w:type="dxa" w:w="3685"/>
          </w:tcPr>
          <w:p>
            <w:r/>
            <w:r>
              <w:rPr>
                <w:rFonts w:ascii="Times New Roman" w:hAnsi="Times New Roman" w:eastAsia="Times New Roman"/>
                <w:b w:val="0"/>
                <w:i w:val="0"/>
                <w:sz w:val="18"/>
              </w:rPr>
              <w:t>Grade A</w:t>
            </w:r>
          </w:p>
        </w:tc>
        <w:tc>
          <w:tcPr>
            <w:tcW w:type="dxa" w:w="4819"/>
          </w:tcPr>
          <w:p>
            <w:r/>
            <w:r>
              <w:rPr>
                <w:rFonts w:ascii="Times New Roman" w:hAnsi="Times New Roman" w:eastAsia="Times New Roman"/>
                <w:b w:val="0"/>
                <w:i w:val="0"/>
                <w:sz w:val="18"/>
              </w:rPr>
              <w:t>425 (42.5%)</w:t>
            </w:r>
          </w:p>
        </w:tc>
      </w:tr>
      <w:tr>
        <w:tc>
          <w:tcPr>
            <w:tcW w:type="dxa" w:w="3685"/>
          </w:tcPr>
          <w:p>
            <w:r/>
            <w:r>
              <w:rPr>
                <w:rFonts w:ascii="Times New Roman" w:hAnsi="Times New Roman" w:eastAsia="Times New Roman"/>
                <w:b w:val="0"/>
                <w:i w:val="0"/>
                <w:sz w:val="18"/>
              </w:rPr>
              <w:t>Grade B</w:t>
            </w:r>
          </w:p>
        </w:tc>
        <w:tc>
          <w:tcPr>
            <w:tcW w:type="dxa" w:w="4819"/>
          </w:tcPr>
          <w:p>
            <w:r/>
            <w:r>
              <w:rPr>
                <w:rFonts w:ascii="Times New Roman" w:hAnsi="Times New Roman" w:eastAsia="Times New Roman"/>
                <w:b w:val="0"/>
                <w:i w:val="0"/>
                <w:sz w:val="18"/>
              </w:rPr>
              <w:t>361 (36.1%)</w:t>
            </w:r>
          </w:p>
        </w:tc>
      </w:tr>
      <w:tr>
        <w:tc>
          <w:tcPr>
            <w:tcW w:type="dxa" w:w="3685"/>
          </w:tcPr>
          <w:p>
            <w:r/>
            <w:r>
              <w:rPr>
                <w:rFonts w:ascii="Times New Roman" w:hAnsi="Times New Roman" w:eastAsia="Times New Roman"/>
                <w:b w:val="0"/>
                <w:i w:val="0"/>
                <w:sz w:val="18"/>
              </w:rPr>
              <w:t>Grade C</w:t>
            </w:r>
          </w:p>
        </w:tc>
        <w:tc>
          <w:tcPr>
            <w:tcW w:type="dxa" w:w="4819"/>
          </w:tcPr>
          <w:p>
            <w:r/>
            <w:r>
              <w:rPr>
                <w:rFonts w:ascii="Times New Roman" w:hAnsi="Times New Roman" w:eastAsia="Times New Roman"/>
                <w:b w:val="0"/>
                <w:i w:val="0"/>
                <w:sz w:val="18"/>
              </w:rPr>
              <w:t>162 (16.2%)</w:t>
            </w:r>
          </w:p>
        </w:tc>
      </w:tr>
      <w:tr>
        <w:tc>
          <w:tcPr>
            <w:tcW w:type="dxa" w:w="3685"/>
          </w:tcPr>
          <w:p>
            <w:r/>
            <w:r>
              <w:rPr>
                <w:rFonts w:ascii="Times New Roman" w:hAnsi="Times New Roman" w:eastAsia="Times New Roman"/>
                <w:b w:val="0"/>
                <w:i w:val="0"/>
                <w:sz w:val="18"/>
              </w:rPr>
              <w:t>Grade D</w:t>
            </w:r>
          </w:p>
        </w:tc>
        <w:tc>
          <w:tcPr>
            <w:tcW w:type="dxa" w:w="4819"/>
          </w:tcPr>
          <w:p>
            <w:r/>
            <w:r>
              <w:rPr>
                <w:rFonts w:ascii="Times New Roman" w:hAnsi="Times New Roman" w:eastAsia="Times New Roman"/>
                <w:b w:val="0"/>
                <w:i w:val="0"/>
                <w:sz w:val="18"/>
              </w:rPr>
              <w:t>45 (4.5%)</w:t>
            </w:r>
          </w:p>
        </w:tc>
      </w:tr>
      <w:tr>
        <w:tc>
          <w:tcPr>
            <w:tcW w:type="dxa" w:w="3685"/>
          </w:tcPr>
          <w:p>
            <w:r/>
            <w:r>
              <w:rPr>
                <w:rFonts w:ascii="Times New Roman" w:hAnsi="Times New Roman" w:eastAsia="Times New Roman"/>
                <w:b w:val="0"/>
                <w:i w:val="0"/>
                <w:sz w:val="18"/>
              </w:rPr>
              <w:t>Grade F</w:t>
            </w:r>
          </w:p>
        </w:tc>
        <w:tc>
          <w:tcPr>
            <w:tcW w:type="dxa" w:w="4819"/>
          </w:tcPr>
          <w:p>
            <w:r/>
            <w:r>
              <w:rPr>
                <w:rFonts w:ascii="Times New Roman" w:hAnsi="Times New Roman" w:eastAsia="Times New Roman"/>
                <w:b w:val="0"/>
                <w:i w:val="0"/>
                <w:sz w:val="18"/>
              </w:rPr>
              <w:t>7 (0.7%)</w:t>
            </w:r>
          </w:p>
        </w:tc>
      </w:tr>
      <w:tr>
        <w:tc>
          <w:tcPr>
            <w:tcW w:type="dxa" w:w="3685"/>
          </w:tcPr>
          <w:p>
            <w:r/>
            <w:r>
              <w:rPr>
                <w:rFonts w:ascii="Times New Roman" w:hAnsi="Times New Roman" w:eastAsia="Times New Roman"/>
                <w:b w:val="0"/>
                <w:i w:val="0"/>
                <w:sz w:val="18"/>
              </w:rPr>
              <w:t>Flag: ringing</w:t>
            </w:r>
          </w:p>
        </w:tc>
        <w:tc>
          <w:tcPr>
            <w:tcW w:type="dxa" w:w="4819"/>
          </w:tcPr>
          <w:p>
            <w:r/>
            <w:r>
              <w:rPr>
                <w:rFonts w:ascii="Times New Roman" w:hAnsi="Times New Roman" w:eastAsia="Times New Roman"/>
                <w:b w:val="0"/>
                <w:i w:val="0"/>
                <w:sz w:val="18"/>
              </w:rPr>
              <w:t>591</w:t>
            </w:r>
          </w:p>
        </w:tc>
      </w:tr>
      <w:tr>
        <w:tc>
          <w:tcPr>
            <w:tcW w:type="dxa" w:w="3685"/>
          </w:tcPr>
          <w:p>
            <w:r/>
            <w:r>
              <w:rPr>
                <w:rFonts w:ascii="Times New Roman" w:hAnsi="Times New Roman" w:eastAsia="Times New Roman"/>
                <w:b w:val="0"/>
                <w:i w:val="0"/>
                <w:sz w:val="18"/>
              </w:rPr>
              <w:t>Flag: weak L–R</w:t>
            </w:r>
          </w:p>
        </w:tc>
        <w:tc>
          <w:tcPr>
            <w:tcW w:type="dxa" w:w="4819"/>
          </w:tcPr>
          <w:p>
            <w:r/>
            <w:r>
              <w:rPr>
                <w:rFonts w:ascii="Times New Roman" w:hAnsi="Times New Roman" w:eastAsia="Times New Roman"/>
                <w:b w:val="0"/>
                <w:i w:val="0"/>
                <w:sz w:val="18"/>
              </w:rPr>
              <w:t>353</w:t>
            </w:r>
          </w:p>
        </w:tc>
      </w:tr>
      <w:tr>
        <w:tc>
          <w:tcPr>
            <w:tcW w:type="dxa" w:w="3685"/>
          </w:tcPr>
          <w:p>
            <w:r/>
            <w:r>
              <w:rPr>
                <w:rFonts w:ascii="Times New Roman" w:hAnsi="Times New Roman" w:eastAsia="Times New Roman"/>
                <w:b w:val="0"/>
                <w:i w:val="0"/>
                <w:sz w:val="18"/>
              </w:rPr>
              <w:t>Flag: flat</w:t>
            </w:r>
          </w:p>
        </w:tc>
        <w:tc>
          <w:tcPr>
            <w:tcW w:type="dxa" w:w="4819"/>
          </w:tcPr>
          <w:p>
            <w:r/>
            <w:r>
              <w:rPr>
                <w:rFonts w:ascii="Times New Roman" w:hAnsi="Times New Roman" w:eastAsia="Times New Roman"/>
                <w:b w:val="0"/>
                <w:i w:val="0"/>
                <w:sz w:val="18"/>
              </w:rPr>
              <w:t>40</w:t>
            </w:r>
          </w:p>
        </w:tc>
      </w:tr>
      <w:tr>
        <w:tc>
          <w:tcPr>
            <w:tcW w:type="dxa" w:w="3685"/>
          </w:tcPr>
          <w:p>
            <w:r/>
            <w:r>
              <w:rPr>
                <w:rFonts w:ascii="Times New Roman" w:hAnsi="Times New Roman" w:eastAsia="Times New Roman"/>
                <w:b w:val="0"/>
                <w:i w:val="0"/>
                <w:sz w:val="18"/>
              </w:rPr>
              <w:t>Flag: invent variance</w:t>
            </w:r>
          </w:p>
        </w:tc>
        <w:tc>
          <w:tcPr>
            <w:tcW w:type="dxa" w:w="4819"/>
          </w:tcPr>
          <w:p>
            <w:r/>
            <w:r>
              <w:rPr>
                <w:rFonts w:ascii="Times New Roman" w:hAnsi="Times New Roman" w:eastAsia="Times New Roman"/>
                <w:b w:val="0"/>
                <w:i w:val="0"/>
                <w:sz w:val="18"/>
              </w:rPr>
              <w:t>25</w:t>
            </w:r>
          </w:p>
        </w:tc>
      </w:tr>
    </w:tbl>
    <w:p/>
    <w:p>
      <w:pPr>
        <w:spacing w:after="240" w:before="0"/>
        <w:jc w:val="center"/>
      </w:pPr>
      <w:r>
        <w:rPr>
          <w:rFonts w:ascii="Times New Roman" w:hAnsi="Times New Roman" w:eastAsia="Times New Roman"/>
          <w:b w:val="0"/>
          <w:i/>
          <w:sz w:val="18"/>
        </w:rPr>
        <w:t>Table 4. Fill-quality summary on 1,000 random 138×69 SWOT2024 crops.</w:t>
      </w:r>
    </w:p>
    <w:tbl>
      <w:tblPr>
        <w:tblStyle w:val="TableGrid"/>
        <w:tblW w:type="auto" w:w="0"/>
        <w:tblLook w:firstColumn="1" w:firstRow="1" w:lastColumn="0" w:lastRow="0" w:noHBand="0" w:noVBand="1" w:val="04A0"/>
      </w:tblPr>
      <w:tblGrid>
        <w:gridCol w:w="2436"/>
        <w:gridCol w:w="2436"/>
        <w:gridCol w:w="2436"/>
        <w:gridCol w:w="2436"/>
      </w:tblGrid>
      <w:tr>
        <w:tc>
          <w:tcPr>
            <w:tcW w:type="dxa" w:w="850"/>
          </w:tcPr>
          <w:p>
            <w:r/>
            <w:r>
              <w:rPr>
                <w:rFonts w:ascii="Times New Roman" w:hAnsi="Times New Roman" w:eastAsia="Times New Roman"/>
                <w:b/>
                <w:i w:val="0"/>
                <w:sz w:val="18"/>
              </w:rPr>
              <w:t>Rank</w:t>
            </w:r>
          </w:p>
        </w:tc>
        <w:tc>
          <w:tcPr>
            <w:tcW w:type="dxa" w:w="5102"/>
          </w:tcPr>
          <w:p>
            <w:r/>
            <w:r>
              <w:rPr>
                <w:rFonts w:ascii="Times New Roman" w:hAnsi="Times New Roman" w:eastAsia="Times New Roman"/>
                <w:b/>
                <w:i w:val="0"/>
                <w:sz w:val="18"/>
              </w:rPr>
              <w:t>Image (abbrev.)</w:t>
            </w:r>
          </w:p>
        </w:tc>
        <w:tc>
          <w:tcPr>
            <w:tcW w:type="dxa" w:w="1134"/>
          </w:tcPr>
          <w:p>
            <w:r/>
            <w:r>
              <w:rPr>
                <w:rFonts w:ascii="Times New Roman" w:hAnsi="Times New Roman" w:eastAsia="Times New Roman"/>
                <w:b/>
                <w:i w:val="0"/>
                <w:sz w:val="18"/>
              </w:rPr>
              <w:t>Score</w:t>
            </w:r>
          </w:p>
        </w:tc>
        <w:tc>
          <w:tcPr>
            <w:tcW w:type="dxa" w:w="1134"/>
          </w:tcPr>
          <w:p>
            <w:r/>
            <w:r>
              <w:rPr>
                <w:rFonts w:ascii="Times New Roman" w:hAnsi="Times New Roman" w:eastAsia="Times New Roman"/>
                <w:b/>
                <w:i w:val="0"/>
                <w:sz w:val="18"/>
              </w:rPr>
              <w:t>Grade</w:t>
            </w:r>
          </w:p>
        </w:tc>
      </w:tr>
      <w:tr>
        <w:tc>
          <w:tcPr>
            <w:tcW w:type="dxa" w:w="850"/>
          </w:tcPr>
          <w:p>
            <w:r/>
            <w:r>
              <w:rPr>
                <w:rFonts w:ascii="Times New Roman" w:hAnsi="Times New Roman" w:eastAsia="Times New Roman"/>
                <w:b w:val="0"/>
                <w:i w:val="0"/>
                <w:sz w:val="18"/>
              </w:rPr>
              <w:t>1</w:t>
            </w:r>
          </w:p>
        </w:tc>
        <w:tc>
          <w:tcPr>
            <w:tcW w:type="dxa" w:w="5102"/>
          </w:tcPr>
          <w:p>
            <w:r/>
            <w:r>
              <w:rPr>
                <w:rFonts w:ascii="Times New Roman" w:hAnsi="Times New Roman" w:eastAsia="Times New Roman"/>
                <w:b w:val="0"/>
                <w:i w:val="0"/>
                <w:sz w:val="18"/>
              </w:rPr>
              <w:t>img_0000000653__c012_p425_L001529_20240321…</w:t>
            </w:r>
          </w:p>
        </w:tc>
        <w:tc>
          <w:tcPr>
            <w:tcW w:type="dxa" w:w="1134"/>
          </w:tcPr>
          <w:p>
            <w:r/>
            <w:r>
              <w:rPr>
                <w:rFonts w:ascii="Times New Roman" w:hAnsi="Times New Roman" w:eastAsia="Times New Roman"/>
                <w:b w:val="0"/>
                <w:i w:val="0"/>
                <w:sz w:val="18"/>
              </w:rPr>
              <w:t>98.60</w:t>
            </w:r>
          </w:p>
        </w:tc>
        <w:tc>
          <w:tcPr>
            <w:tcW w:type="dxa" w:w="1134"/>
          </w:tcPr>
          <w:p>
            <w:r/>
            <w:r>
              <w:rPr>
                <w:rFonts w:ascii="Times New Roman" w:hAnsi="Times New Roman" w:eastAsia="Times New Roman"/>
                <w:b w:val="0"/>
                <w:i w:val="0"/>
                <w:sz w:val="18"/>
              </w:rPr>
              <w:t>A</w:t>
            </w:r>
          </w:p>
        </w:tc>
      </w:tr>
      <w:tr>
        <w:tc>
          <w:tcPr>
            <w:tcW w:type="dxa" w:w="850"/>
          </w:tcPr>
          <w:p>
            <w:r/>
            <w:r>
              <w:rPr>
                <w:rFonts w:ascii="Times New Roman" w:hAnsi="Times New Roman" w:eastAsia="Times New Roman"/>
                <w:b w:val="0"/>
                <w:i w:val="0"/>
                <w:sz w:val="18"/>
              </w:rPr>
              <w:t>2</w:t>
            </w:r>
          </w:p>
        </w:tc>
        <w:tc>
          <w:tcPr>
            <w:tcW w:type="dxa" w:w="5102"/>
          </w:tcPr>
          <w:p>
            <w:r/>
            <w:r>
              <w:rPr>
                <w:rFonts w:ascii="Times New Roman" w:hAnsi="Times New Roman" w:eastAsia="Times New Roman"/>
                <w:b w:val="0"/>
                <w:i w:val="0"/>
                <w:sz w:val="18"/>
              </w:rPr>
              <w:t>img_0000000422__c015_p167_L002320_20240514…</w:t>
            </w:r>
          </w:p>
        </w:tc>
        <w:tc>
          <w:tcPr>
            <w:tcW w:type="dxa" w:w="1134"/>
          </w:tcPr>
          <w:p>
            <w:r/>
            <w:r>
              <w:rPr>
                <w:rFonts w:ascii="Times New Roman" w:hAnsi="Times New Roman" w:eastAsia="Times New Roman"/>
                <w:b w:val="0"/>
                <w:i w:val="0"/>
                <w:sz w:val="18"/>
              </w:rPr>
              <w:t>98.11</w:t>
            </w:r>
          </w:p>
        </w:tc>
        <w:tc>
          <w:tcPr>
            <w:tcW w:type="dxa" w:w="1134"/>
          </w:tcPr>
          <w:p>
            <w:r/>
            <w:r>
              <w:rPr>
                <w:rFonts w:ascii="Times New Roman" w:hAnsi="Times New Roman" w:eastAsia="Times New Roman"/>
                <w:b w:val="0"/>
                <w:i w:val="0"/>
                <w:sz w:val="18"/>
              </w:rPr>
              <w:t>A</w:t>
            </w:r>
          </w:p>
        </w:tc>
      </w:tr>
      <w:tr>
        <w:tc>
          <w:tcPr>
            <w:tcW w:type="dxa" w:w="850"/>
          </w:tcPr>
          <w:p>
            <w:r/>
            <w:r>
              <w:rPr>
                <w:rFonts w:ascii="Times New Roman" w:hAnsi="Times New Roman" w:eastAsia="Times New Roman"/>
                <w:b w:val="0"/>
                <w:i w:val="0"/>
                <w:sz w:val="18"/>
              </w:rPr>
              <w:t>3</w:t>
            </w:r>
          </w:p>
        </w:tc>
        <w:tc>
          <w:tcPr>
            <w:tcW w:type="dxa" w:w="5102"/>
          </w:tcPr>
          <w:p>
            <w:r/>
            <w:r>
              <w:rPr>
                <w:rFonts w:ascii="Times New Roman" w:hAnsi="Times New Roman" w:eastAsia="Times New Roman"/>
                <w:b w:val="0"/>
                <w:i w:val="0"/>
                <w:sz w:val="18"/>
              </w:rPr>
              <w:t>img_0000000863__c023_p014_L005336_20241022…</w:t>
            </w:r>
          </w:p>
        </w:tc>
        <w:tc>
          <w:tcPr>
            <w:tcW w:type="dxa" w:w="1134"/>
          </w:tcPr>
          <w:p>
            <w:r/>
            <w:r>
              <w:rPr>
                <w:rFonts w:ascii="Times New Roman" w:hAnsi="Times New Roman" w:eastAsia="Times New Roman"/>
                <w:b w:val="0"/>
                <w:i w:val="0"/>
                <w:sz w:val="18"/>
              </w:rPr>
              <w:t>97.83</w:t>
            </w:r>
          </w:p>
        </w:tc>
        <w:tc>
          <w:tcPr>
            <w:tcW w:type="dxa" w:w="1134"/>
          </w:tcPr>
          <w:p>
            <w:r/>
            <w:r>
              <w:rPr>
                <w:rFonts w:ascii="Times New Roman" w:hAnsi="Times New Roman" w:eastAsia="Times New Roman"/>
                <w:b w:val="0"/>
                <w:i w:val="0"/>
                <w:sz w:val="18"/>
              </w:rPr>
              <w:t>A</w:t>
            </w:r>
          </w:p>
        </w:tc>
      </w:tr>
      <w:tr>
        <w:tc>
          <w:tcPr>
            <w:tcW w:type="dxa" w:w="850"/>
          </w:tcPr>
          <w:p>
            <w:r/>
            <w:r>
              <w:rPr>
                <w:rFonts w:ascii="Times New Roman" w:hAnsi="Times New Roman" w:eastAsia="Times New Roman"/>
                <w:b w:val="0"/>
                <w:i w:val="0"/>
                <w:sz w:val="18"/>
              </w:rPr>
              <w:t>4</w:t>
            </w:r>
          </w:p>
        </w:tc>
        <w:tc>
          <w:tcPr>
            <w:tcW w:type="dxa" w:w="5102"/>
          </w:tcPr>
          <w:p>
            <w:r/>
            <w:r>
              <w:rPr>
                <w:rFonts w:ascii="Times New Roman" w:hAnsi="Times New Roman" w:eastAsia="Times New Roman"/>
                <w:b w:val="0"/>
                <w:i w:val="0"/>
                <w:sz w:val="18"/>
              </w:rPr>
              <w:t>img_0000000512__c015_p446_L008001_20240524…</w:t>
            </w:r>
          </w:p>
        </w:tc>
        <w:tc>
          <w:tcPr>
            <w:tcW w:type="dxa" w:w="1134"/>
          </w:tcPr>
          <w:p>
            <w:r/>
            <w:r>
              <w:rPr>
                <w:rFonts w:ascii="Times New Roman" w:hAnsi="Times New Roman" w:eastAsia="Times New Roman"/>
                <w:b w:val="0"/>
                <w:i w:val="0"/>
                <w:sz w:val="18"/>
              </w:rPr>
              <w:t>97.17</w:t>
            </w:r>
          </w:p>
        </w:tc>
        <w:tc>
          <w:tcPr>
            <w:tcW w:type="dxa" w:w="1134"/>
          </w:tcPr>
          <w:p>
            <w:r/>
            <w:r>
              <w:rPr>
                <w:rFonts w:ascii="Times New Roman" w:hAnsi="Times New Roman" w:eastAsia="Times New Roman"/>
                <w:b w:val="0"/>
                <w:i w:val="0"/>
                <w:sz w:val="18"/>
              </w:rPr>
              <w:t>A</w:t>
            </w:r>
          </w:p>
        </w:tc>
      </w:tr>
      <w:tr>
        <w:tc>
          <w:tcPr>
            <w:tcW w:type="dxa" w:w="850"/>
          </w:tcPr>
          <w:p>
            <w:r/>
            <w:r>
              <w:rPr>
                <w:rFonts w:ascii="Times New Roman" w:hAnsi="Times New Roman" w:eastAsia="Times New Roman"/>
                <w:b w:val="0"/>
                <w:i w:val="0"/>
                <w:sz w:val="18"/>
              </w:rPr>
              <w:t>5</w:t>
            </w:r>
          </w:p>
        </w:tc>
        <w:tc>
          <w:tcPr>
            <w:tcW w:type="dxa" w:w="5102"/>
          </w:tcPr>
          <w:p>
            <w:r/>
            <w:r>
              <w:rPr>
                <w:rFonts w:ascii="Times New Roman" w:hAnsi="Times New Roman" w:eastAsia="Times New Roman"/>
                <w:b w:val="0"/>
                <w:i w:val="0"/>
                <w:sz w:val="18"/>
              </w:rPr>
              <w:t>img_0000000481__c011_p079_L001274_20240217…</w:t>
            </w:r>
          </w:p>
        </w:tc>
        <w:tc>
          <w:tcPr>
            <w:tcW w:type="dxa" w:w="1134"/>
          </w:tcPr>
          <w:p>
            <w:r/>
            <w:r>
              <w:rPr>
                <w:rFonts w:ascii="Times New Roman" w:hAnsi="Times New Roman" w:eastAsia="Times New Roman"/>
                <w:b w:val="0"/>
                <w:i w:val="0"/>
                <w:sz w:val="18"/>
              </w:rPr>
              <w:t>97.05</w:t>
            </w:r>
          </w:p>
        </w:tc>
        <w:tc>
          <w:tcPr>
            <w:tcW w:type="dxa" w:w="1134"/>
          </w:tcPr>
          <w:p>
            <w:r/>
            <w:r>
              <w:rPr>
                <w:rFonts w:ascii="Times New Roman" w:hAnsi="Times New Roman" w:eastAsia="Times New Roman"/>
                <w:b w:val="0"/>
                <w:i w:val="0"/>
                <w:sz w:val="18"/>
              </w:rPr>
              <w:t>A</w:t>
            </w:r>
          </w:p>
        </w:tc>
      </w:tr>
    </w:tbl>
    <w:p/>
    <w:p>
      <w:pPr>
        <w:spacing w:after="240" w:before="0"/>
        <w:jc w:val="center"/>
      </w:pPr>
      <w:r>
        <w:rPr>
          <w:rFonts w:ascii="Times New Roman" w:hAnsi="Times New Roman" w:eastAsia="Times New Roman"/>
          <w:b w:val="0"/>
          <w:i/>
          <w:sz w:val="18"/>
        </w:rPr>
        <w:t>Table 5. Top-5 quality scores in the crop audit.</w:t>
      </w:r>
    </w:p>
    <w:tbl>
      <w:tblPr>
        <w:tblStyle w:val="TableGrid"/>
        <w:tblW w:type="auto" w:w="0"/>
        <w:tblLook w:firstColumn="1" w:firstRow="1" w:lastColumn="0" w:lastRow="0" w:noHBand="0" w:noVBand="1" w:val="04A0"/>
      </w:tblPr>
      <w:tblGrid>
        <w:gridCol w:w="2436"/>
        <w:gridCol w:w="2436"/>
        <w:gridCol w:w="2436"/>
        <w:gridCol w:w="2436"/>
      </w:tblGrid>
      <w:tr>
        <w:tc>
          <w:tcPr>
            <w:tcW w:type="dxa" w:w="850"/>
          </w:tcPr>
          <w:p>
            <w:r/>
            <w:r>
              <w:rPr>
                <w:rFonts w:ascii="Times New Roman" w:hAnsi="Times New Roman" w:eastAsia="Times New Roman"/>
                <w:b/>
                <w:i w:val="0"/>
                <w:sz w:val="18"/>
              </w:rPr>
              <w:t>Rank</w:t>
            </w:r>
          </w:p>
        </w:tc>
        <w:tc>
          <w:tcPr>
            <w:tcW w:type="dxa" w:w="5102"/>
          </w:tcPr>
          <w:p>
            <w:r/>
            <w:r>
              <w:rPr>
                <w:rFonts w:ascii="Times New Roman" w:hAnsi="Times New Roman" w:eastAsia="Times New Roman"/>
                <w:b/>
                <w:i w:val="0"/>
                <w:sz w:val="18"/>
              </w:rPr>
              <w:t>Image (abbrev.)</w:t>
            </w:r>
          </w:p>
        </w:tc>
        <w:tc>
          <w:tcPr>
            <w:tcW w:type="dxa" w:w="1134"/>
          </w:tcPr>
          <w:p>
            <w:r/>
            <w:r>
              <w:rPr>
                <w:rFonts w:ascii="Times New Roman" w:hAnsi="Times New Roman" w:eastAsia="Times New Roman"/>
                <w:b/>
                <w:i w:val="0"/>
                <w:sz w:val="18"/>
              </w:rPr>
              <w:t>Score</w:t>
            </w:r>
          </w:p>
        </w:tc>
        <w:tc>
          <w:tcPr>
            <w:tcW w:type="dxa" w:w="1134"/>
          </w:tcPr>
          <w:p>
            <w:r/>
            <w:r>
              <w:rPr>
                <w:rFonts w:ascii="Times New Roman" w:hAnsi="Times New Roman" w:eastAsia="Times New Roman"/>
                <w:b/>
                <w:i w:val="0"/>
                <w:sz w:val="18"/>
              </w:rPr>
              <w:t>Grade</w:t>
            </w:r>
          </w:p>
        </w:tc>
      </w:tr>
      <w:tr>
        <w:tc>
          <w:tcPr>
            <w:tcW w:type="dxa" w:w="850"/>
          </w:tcPr>
          <w:p>
            <w:r/>
            <w:r>
              <w:rPr>
                <w:rFonts w:ascii="Times New Roman" w:hAnsi="Times New Roman" w:eastAsia="Times New Roman"/>
                <w:b w:val="0"/>
                <w:i w:val="0"/>
                <w:sz w:val="18"/>
              </w:rPr>
              <w:t>996</w:t>
            </w:r>
          </w:p>
        </w:tc>
        <w:tc>
          <w:tcPr>
            <w:tcW w:type="dxa" w:w="5102"/>
          </w:tcPr>
          <w:p>
            <w:r/>
            <w:r>
              <w:rPr>
                <w:rFonts w:ascii="Times New Roman" w:hAnsi="Times New Roman" w:eastAsia="Times New Roman"/>
                <w:b w:val="0"/>
                <w:i w:val="0"/>
                <w:sz w:val="18"/>
              </w:rPr>
              <w:t>img_0000000553__c024_p242_L004239_20241120…</w:t>
            </w:r>
          </w:p>
        </w:tc>
        <w:tc>
          <w:tcPr>
            <w:tcW w:type="dxa" w:w="1134"/>
          </w:tcPr>
          <w:p>
            <w:r/>
            <w:r>
              <w:rPr>
                <w:rFonts w:ascii="Times New Roman" w:hAnsi="Times New Roman" w:eastAsia="Times New Roman"/>
                <w:b w:val="0"/>
                <w:i w:val="0"/>
                <w:sz w:val="18"/>
              </w:rPr>
              <w:t>32.15</w:t>
            </w:r>
          </w:p>
        </w:tc>
        <w:tc>
          <w:tcPr>
            <w:tcW w:type="dxa" w:w="1134"/>
          </w:tcPr>
          <w:p>
            <w:r/>
            <w:r>
              <w:rPr>
                <w:rFonts w:ascii="Times New Roman" w:hAnsi="Times New Roman" w:eastAsia="Times New Roman"/>
                <w:b w:val="0"/>
                <w:i w:val="0"/>
                <w:sz w:val="18"/>
              </w:rPr>
              <w:t>F</w:t>
            </w:r>
          </w:p>
        </w:tc>
      </w:tr>
      <w:tr>
        <w:tc>
          <w:tcPr>
            <w:tcW w:type="dxa" w:w="850"/>
          </w:tcPr>
          <w:p>
            <w:r/>
            <w:r>
              <w:rPr>
                <w:rFonts w:ascii="Times New Roman" w:hAnsi="Times New Roman" w:eastAsia="Times New Roman"/>
                <w:b w:val="0"/>
                <w:i w:val="0"/>
                <w:sz w:val="18"/>
              </w:rPr>
              <w:t>997</w:t>
            </w:r>
          </w:p>
        </w:tc>
        <w:tc>
          <w:tcPr>
            <w:tcW w:type="dxa" w:w="5102"/>
          </w:tcPr>
          <w:p>
            <w:r/>
            <w:r>
              <w:rPr>
                <w:rFonts w:ascii="Times New Roman" w:hAnsi="Times New Roman" w:eastAsia="Times New Roman"/>
                <w:b w:val="0"/>
                <w:i w:val="0"/>
                <w:sz w:val="18"/>
              </w:rPr>
              <w:t>img_0000000284__c025_p501_L009258_20241220…</w:t>
            </w:r>
          </w:p>
        </w:tc>
        <w:tc>
          <w:tcPr>
            <w:tcW w:type="dxa" w:w="1134"/>
          </w:tcPr>
          <w:p>
            <w:r/>
            <w:r>
              <w:rPr>
                <w:rFonts w:ascii="Times New Roman" w:hAnsi="Times New Roman" w:eastAsia="Times New Roman"/>
                <w:b w:val="0"/>
                <w:i w:val="0"/>
                <w:sz w:val="18"/>
              </w:rPr>
              <w:t>31.84</w:t>
            </w:r>
          </w:p>
        </w:tc>
        <w:tc>
          <w:tcPr>
            <w:tcW w:type="dxa" w:w="1134"/>
          </w:tcPr>
          <w:p>
            <w:r/>
            <w:r>
              <w:rPr>
                <w:rFonts w:ascii="Times New Roman" w:hAnsi="Times New Roman" w:eastAsia="Times New Roman"/>
                <w:b w:val="0"/>
                <w:i w:val="0"/>
                <w:sz w:val="18"/>
              </w:rPr>
              <w:t>F</w:t>
            </w:r>
          </w:p>
        </w:tc>
      </w:tr>
      <w:tr>
        <w:tc>
          <w:tcPr>
            <w:tcW w:type="dxa" w:w="850"/>
          </w:tcPr>
          <w:p>
            <w:r/>
            <w:r>
              <w:rPr>
                <w:rFonts w:ascii="Times New Roman" w:hAnsi="Times New Roman" w:eastAsia="Times New Roman"/>
                <w:b w:val="0"/>
                <w:i w:val="0"/>
                <w:sz w:val="18"/>
              </w:rPr>
              <w:t>998</w:t>
            </w:r>
          </w:p>
        </w:tc>
        <w:tc>
          <w:tcPr>
            <w:tcW w:type="dxa" w:w="5102"/>
          </w:tcPr>
          <w:p>
            <w:r/>
            <w:r>
              <w:rPr>
                <w:rFonts w:ascii="Times New Roman" w:hAnsi="Times New Roman" w:eastAsia="Times New Roman"/>
                <w:b w:val="0"/>
                <w:i w:val="0"/>
                <w:sz w:val="18"/>
              </w:rPr>
              <w:t>img_0000000781__c022_p571_L002813_20241021…</w:t>
            </w:r>
          </w:p>
        </w:tc>
        <w:tc>
          <w:tcPr>
            <w:tcW w:type="dxa" w:w="1134"/>
          </w:tcPr>
          <w:p>
            <w:r/>
            <w:r>
              <w:rPr>
                <w:rFonts w:ascii="Times New Roman" w:hAnsi="Times New Roman" w:eastAsia="Times New Roman"/>
                <w:b w:val="0"/>
                <w:i w:val="0"/>
                <w:sz w:val="18"/>
              </w:rPr>
              <w:t>27.95</w:t>
            </w:r>
          </w:p>
        </w:tc>
        <w:tc>
          <w:tcPr>
            <w:tcW w:type="dxa" w:w="1134"/>
          </w:tcPr>
          <w:p>
            <w:r/>
            <w:r>
              <w:rPr>
                <w:rFonts w:ascii="Times New Roman" w:hAnsi="Times New Roman" w:eastAsia="Times New Roman"/>
                <w:b w:val="0"/>
                <w:i w:val="0"/>
                <w:sz w:val="18"/>
              </w:rPr>
              <w:t>F</w:t>
            </w:r>
          </w:p>
        </w:tc>
      </w:tr>
      <w:tr>
        <w:tc>
          <w:tcPr>
            <w:tcW w:type="dxa" w:w="850"/>
          </w:tcPr>
          <w:p>
            <w:r/>
            <w:r>
              <w:rPr>
                <w:rFonts w:ascii="Times New Roman" w:hAnsi="Times New Roman" w:eastAsia="Times New Roman"/>
                <w:b w:val="0"/>
                <w:i w:val="0"/>
                <w:sz w:val="18"/>
              </w:rPr>
              <w:t>999</w:t>
            </w:r>
          </w:p>
        </w:tc>
        <w:tc>
          <w:tcPr>
            <w:tcW w:type="dxa" w:w="5102"/>
          </w:tcPr>
          <w:p>
            <w:r/>
            <w:r>
              <w:rPr>
                <w:rFonts w:ascii="Times New Roman" w:hAnsi="Times New Roman" w:eastAsia="Times New Roman"/>
                <w:b w:val="0"/>
                <w:i w:val="0"/>
                <w:sz w:val="18"/>
              </w:rPr>
              <w:t>img_0000000225__c019_p226_L006151_20240807…</w:t>
            </w:r>
          </w:p>
        </w:tc>
        <w:tc>
          <w:tcPr>
            <w:tcW w:type="dxa" w:w="1134"/>
          </w:tcPr>
          <w:p>
            <w:r/>
            <w:r>
              <w:rPr>
                <w:rFonts w:ascii="Times New Roman" w:hAnsi="Times New Roman" w:eastAsia="Times New Roman"/>
                <w:b w:val="0"/>
                <w:i w:val="0"/>
                <w:sz w:val="18"/>
              </w:rPr>
              <w:t>24.13</w:t>
            </w:r>
          </w:p>
        </w:tc>
        <w:tc>
          <w:tcPr>
            <w:tcW w:type="dxa" w:w="1134"/>
          </w:tcPr>
          <w:p>
            <w:r/>
            <w:r>
              <w:rPr>
                <w:rFonts w:ascii="Times New Roman" w:hAnsi="Times New Roman" w:eastAsia="Times New Roman"/>
                <w:b w:val="0"/>
                <w:i w:val="0"/>
                <w:sz w:val="18"/>
              </w:rPr>
              <w:t>F</w:t>
            </w:r>
          </w:p>
        </w:tc>
      </w:tr>
      <w:tr>
        <w:tc>
          <w:tcPr>
            <w:tcW w:type="dxa" w:w="850"/>
          </w:tcPr>
          <w:p>
            <w:r/>
            <w:r>
              <w:rPr>
                <w:rFonts w:ascii="Times New Roman" w:hAnsi="Times New Roman" w:eastAsia="Times New Roman"/>
                <w:b w:val="0"/>
                <w:i w:val="0"/>
                <w:sz w:val="18"/>
              </w:rPr>
              <w:t>1000</w:t>
            </w:r>
          </w:p>
        </w:tc>
        <w:tc>
          <w:tcPr>
            <w:tcW w:type="dxa" w:w="5102"/>
          </w:tcPr>
          <w:p>
            <w:r/>
            <w:r>
              <w:rPr>
                <w:rFonts w:ascii="Times New Roman" w:hAnsi="Times New Roman" w:eastAsia="Times New Roman"/>
                <w:b w:val="0"/>
                <w:i w:val="0"/>
                <w:sz w:val="18"/>
              </w:rPr>
              <w:t>img_0000000960__c023_p128_L000841_20241026…</w:t>
            </w:r>
          </w:p>
        </w:tc>
        <w:tc>
          <w:tcPr>
            <w:tcW w:type="dxa" w:w="1134"/>
          </w:tcPr>
          <w:p>
            <w:r/>
            <w:r>
              <w:rPr>
                <w:rFonts w:ascii="Times New Roman" w:hAnsi="Times New Roman" w:eastAsia="Times New Roman"/>
                <w:b w:val="0"/>
                <w:i w:val="0"/>
                <w:sz w:val="18"/>
              </w:rPr>
              <w:t>11.79</w:t>
            </w:r>
          </w:p>
        </w:tc>
        <w:tc>
          <w:tcPr>
            <w:tcW w:type="dxa" w:w="1134"/>
          </w:tcPr>
          <w:p>
            <w:r/>
            <w:r>
              <w:rPr>
                <w:rFonts w:ascii="Times New Roman" w:hAnsi="Times New Roman" w:eastAsia="Times New Roman"/>
                <w:b w:val="0"/>
                <w:i w:val="0"/>
                <w:sz w:val="18"/>
              </w:rPr>
              <w:t>F</w:t>
            </w:r>
          </w:p>
        </w:tc>
      </w:tr>
    </w:tbl>
    <w:p/>
    <w:p>
      <w:pPr>
        <w:spacing w:after="240" w:before="0"/>
        <w:jc w:val="center"/>
      </w:pPr>
      <w:r>
        <w:rPr>
          <w:rFonts w:ascii="Times New Roman" w:hAnsi="Times New Roman" w:eastAsia="Times New Roman"/>
          <w:b w:val="0"/>
          <w:i/>
          <w:sz w:val="18"/>
        </w:rPr>
        <w:t>Table 6. Bottom-5 quality scores (failure modes for follow-up).</w:t>
      </w:r>
    </w:p>
    <w:p>
      <w:pPr>
        <w:spacing w:after="40"/>
        <w:jc w:val="center"/>
      </w:pPr>
      <w:r>
        <w:drawing>
          <wp:inline xmlns:a="http://schemas.openxmlformats.org/drawingml/2006/main" xmlns:pic="http://schemas.openxmlformats.org/drawingml/2006/picture">
            <wp:extent cx="5852160" cy="1907462"/>
            <wp:docPr id="7" name="Picture 7"/>
            <wp:cNvGraphicFramePr>
              <a:graphicFrameLocks noChangeAspect="1"/>
            </wp:cNvGraphicFramePr>
            <a:graphic>
              <a:graphicData uri="http://schemas.openxmlformats.org/drawingml/2006/picture">
                <pic:pic>
                  <pic:nvPicPr>
                    <pic:cNvPr id="0" name="Fig05_quality_distributions.png"/>
                    <pic:cNvPicPr/>
                  </pic:nvPicPr>
                  <pic:blipFill>
                    <a:blip r:embed="rId15"/>
                    <a:stretch>
                      <a:fillRect/>
                    </a:stretch>
                  </pic:blipFill>
                  <pic:spPr>
                    <a:xfrm>
                      <a:off x="0" y="0"/>
                      <a:ext cx="5852160" cy="1907462"/>
                    </a:xfrm>
                    <a:prstGeom prst="rect"/>
                  </pic:spPr>
                </pic:pic>
              </a:graphicData>
            </a:graphic>
          </wp:inline>
        </w:drawing>
      </w:r>
    </w:p>
    <w:p>
      <w:pPr>
        <w:spacing w:after="240" w:before="0"/>
        <w:jc w:val="center"/>
      </w:pPr>
      <w:r>
        <w:rPr>
          <w:rFonts w:ascii="Times New Roman" w:hAnsi="Times New Roman" w:eastAsia="Times New Roman"/>
          <w:b w:val="0"/>
          <w:i/>
          <w:sz w:val="18"/>
        </w:rPr>
        <w:t>Figure 5. Score histogram, grade counts, and relationship between left–right correlation and gap/side standard-deviation ratio (colored by score).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984"/>
          </w:tcPr>
          <w:p>
            <w:r/>
            <w:r>
              <w:rPr>
                <w:rFonts w:ascii="Times New Roman" w:hAnsi="Times New Roman" w:eastAsia="Times New Roman"/>
                <w:b/>
                <w:i w:val="0"/>
                <w:sz w:val="18"/>
              </w:rPr>
              <w:t>Variable</w:t>
            </w:r>
          </w:p>
        </w:tc>
        <w:tc>
          <w:tcPr>
            <w:tcW w:type="dxa" w:w="1247"/>
          </w:tcPr>
          <w:p>
            <w:r/>
            <w:r>
              <w:rPr>
                <w:rFonts w:ascii="Times New Roman" w:hAnsi="Times New Roman" w:eastAsia="Times New Roman"/>
                <w:b/>
                <w:i w:val="0"/>
                <w:sz w:val="18"/>
              </w:rPr>
              <w:t>Mean</w:t>
            </w:r>
          </w:p>
        </w:tc>
        <w:tc>
          <w:tcPr>
            <w:tcW w:type="dxa" w:w="1247"/>
          </w:tcPr>
          <w:p>
            <w:r/>
            <w:r>
              <w:rPr>
                <w:rFonts w:ascii="Times New Roman" w:hAnsi="Times New Roman" w:eastAsia="Times New Roman"/>
                <w:b/>
                <w:i w:val="0"/>
                <w:sz w:val="18"/>
              </w:rPr>
              <w:t>Std</w:t>
            </w:r>
          </w:p>
        </w:tc>
        <w:tc>
          <w:tcPr>
            <w:tcW w:type="dxa" w:w="1247"/>
          </w:tcPr>
          <w:p>
            <w:r/>
            <w:r>
              <w:rPr>
                <w:rFonts w:ascii="Times New Roman" w:hAnsi="Times New Roman" w:eastAsia="Times New Roman"/>
                <w:b/>
                <w:i w:val="0"/>
                <w:sz w:val="18"/>
              </w:rPr>
              <w:t>Min</w:t>
            </w:r>
          </w:p>
        </w:tc>
        <w:tc>
          <w:tcPr>
            <w:tcW w:type="dxa" w:w="1247"/>
          </w:tcPr>
          <w:p>
            <w:r/>
            <w:r>
              <w:rPr>
                <w:rFonts w:ascii="Times New Roman" w:hAnsi="Times New Roman" w:eastAsia="Times New Roman"/>
                <w:b/>
                <w:i w:val="0"/>
                <w:sz w:val="18"/>
              </w:rPr>
              <w:t>P50</w:t>
            </w:r>
          </w:p>
        </w:tc>
        <w:tc>
          <w:tcPr>
            <w:tcW w:type="dxa" w:w="1247"/>
          </w:tcPr>
          <w:p>
            <w:r/>
            <w:r>
              <w:rPr>
                <w:rFonts w:ascii="Times New Roman" w:hAnsi="Times New Roman" w:eastAsia="Times New Roman"/>
                <w:b/>
                <w:i w:val="0"/>
                <w:sz w:val="18"/>
              </w:rPr>
              <w:t>Max</w:t>
            </w:r>
          </w:p>
        </w:tc>
      </w:tr>
      <w:tr>
        <w:tc>
          <w:tcPr>
            <w:tcW w:type="dxa" w:w="1984"/>
          </w:tcPr>
          <w:p>
            <w:r/>
            <w:r>
              <w:rPr>
                <w:rFonts w:ascii="Times New Roman" w:hAnsi="Times New Roman" w:eastAsia="Times New Roman"/>
                <w:b w:val="0"/>
                <w:i w:val="0"/>
                <w:sz w:val="18"/>
              </w:rPr>
              <w:t>score</w:t>
            </w:r>
          </w:p>
        </w:tc>
        <w:tc>
          <w:tcPr>
            <w:tcW w:type="dxa" w:w="1247"/>
          </w:tcPr>
          <w:p>
            <w:r/>
            <w:r>
              <w:rPr>
                <w:rFonts w:ascii="Times New Roman" w:hAnsi="Times New Roman" w:eastAsia="Times New Roman"/>
                <w:b w:val="0"/>
                <w:i w:val="0"/>
                <w:sz w:val="18"/>
              </w:rPr>
              <w:t>75.1270</w:t>
            </w:r>
          </w:p>
        </w:tc>
        <w:tc>
          <w:tcPr>
            <w:tcW w:type="dxa" w:w="1247"/>
          </w:tcPr>
          <w:p>
            <w:r/>
            <w:r>
              <w:rPr>
                <w:rFonts w:ascii="Times New Roman" w:hAnsi="Times New Roman" w:eastAsia="Times New Roman"/>
                <w:b w:val="0"/>
                <w:i w:val="0"/>
                <w:sz w:val="18"/>
              </w:rPr>
              <w:t>13.3578</w:t>
            </w:r>
          </w:p>
        </w:tc>
        <w:tc>
          <w:tcPr>
            <w:tcW w:type="dxa" w:w="1247"/>
          </w:tcPr>
          <w:p>
            <w:r/>
            <w:r>
              <w:rPr>
                <w:rFonts w:ascii="Times New Roman" w:hAnsi="Times New Roman" w:eastAsia="Times New Roman"/>
                <w:b w:val="0"/>
                <w:i w:val="0"/>
                <w:sz w:val="18"/>
              </w:rPr>
              <w:t>11.7900</w:t>
            </w:r>
          </w:p>
        </w:tc>
        <w:tc>
          <w:tcPr>
            <w:tcW w:type="dxa" w:w="1247"/>
          </w:tcPr>
          <w:p>
            <w:r/>
            <w:r>
              <w:rPr>
                <w:rFonts w:ascii="Times New Roman" w:hAnsi="Times New Roman" w:eastAsia="Times New Roman"/>
                <w:b w:val="0"/>
                <w:i w:val="0"/>
                <w:sz w:val="18"/>
              </w:rPr>
              <w:t>77.9400</w:t>
            </w:r>
          </w:p>
        </w:tc>
        <w:tc>
          <w:tcPr>
            <w:tcW w:type="dxa" w:w="1247"/>
          </w:tcPr>
          <w:p>
            <w:r/>
            <w:r>
              <w:rPr>
                <w:rFonts w:ascii="Times New Roman" w:hAnsi="Times New Roman" w:eastAsia="Times New Roman"/>
                <w:b w:val="0"/>
                <w:i w:val="0"/>
                <w:sz w:val="18"/>
              </w:rPr>
              <w:t>98.6000</w:t>
            </w:r>
          </w:p>
        </w:tc>
      </w:tr>
      <w:tr>
        <w:tc>
          <w:tcPr>
            <w:tcW w:type="dxa" w:w="1984"/>
          </w:tcPr>
          <w:p>
            <w:r/>
            <w:r>
              <w:rPr>
                <w:rFonts w:ascii="Times New Roman" w:hAnsi="Times New Roman" w:eastAsia="Times New Roman"/>
                <w:b w:val="0"/>
                <w:i w:val="0"/>
                <w:sz w:val="18"/>
              </w:rPr>
              <w:t>side_std</w:t>
            </w:r>
          </w:p>
        </w:tc>
        <w:tc>
          <w:tcPr>
            <w:tcW w:type="dxa" w:w="1247"/>
          </w:tcPr>
          <w:p>
            <w:r/>
            <w:r>
              <w:rPr>
                <w:rFonts w:ascii="Times New Roman" w:hAnsi="Times New Roman" w:eastAsia="Times New Roman"/>
                <w:b w:val="0"/>
                <w:i w:val="0"/>
                <w:sz w:val="18"/>
              </w:rPr>
              <w:t>0.0475</w:t>
            </w:r>
          </w:p>
        </w:tc>
        <w:tc>
          <w:tcPr>
            <w:tcW w:type="dxa" w:w="1247"/>
          </w:tcPr>
          <w:p>
            <w:r/>
            <w:r>
              <w:rPr>
                <w:rFonts w:ascii="Times New Roman" w:hAnsi="Times New Roman" w:eastAsia="Times New Roman"/>
                <w:b w:val="0"/>
                <w:i w:val="0"/>
                <w:sz w:val="18"/>
              </w:rPr>
              <w:t>0.0373</w:t>
            </w:r>
          </w:p>
        </w:tc>
        <w:tc>
          <w:tcPr>
            <w:tcW w:type="dxa" w:w="1247"/>
          </w:tcPr>
          <w:p>
            <w:r/>
            <w:r>
              <w:rPr>
                <w:rFonts w:ascii="Times New Roman" w:hAnsi="Times New Roman" w:eastAsia="Times New Roman"/>
                <w:b w:val="0"/>
                <w:i w:val="0"/>
                <w:sz w:val="18"/>
              </w:rPr>
              <w:t>0.0089</w:t>
            </w:r>
          </w:p>
        </w:tc>
        <w:tc>
          <w:tcPr>
            <w:tcW w:type="dxa" w:w="1247"/>
          </w:tcPr>
          <w:p>
            <w:r/>
            <w:r>
              <w:rPr>
                <w:rFonts w:ascii="Times New Roman" w:hAnsi="Times New Roman" w:eastAsia="Times New Roman"/>
                <w:b w:val="0"/>
                <w:i w:val="0"/>
                <w:sz w:val="18"/>
              </w:rPr>
              <w:t>0.0365</w:t>
            </w:r>
          </w:p>
        </w:tc>
        <w:tc>
          <w:tcPr>
            <w:tcW w:type="dxa" w:w="1247"/>
          </w:tcPr>
          <w:p>
            <w:r/>
            <w:r>
              <w:rPr>
                <w:rFonts w:ascii="Times New Roman" w:hAnsi="Times New Roman" w:eastAsia="Times New Roman"/>
                <w:b w:val="0"/>
                <w:i w:val="0"/>
                <w:sz w:val="18"/>
              </w:rPr>
              <w:t>0.4789</w:t>
            </w:r>
          </w:p>
        </w:tc>
      </w:tr>
      <w:tr>
        <w:tc>
          <w:tcPr>
            <w:tcW w:type="dxa" w:w="1984"/>
          </w:tcPr>
          <w:p>
            <w:r/>
            <w:r>
              <w:rPr>
                <w:rFonts w:ascii="Times New Roman" w:hAnsi="Times New Roman" w:eastAsia="Times New Roman"/>
                <w:b w:val="0"/>
                <w:i w:val="0"/>
                <w:sz w:val="18"/>
              </w:rPr>
              <w:t>gap_std</w:t>
            </w:r>
          </w:p>
        </w:tc>
        <w:tc>
          <w:tcPr>
            <w:tcW w:type="dxa" w:w="1247"/>
          </w:tcPr>
          <w:p>
            <w:r/>
            <w:r>
              <w:rPr>
                <w:rFonts w:ascii="Times New Roman" w:hAnsi="Times New Roman" w:eastAsia="Times New Roman"/>
                <w:b w:val="0"/>
                <w:i w:val="0"/>
                <w:sz w:val="18"/>
              </w:rPr>
              <w:t>0.0448</w:t>
            </w:r>
          </w:p>
        </w:tc>
        <w:tc>
          <w:tcPr>
            <w:tcW w:type="dxa" w:w="1247"/>
          </w:tcPr>
          <w:p>
            <w:r/>
            <w:r>
              <w:rPr>
                <w:rFonts w:ascii="Times New Roman" w:hAnsi="Times New Roman" w:eastAsia="Times New Roman"/>
                <w:b w:val="0"/>
                <w:i w:val="0"/>
                <w:sz w:val="18"/>
              </w:rPr>
              <w:t>0.0359</w:t>
            </w:r>
          </w:p>
        </w:tc>
        <w:tc>
          <w:tcPr>
            <w:tcW w:type="dxa" w:w="1247"/>
          </w:tcPr>
          <w:p>
            <w:r/>
            <w:r>
              <w:rPr>
                <w:rFonts w:ascii="Times New Roman" w:hAnsi="Times New Roman" w:eastAsia="Times New Roman"/>
                <w:b w:val="0"/>
                <w:i w:val="0"/>
                <w:sz w:val="18"/>
              </w:rPr>
              <w:t>0.0068</w:t>
            </w:r>
          </w:p>
        </w:tc>
        <w:tc>
          <w:tcPr>
            <w:tcW w:type="dxa" w:w="1247"/>
          </w:tcPr>
          <w:p>
            <w:r/>
            <w:r>
              <w:rPr>
                <w:rFonts w:ascii="Times New Roman" w:hAnsi="Times New Roman" w:eastAsia="Times New Roman"/>
                <w:b w:val="0"/>
                <w:i w:val="0"/>
                <w:sz w:val="18"/>
              </w:rPr>
              <w:t>0.0339</w:t>
            </w:r>
          </w:p>
        </w:tc>
        <w:tc>
          <w:tcPr>
            <w:tcW w:type="dxa" w:w="1247"/>
          </w:tcPr>
          <w:p>
            <w:r/>
            <w:r>
              <w:rPr>
                <w:rFonts w:ascii="Times New Roman" w:hAnsi="Times New Roman" w:eastAsia="Times New Roman"/>
                <w:b w:val="0"/>
                <w:i w:val="0"/>
                <w:sz w:val="18"/>
              </w:rPr>
              <w:t>0.4691</w:t>
            </w:r>
          </w:p>
        </w:tc>
      </w:tr>
      <w:tr>
        <w:tc>
          <w:tcPr>
            <w:tcW w:type="dxa" w:w="1984"/>
          </w:tcPr>
          <w:p>
            <w:r/>
            <w:r>
              <w:rPr>
                <w:rFonts w:ascii="Times New Roman" w:hAnsi="Times New Roman" w:eastAsia="Times New Roman"/>
                <w:b w:val="0"/>
                <w:i w:val="0"/>
                <w:sz w:val="18"/>
              </w:rPr>
              <w:t>gap_over_side</w:t>
            </w:r>
          </w:p>
        </w:tc>
        <w:tc>
          <w:tcPr>
            <w:tcW w:type="dxa" w:w="1247"/>
          </w:tcPr>
          <w:p>
            <w:r/>
            <w:r>
              <w:rPr>
                <w:rFonts w:ascii="Times New Roman" w:hAnsi="Times New Roman" w:eastAsia="Times New Roman"/>
                <w:b w:val="0"/>
                <w:i w:val="0"/>
                <w:sz w:val="18"/>
              </w:rPr>
              <w:t>0.9486</w:t>
            </w:r>
          </w:p>
        </w:tc>
        <w:tc>
          <w:tcPr>
            <w:tcW w:type="dxa" w:w="1247"/>
          </w:tcPr>
          <w:p>
            <w:r/>
            <w:r>
              <w:rPr>
                <w:rFonts w:ascii="Times New Roman" w:hAnsi="Times New Roman" w:eastAsia="Times New Roman"/>
                <w:b w:val="0"/>
                <w:i w:val="0"/>
                <w:sz w:val="18"/>
              </w:rPr>
              <w:t>0.1842</w:t>
            </w:r>
          </w:p>
        </w:tc>
        <w:tc>
          <w:tcPr>
            <w:tcW w:type="dxa" w:w="1247"/>
          </w:tcPr>
          <w:p>
            <w:r/>
            <w:r>
              <w:rPr>
                <w:rFonts w:ascii="Times New Roman" w:hAnsi="Times New Roman" w:eastAsia="Times New Roman"/>
                <w:b w:val="0"/>
                <w:i w:val="0"/>
                <w:sz w:val="18"/>
              </w:rPr>
              <w:t>0.3725</w:t>
            </w:r>
          </w:p>
        </w:tc>
        <w:tc>
          <w:tcPr>
            <w:tcW w:type="dxa" w:w="1247"/>
          </w:tcPr>
          <w:p>
            <w:r/>
            <w:r>
              <w:rPr>
                <w:rFonts w:ascii="Times New Roman" w:hAnsi="Times New Roman" w:eastAsia="Times New Roman"/>
                <w:b w:val="0"/>
                <w:i w:val="0"/>
                <w:sz w:val="18"/>
              </w:rPr>
              <w:t>0.9362</w:t>
            </w:r>
          </w:p>
        </w:tc>
        <w:tc>
          <w:tcPr>
            <w:tcW w:type="dxa" w:w="1247"/>
          </w:tcPr>
          <w:p>
            <w:r/>
            <w:r>
              <w:rPr>
                <w:rFonts w:ascii="Times New Roman" w:hAnsi="Times New Roman" w:eastAsia="Times New Roman"/>
                <w:b w:val="0"/>
                <w:i w:val="0"/>
                <w:sz w:val="18"/>
              </w:rPr>
              <w:t>3.0103</w:t>
            </w:r>
          </w:p>
        </w:tc>
      </w:tr>
      <w:tr>
        <w:tc>
          <w:tcPr>
            <w:tcW w:type="dxa" w:w="1984"/>
          </w:tcPr>
          <w:p>
            <w:r/>
            <w:r>
              <w:rPr>
                <w:rFonts w:ascii="Times New Roman" w:hAnsi="Times New Roman" w:eastAsia="Times New Roman"/>
                <w:b w:val="0"/>
                <w:i w:val="0"/>
                <w:sz w:val="18"/>
              </w:rPr>
              <w:t>lr_corr</w:t>
            </w:r>
          </w:p>
        </w:tc>
        <w:tc>
          <w:tcPr>
            <w:tcW w:type="dxa" w:w="1247"/>
          </w:tcPr>
          <w:p>
            <w:r/>
            <w:r>
              <w:rPr>
                <w:rFonts w:ascii="Times New Roman" w:hAnsi="Times New Roman" w:eastAsia="Times New Roman"/>
                <w:b w:val="0"/>
                <w:i w:val="0"/>
                <w:sz w:val="18"/>
              </w:rPr>
              <w:t>0.8378</w:t>
            </w:r>
          </w:p>
        </w:tc>
        <w:tc>
          <w:tcPr>
            <w:tcW w:type="dxa" w:w="1247"/>
          </w:tcPr>
          <w:p>
            <w:r/>
            <w:r>
              <w:rPr>
                <w:rFonts w:ascii="Times New Roman" w:hAnsi="Times New Roman" w:eastAsia="Times New Roman"/>
                <w:b w:val="0"/>
                <w:i w:val="0"/>
                <w:sz w:val="18"/>
              </w:rPr>
              <w:t>0.1964</w:t>
            </w:r>
          </w:p>
        </w:tc>
        <w:tc>
          <w:tcPr>
            <w:tcW w:type="dxa" w:w="1247"/>
          </w:tcPr>
          <w:p>
            <w:r/>
            <w:r>
              <w:rPr>
                <w:rFonts w:ascii="Times New Roman" w:hAnsi="Times New Roman" w:eastAsia="Times New Roman"/>
                <w:b w:val="0"/>
                <w:i w:val="0"/>
                <w:sz w:val="18"/>
              </w:rPr>
              <w:t>-0.7050</w:t>
            </w:r>
          </w:p>
        </w:tc>
        <w:tc>
          <w:tcPr>
            <w:tcW w:type="dxa" w:w="1247"/>
          </w:tcPr>
          <w:p>
            <w:r/>
            <w:r>
              <w:rPr>
                <w:rFonts w:ascii="Times New Roman" w:hAnsi="Times New Roman" w:eastAsia="Times New Roman"/>
                <w:b w:val="0"/>
                <w:i w:val="0"/>
                <w:sz w:val="18"/>
              </w:rPr>
              <w:t>0.9054</w:t>
            </w:r>
          </w:p>
        </w:tc>
        <w:tc>
          <w:tcPr>
            <w:tcW w:type="dxa" w:w="1247"/>
          </w:tcPr>
          <w:p>
            <w:r/>
            <w:r>
              <w:rPr>
                <w:rFonts w:ascii="Times New Roman" w:hAnsi="Times New Roman" w:eastAsia="Times New Roman"/>
                <w:b w:val="0"/>
                <w:i w:val="0"/>
                <w:sz w:val="18"/>
              </w:rPr>
              <w:t>0.9992</w:t>
            </w:r>
          </w:p>
        </w:tc>
      </w:tr>
    </w:tbl>
    <w:p/>
    <w:p>
      <w:pPr>
        <w:spacing w:after="240" w:before="0"/>
        <w:jc w:val="center"/>
      </w:pPr>
      <w:r>
        <w:rPr>
          <w:rFonts w:ascii="Times New Roman" w:hAnsi="Times New Roman" w:eastAsia="Times New Roman"/>
          <w:b w:val="0"/>
          <w:i/>
          <w:sz w:val="18"/>
        </w:rPr>
        <w:t>Table 7. Descriptive statistics of core quality variables (n=1000 crops).</w:t>
      </w:r>
    </w:p>
    <w:p>
      <w:pPr>
        <w:pStyle w:val="Heading1"/>
      </w:pPr>
      <w:r>
        <w:rPr>
          <w:rFonts w:ascii="Times New Roman" w:hAnsi="Times New Roman" w:eastAsia="Times New Roman"/>
          <w:b/>
          <w:i w:val="0"/>
          <w:sz w:val="28"/>
        </w:rPr>
        <w:t>5. Discussion</w:t>
      </w:r>
    </w:p>
    <w:p>
      <w:pPr>
        <w:spacing w:after="160" w:before="0"/>
        <w:jc w:val="both"/>
      </w:pPr>
      <w:r>
        <w:rPr>
          <w:rFonts w:ascii="Times New Roman" w:hAnsi="Times New Roman" w:eastAsia="Times New Roman"/>
          <w:b w:val="0"/>
          <w:i w:val="0"/>
          <w:sz w:val="22"/>
        </w:rPr>
        <w:t>Production success near 95% establishes that anisotropic 2D PG is an operationally viable way to produce continuous 69-column SSHA ribbons for downstream SLA–SWOT pairing and residual CNN training. The hard contract out[known]=u_obs[known] prevents the fill from rewriting KaRIn observations—an essential scientific property for any product that will later be compared to SLA.</w:t>
      </w:r>
    </w:p>
    <w:p>
      <w:pPr>
        <w:spacing w:after="160" w:before="0"/>
        <w:jc w:val="both"/>
      </w:pPr>
      <w:r>
        <w:rPr>
          <w:rFonts w:ascii="Times New Roman" w:hAnsi="Times New Roman" w:eastAsia="Times New Roman"/>
          <w:b w:val="0"/>
          <w:i w:val="0"/>
          <w:sz w:val="22"/>
        </w:rPr>
        <w:t>Limitations are equally clear. Gap-surgery skill is only marginally positive on average: when flanks are flat or left–right coherence is weak, a fixed keep mask can invent gap variance (ringing), which percentile visualization then exaggerates. Heuristic audits flagged ringing on a large fraction of crops; this is a property of band-limited extrapolation under low SNR, not a NetCDF write bug. High-latitude passes with empty outer columns further reduce constraints.</w:t>
      </w:r>
    </w:p>
    <w:p>
      <w:pPr>
        <w:spacing w:after="80" w:before="0"/>
        <w:jc w:val="both"/>
      </w:pPr>
      <w:r>
        <w:rPr>
          <w:rFonts w:ascii="Times New Roman" w:hAnsi="Times New Roman" w:eastAsia="Times New Roman"/>
          <w:b w:val="0"/>
          <w:i w:val="0"/>
          <w:sz w:val="22"/>
        </w:rPr>
        <w:t>The recommended research path (E2*) is a hybrid: predict a spatial residual with a masked CNN/UNet (trained via gap surgery), apply a spectral guard H(k), inverse transform, then reinstate known samples. Co-temporal L4 SLA (E0b) can supply a low-pass prior L. Uncertainty maps should accompany any public-facing gap product: filled values are reconstructions, not new KaRIn measurements.</w:t>
      </w:r>
    </w:p>
    <w:p>
      <w:pPr>
        <w:spacing w:before="120" w:after="120"/>
        <w:jc w:val="center"/>
      </w:pPr>
      <w:r>
        <w:rPr>
          <w:rFonts w:ascii="Times New Roman" w:hAnsi="Times New Roman" w:eastAsia="Times New Roman"/>
          <w:b w:val="0"/>
          <w:i/>
          <w:sz w:val="22"/>
        </w:rPr>
        <w:t>u_rec = L + F⁻¹( H · F(r̂_θ) ),   r̂_θ = f_θ(u_obs, m, ST),   then reinstate m=1</w:t>
      </w:r>
      <w:r>
        <w:rPr>
          <w:rFonts w:ascii="Times New Roman" w:hAnsi="Times New Roman" w:eastAsia="Times New Roman"/>
          <w:b w:val="0"/>
          <w:i w:val="0"/>
          <w:sz w:val="22"/>
        </w:rPr>
        <w:t xml:space="preserve">    (11)</w:t>
      </w:r>
    </w:p>
    <w:p>
      <w:pPr>
        <w:pStyle w:val="Heading1"/>
      </w:pPr>
      <w:r>
        <w:rPr>
          <w:rFonts w:ascii="Times New Roman" w:hAnsi="Times New Roman" w:eastAsia="Times New Roman"/>
          <w:b/>
          <w:i w:val="0"/>
          <w:sz w:val="28"/>
        </w:rPr>
        <w:t>6. Conclusions</w:t>
      </w:r>
    </w:p>
    <w:p>
      <w:pPr>
        <w:spacing w:after="80" w:before="0"/>
        <w:jc w:val="both"/>
      </w:pPr>
      <w:r>
        <w:rPr>
          <w:rFonts w:ascii="Times New Roman" w:hAnsi="Times New Roman" w:eastAsia="Times New Roman"/>
          <w:b w:val="0"/>
          <w:i w:val="0"/>
          <w:sz w:val="22"/>
        </w:rPr>
        <w:t>1. Nadir-gap fill must preserve complex spectral phase; magnitude-only FFT→IFFT is not an acceptable primary method.</w:t>
      </w:r>
    </w:p>
    <w:p>
      <w:pPr>
        <w:spacing w:after="80" w:before="0"/>
        <w:jc w:val="both"/>
      </w:pPr>
      <w:r>
        <w:rPr>
          <w:rFonts w:ascii="Times New Roman" w:hAnsi="Times New Roman" w:eastAsia="Times New Roman"/>
          <w:b w:val="0"/>
          <w:i w:val="0"/>
          <w:sz w:val="22"/>
        </w:rPr>
        <w:t>2. The 2024 production algorithm is clear_central_nadir_gap + 2D anisotropic Papoulis–Gerchberg (T=60, f_∥=0.35, f_⊥=0.55) with exact KaRIn reinstatement.</w:t>
      </w:r>
    </w:p>
    <w:p>
      <w:pPr>
        <w:spacing w:after="80" w:before="0"/>
        <w:jc w:val="both"/>
      </w:pPr>
      <w:r>
        <w:rPr>
          <w:rFonts w:ascii="Times New Roman" w:hAnsi="Times New Roman" w:eastAsia="Times New Roman"/>
          <w:b w:val="0"/>
          <w:i w:val="0"/>
          <w:sz w:val="22"/>
        </w:rPr>
        <w:t>3. Of 10,038 SWOT2024 passes, 9,532 were newly filled (≈95% success); failures are dominated by I/O errors and insufficient known samples.</w:t>
      </w:r>
    </w:p>
    <w:p>
      <w:pPr>
        <w:spacing w:after="80" w:before="0"/>
        <w:jc w:val="both"/>
      </w:pPr>
      <w:r>
        <w:rPr>
          <w:rFonts w:ascii="Times New Roman" w:hAnsi="Times New Roman" w:eastAsia="Times New Roman"/>
          <w:b w:val="0"/>
          <w:i w:val="0"/>
          <w:sz w:val="22"/>
        </w:rPr>
        <w:t>4. On 1,000 audited crops, mean quality score is 75.1 with 78.6% graded A or B; ringing and weak L–R correlation remain the main quality flags.</w:t>
      </w:r>
    </w:p>
    <w:p>
      <w:pPr>
        <w:spacing w:after="160" w:before="0"/>
        <w:jc w:val="both"/>
      </w:pPr>
      <w:r>
        <w:rPr>
          <w:rFonts w:ascii="Times New Roman" w:hAnsi="Times New Roman" w:eastAsia="Times New Roman"/>
          <w:b w:val="0"/>
          <w:i w:val="0"/>
          <w:sz w:val="22"/>
        </w:rPr>
        <w:t>5. Downstream use (e.g., E:\SWOT2024_Ok paired with E:\SLA2024 for SLA-H) should treat gap columns as reconstructed, optionally masked or down-weighted in loss.</w:t>
      </w:r>
    </w:p>
    <w:p>
      <w:pPr>
        <w:pStyle w:val="Heading1"/>
      </w:pPr>
      <w:r>
        <w:rPr>
          <w:rFonts w:ascii="Times New Roman" w:hAnsi="Times New Roman" w:eastAsia="Times New Roman"/>
          <w:b/>
          <w:i w:val="0"/>
          <w:sz w:val="28"/>
        </w:rPr>
        <w:t>7. Data and code pointers</w:t>
      </w:r>
    </w:p>
    <w:tbl>
      <w:tblPr>
        <w:tblStyle w:val="TableGrid"/>
        <w:tblW w:type="auto" w:w="0"/>
        <w:tblLook w:firstColumn="1" w:firstRow="1" w:lastColumn="0" w:lastRow="0" w:noHBand="0" w:noVBand="1" w:val="04A0"/>
      </w:tblPr>
      <w:tblGrid>
        <w:gridCol w:w="4873"/>
        <w:gridCol w:w="4873"/>
      </w:tblGrid>
      <w:tr>
        <w:tc>
          <w:tcPr>
            <w:tcW w:type="dxa" w:w="2551"/>
          </w:tcPr>
          <w:p>
            <w:r/>
            <w:r>
              <w:rPr>
                <w:rFonts w:ascii="Times New Roman" w:hAnsi="Times New Roman" w:eastAsia="Times New Roman"/>
                <w:b/>
                <w:i w:val="0"/>
                <w:sz w:val="18"/>
              </w:rPr>
              <w:t>Item</w:t>
            </w:r>
          </w:p>
        </w:tc>
        <w:tc>
          <w:tcPr>
            <w:tcW w:type="dxa" w:w="6236"/>
          </w:tcPr>
          <w:p>
            <w:r/>
            <w:r>
              <w:rPr>
                <w:rFonts w:ascii="Times New Roman" w:hAnsi="Times New Roman" w:eastAsia="Times New Roman"/>
                <w:b/>
                <w:i w:val="0"/>
                <w:sz w:val="18"/>
              </w:rPr>
              <w:t>Path</w:t>
            </w:r>
          </w:p>
        </w:tc>
      </w:tr>
      <w:tr>
        <w:tc>
          <w:tcPr>
            <w:tcW w:type="dxa" w:w="2551"/>
          </w:tcPr>
          <w:p>
            <w:r/>
            <w:r>
              <w:rPr>
                <w:rFonts w:ascii="Times New Roman" w:hAnsi="Times New Roman" w:eastAsia="Times New Roman"/>
                <w:b w:val="0"/>
                <w:i w:val="0"/>
                <w:sz w:val="18"/>
              </w:rPr>
              <w:t>Methods note</w:t>
            </w:r>
          </w:p>
        </w:tc>
        <w:tc>
          <w:tcPr>
            <w:tcW w:type="dxa" w:w="6236"/>
          </w:tcPr>
          <w:p>
            <w:r/>
            <w:r>
              <w:rPr>
                <w:rFonts w:ascii="Times New Roman" w:hAnsi="Times New Roman" w:eastAsia="Times New Roman"/>
                <w:b w:val="0"/>
                <w:i w:val="0"/>
                <w:sz w:val="18"/>
              </w:rPr>
              <w:t>fill_nadir_gap/METHODS_NADIR_GAP.md</w:t>
            </w:r>
          </w:p>
        </w:tc>
      </w:tr>
      <w:tr>
        <w:tc>
          <w:tcPr>
            <w:tcW w:type="dxa" w:w="2551"/>
          </w:tcPr>
          <w:p>
            <w:r/>
            <w:r>
              <w:rPr>
                <w:rFonts w:ascii="Times New Roman" w:hAnsi="Times New Roman" w:eastAsia="Times New Roman"/>
                <w:b w:val="0"/>
                <w:i w:val="0"/>
                <w:sz w:val="18"/>
              </w:rPr>
              <w:t>Full-orbit builder</w:t>
            </w:r>
          </w:p>
        </w:tc>
        <w:tc>
          <w:tcPr>
            <w:tcW w:type="dxa" w:w="6236"/>
          </w:tcPr>
          <w:p>
            <w:r/>
            <w:r>
              <w:rPr>
                <w:rFonts w:ascii="Times New Roman" w:hAnsi="Times New Roman" w:eastAsia="Times New Roman"/>
                <w:b w:val="0"/>
                <w:i w:val="0"/>
                <w:sz w:val="18"/>
              </w:rPr>
              <w:t>fill_nadir_gap/src/build_filled_69xfull.py</w:t>
            </w:r>
          </w:p>
        </w:tc>
      </w:tr>
      <w:tr>
        <w:tc>
          <w:tcPr>
            <w:tcW w:type="dxa" w:w="2551"/>
          </w:tcPr>
          <w:p>
            <w:r/>
            <w:r>
              <w:rPr>
                <w:rFonts w:ascii="Times New Roman" w:hAnsi="Times New Roman" w:eastAsia="Times New Roman"/>
                <w:b w:val="0"/>
                <w:i w:val="0"/>
                <w:sz w:val="18"/>
              </w:rPr>
              <w:t>PG PoC</w:t>
            </w:r>
          </w:p>
        </w:tc>
        <w:tc>
          <w:tcPr>
            <w:tcW w:type="dxa" w:w="6236"/>
          </w:tcPr>
          <w:p>
            <w:r/>
            <w:r>
              <w:rPr>
                <w:rFonts w:ascii="Times New Roman" w:hAnsi="Times New Roman" w:eastAsia="Times New Roman"/>
                <w:b w:val="0"/>
                <w:i w:val="0"/>
                <w:sz w:val="18"/>
              </w:rPr>
              <w:t>fill_nadir_gap/src/pg_poc_test_69x138.py</w:t>
            </w:r>
          </w:p>
        </w:tc>
      </w:tr>
      <w:tr>
        <w:tc>
          <w:tcPr>
            <w:tcW w:type="dxa" w:w="2551"/>
          </w:tcPr>
          <w:p>
            <w:r/>
            <w:r>
              <w:rPr>
                <w:rFonts w:ascii="Times New Roman" w:hAnsi="Times New Roman" w:eastAsia="Times New Roman"/>
                <w:b w:val="0"/>
                <w:i w:val="0"/>
                <w:sz w:val="18"/>
              </w:rPr>
              <w:t>2024 summary JSON</w:t>
            </w:r>
          </w:p>
        </w:tc>
        <w:tc>
          <w:tcPr>
            <w:tcW w:type="dxa" w:w="6236"/>
          </w:tcPr>
          <w:p>
            <w:r/>
            <w:r>
              <w:rPr>
                <w:rFonts w:ascii="Times New Roman" w:hAnsi="Times New Roman" w:eastAsia="Times New Roman"/>
                <w:b w:val="0"/>
                <w:i w:val="0"/>
                <w:sz w:val="18"/>
              </w:rPr>
              <w:t>fill_nadir_gap/out/filled_69xfull/summary_2024.json</w:t>
            </w:r>
          </w:p>
        </w:tc>
      </w:tr>
      <w:tr>
        <w:tc>
          <w:tcPr>
            <w:tcW w:type="dxa" w:w="2551"/>
          </w:tcPr>
          <w:p>
            <w:r/>
            <w:r>
              <w:rPr>
                <w:rFonts w:ascii="Times New Roman" w:hAnsi="Times New Roman" w:eastAsia="Times New Roman"/>
                <w:b w:val="0"/>
                <w:i w:val="0"/>
                <w:sz w:val="18"/>
              </w:rPr>
              <w:t>Completion report</w:t>
            </w:r>
          </w:p>
        </w:tc>
        <w:tc>
          <w:tcPr>
            <w:tcW w:type="dxa" w:w="6236"/>
          </w:tcPr>
          <w:p>
            <w:r/>
            <w:r>
              <w:rPr>
                <w:rFonts w:ascii="Times New Roman" w:hAnsi="Times New Roman" w:eastAsia="Times New Roman"/>
                <w:b w:val="0"/>
                <w:i w:val="0"/>
                <w:sz w:val="18"/>
              </w:rPr>
              <w:t>fill_nadir_gap/out/filled_69xfull/COMPLETION_REPORT.json</w:t>
            </w:r>
          </w:p>
        </w:tc>
      </w:tr>
      <w:tr>
        <w:tc>
          <w:tcPr>
            <w:tcW w:type="dxa" w:w="2551"/>
          </w:tcPr>
          <w:p>
            <w:r/>
            <w:r>
              <w:rPr>
                <w:rFonts w:ascii="Times New Roman" w:hAnsi="Times New Roman" w:eastAsia="Times New Roman"/>
                <w:b w:val="0"/>
                <w:i w:val="0"/>
                <w:sz w:val="18"/>
              </w:rPr>
              <w:t>Quality CSV</w:t>
            </w:r>
          </w:p>
        </w:tc>
        <w:tc>
          <w:tcPr>
            <w:tcW w:type="dxa" w:w="6236"/>
          </w:tcPr>
          <w:p>
            <w:r/>
            <w:r>
              <w:rPr>
                <w:rFonts w:ascii="Times New Roman" w:hAnsi="Times New Roman" w:eastAsia="Times New Roman"/>
                <w:b w:val="0"/>
                <w:i w:val="0"/>
                <w:sz w:val="18"/>
              </w:rPr>
              <w:t>fill_nadir_gap/out/fill_quality/fill_quality_all.csv</w:t>
            </w:r>
          </w:p>
        </w:tc>
      </w:tr>
      <w:tr>
        <w:tc>
          <w:tcPr>
            <w:tcW w:type="dxa" w:w="2551"/>
          </w:tcPr>
          <w:p>
            <w:r/>
            <w:r>
              <w:rPr>
                <w:rFonts w:ascii="Times New Roman" w:hAnsi="Times New Roman" w:eastAsia="Times New Roman"/>
                <w:b w:val="0"/>
                <w:i w:val="0"/>
                <w:sz w:val="18"/>
              </w:rPr>
              <w:t>Filled product 2024</w:t>
            </w:r>
          </w:p>
        </w:tc>
        <w:tc>
          <w:tcPr>
            <w:tcW w:type="dxa" w:w="6236"/>
          </w:tcPr>
          <w:p>
            <w:r/>
            <w:r>
              <w:rPr>
                <w:rFonts w:ascii="Times New Roman" w:hAnsi="Times New Roman" w:eastAsia="Times New Roman"/>
                <w:b w:val="0"/>
                <w:i w:val="0"/>
                <w:sz w:val="18"/>
              </w:rPr>
              <w:t>E:\SWOT2024_Ok</w:t>
            </w:r>
          </w:p>
        </w:tc>
      </w:tr>
      <w:tr>
        <w:tc>
          <w:tcPr>
            <w:tcW w:type="dxa" w:w="2551"/>
          </w:tcPr>
          <w:p>
            <w:r/>
            <w:r>
              <w:rPr>
                <w:rFonts w:ascii="Times New Roman" w:hAnsi="Times New Roman" w:eastAsia="Times New Roman"/>
                <w:b w:val="0"/>
                <w:i w:val="0"/>
                <w:sz w:val="18"/>
              </w:rPr>
              <w:t>This report figures</w:t>
            </w:r>
          </w:p>
        </w:tc>
        <w:tc>
          <w:tcPr>
            <w:tcW w:type="dxa" w:w="6236"/>
          </w:tcPr>
          <w:p>
            <w:r/>
            <w:r>
              <w:rPr>
                <w:rFonts w:ascii="Times New Roman" w:hAnsi="Times New Roman" w:eastAsia="Times New Roman"/>
                <w:b w:val="0"/>
                <w:i w:val="0"/>
                <w:sz w:val="18"/>
              </w:rPr>
              <w:t>fill_nadir_gap/docs/figures/</w:t>
            </w:r>
          </w:p>
        </w:tc>
      </w:tr>
    </w:tbl>
    <w:p/>
    <w:p>
      <w:pPr>
        <w:spacing w:after="240" w:before="0"/>
        <w:jc w:val="center"/>
      </w:pPr>
      <w:r>
        <w:rPr>
          <w:rFonts w:ascii="Times New Roman" w:hAnsi="Times New Roman" w:eastAsia="Times New Roman"/>
          <w:b w:val="0"/>
          <w:i/>
          <w:sz w:val="18"/>
        </w:rPr>
        <w:t>Table 8. Reproducibility paths for algorithm, metrics, and products.</w:t>
      </w:r>
    </w:p>
    <w:p>
      <w:pPr>
        <w:pStyle w:val="Heading1"/>
      </w:pPr>
      <w:r>
        <w:rPr>
          <w:rFonts w:ascii="Times New Roman" w:hAnsi="Times New Roman" w:eastAsia="Times New Roman"/>
          <w:b/>
          <w:i w:val="0"/>
          <w:sz w:val="28"/>
        </w:rPr>
        <w:t>Acknowledgments / framing</w:t>
      </w:r>
    </w:p>
    <w:p>
      <w:pPr>
        <w:spacing w:after="160" w:before="0"/>
        <w:jc w:val="both"/>
      </w:pPr>
      <w:r>
        <w:rPr>
          <w:rFonts w:ascii="Times New Roman" w:hAnsi="Times New Roman" w:eastAsia="Times New Roman"/>
          <w:b w:val="0"/>
          <w:i w:val="0"/>
          <w:sz w:val="22"/>
        </w:rPr>
        <w:t>This document consolidates the RespondSeeSurface fill_nadir_gap design notes, PoC metrics, and the 2024 full-orbit build. Framing throughout: reconstruction with uncertainty—not a claim of new KaRIn measurements inside the nadir void.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