
<file path=[Content_Types].xml><?xml version="1.0" encoding="utf-8"?>
<Types xmlns="http://schemas.openxmlformats.org/package/2006/content-types">
  <Default Extension="xml" ContentType="application/xml"/>
  <Default Extension="jpeg" ContentType="image/jpeg"/>
  <Default Extension="jpg" ContentType="image/jpeg"/>
  <Default Extension="png" ContentType="image/png"/>
  <Default Extension="rels" ContentType="application/vnd.openxmlformats-package.relationships+xml"/>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body>
    <w:p w14:paraId="00000005">
      <w:pPr>
        <w:spacing w:after="5"/>
        <w:ind w:right="43"/>
        <w:jc w:val="right"/>
        <w:rPr>
          <w:rFonts w:asciiTheme="majorHAnsi" w:hAnsiTheme="majorHAnsi"/>
        </w:rPr>
      </w:pPr>
      <w:bookmarkStart w:id="0" w:name="_Hlk210118045"/>
      <w:r>
        <w:rPr>
          <w:rFonts w:asciiTheme="majorHAnsi" w:hAnsiTheme="majorHAnsi"/>
        </w:rPr>
        <w:t xml:space="preserve">Air Utilities Ltd   </w:t>
      </w:r>
    </w:p>
    <w:p w14:paraId="00000006">
      <w:pPr>
        <w:spacing w:after="5"/>
        <w:ind w:right="43"/>
        <w:jc w:val="right"/>
        <w:rPr>
          <w:rFonts w:asciiTheme="majorHAnsi" w:hAnsiTheme="majorHAnsi"/>
        </w:rPr>
      </w:pPr>
      <w:r>
        <w:rPr>
          <w:rFonts w:asciiTheme="majorHAnsi" w:hAnsiTheme="majorHAnsi"/>
        </w:rPr>
        <w:t>34 Meadow Mill</w:t>
      </w:r>
    </w:p>
    <w:p w14:paraId="00000007">
      <w:pPr>
        <w:spacing w:after="5"/>
        <w:ind w:right="43"/>
        <w:jc w:val="right"/>
        <w:rPr>
          <w:rFonts w:asciiTheme="majorHAnsi" w:hAnsiTheme="majorHAnsi"/>
        </w:rPr>
      </w:pPr>
      <w:r>
        <w:rPr>
          <w:rFonts w:asciiTheme="majorHAnsi" w:hAnsiTheme="majorHAnsi"/>
        </w:rPr>
        <w:t xml:space="preserve"> </w:t>
      </w:r>
      <w:r>
        <w:rPr>
          <w:rFonts w:asciiTheme="majorHAnsi" w:hAnsiTheme="majorHAnsi"/>
          <w:highlight w:val="none"/>
        </w:rPr>
        <w:t>Water Street</w:t>
      </w:r>
    </w:p>
    <w:p w14:paraId="00000008">
      <w:pPr>
        <w:spacing w:after="5"/>
        <w:ind w:right="43"/>
        <w:jc w:val="right"/>
        <w:rPr>
          <w:rFonts w:asciiTheme="majorHAnsi" w:hAnsiTheme="majorHAnsi"/>
        </w:rPr>
      </w:pPr>
      <w:r>
        <w:rPr>
          <w:rFonts w:asciiTheme="majorHAnsi" w:hAnsiTheme="majorHAnsi"/>
        </w:rPr>
        <w:t xml:space="preserve"> </w:t>
      </w:r>
      <w:r>
        <w:rPr>
          <w:rFonts w:asciiTheme="majorHAnsi" w:hAnsiTheme="majorHAnsi"/>
        </w:rPr>
        <w:t xml:space="preserve">Stockport </w:t>
      </w:r>
    </w:p>
    <w:p w14:paraId="00000009">
      <w:pPr>
        <w:tabs>
          <w:tab w:val="left" w:pos="2730"/>
          <w:tab w:val="right" w:pos="8983"/>
        </w:tabs>
        <w:spacing w:after="715"/>
        <w:ind w:right="43"/>
        <w:rPr>
          <w:rFonts w:asciiTheme="majorHAnsi" w:hAnsiTheme="majorHAnsi"/>
        </w:rPr>
      </w:pPr>
      <w:r>
        <w:rPr>
          <w:rFonts w:asciiTheme="majorHAnsi" w:hAnsiTheme="majorHAnsi"/>
        </w:rPr>
        <w:tab/>
      </w:r>
      <w:r>
        <w:rPr>
          <w:rFonts w:asciiTheme="majorHAnsi" w:hAnsiTheme="majorHAnsi"/>
        </w:rPr>
        <w:tab/>
      </w:r>
      <w:r>
        <w:rPr>
          <w:rFonts w:asciiTheme="majorHAnsi" w:hAnsiTheme="majorHAnsi"/>
          <w:highlight w:val="none"/>
        </w:rPr>
        <w:t>SK1 2BU</w:t>
      </w:r>
      <w:r>
        <w:rPr>
          <w:rFonts w:asciiTheme="majorHAnsi" w:hAnsiTheme="majorHAnsi"/>
        </w:rPr>
        <w:t xml:space="preserve">    </w:t>
      </w:r>
    </w:p>
    <w:p w14:paraId="0000000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Theme="majorHAnsi" w:hAnsiTheme="majorHAnsi"/>
          <w:b/>
        </w:rPr>
        <w:t>D</w:t>
      </w:r>
      <w:r>
        <w:rPr>
          <w:rFonts w:asciiTheme="majorHAnsi" w:hAnsiTheme="majorHAnsi"/>
          <w:b/>
        </w:rPr>
        <w:t>ate:</w:t>
      </w:r>
      <w:r>
        <w:rPr>
          <w:rFonts w:asciiTheme="majorHAnsi" w:hAnsiTheme="majorHAnsi"/>
          <w:highlight w:val="none"/>
        </w:rPr>
        <w:t xml:space="preserve"> </w:t>
      </w:r>
      <w:r>
        <w:rPr>
          <w:rFonts w:ascii="Segoe UI"/>
          <w:color w:val="000000"/>
          <w:sz w:val="18"/>
          <w:rtl w:val="off"/>
          <w:lang w:val="en-US"/>
        </w:rPr>
        <w:t>{quotationDate}</w:t>
      </w:r>
    </w:p>
    <w:p w14:paraId="0000000B">
      <w:pPr>
        <w:spacing w:after="715"/>
        <w:ind w:right="43"/>
        <w:rPr>
          <w:rFonts w:asciiTheme="majorHAnsi" w:hAnsiTheme="majorHAnsi"/>
        </w:rPr>
      </w:pPr>
    </w:p>
    <w:p w14:paraId="0000000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Theme="majorHAnsi" w:cs="Times New Roman" w:eastAsia="Times New Roman" w:hAnsiTheme="majorHAnsi"/>
          <w:b/>
          <w:sz w:val="24"/>
        </w:rPr>
        <w:t xml:space="preserve">Quotation Reference: </w:t>
      </w:r>
      <w:r>
        <w:rPr>
          <w:rFonts w:ascii="Segoe UI"/>
          <w:color w:val="000000"/>
          <w:sz w:val="18"/>
          <w:rtl w:val="off"/>
          <w:lang w:val="en-US"/>
        </w:rPr>
        <w:t>{proposalId}</w:t>
      </w:r>
    </w:p>
    <w:p w14:paraId="0000000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0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Theme="majorHAnsi" w:hAnsiTheme="majorHAnsi"/>
          <w:b/>
          <w:bCs/>
        </w:rPr>
        <w:t>NAME AND ADDRESS OF CUSTOMER</w:t>
      </w:r>
      <w:r>
        <w:rPr>
          <w:rFonts w:asciiTheme="majorHAnsi" w:hAnsiTheme="majorHAnsi"/>
        </w:rPr>
        <w:t xml:space="preserve">: </w:t>
      </w:r>
      <w:r>
        <w:rPr>
          <w:rFonts w:ascii="Segoe UI"/>
          <w:color w:val="000000"/>
          <w:sz w:val="18"/>
          <w:rtl w:val="off"/>
          <w:lang w:val="en-US"/>
        </w:rPr>
        <w:t>{customerName}</w:t>
      </w:r>
    </w:p>
    <w:p w14:paraId="0000000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1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Theme="majorHAnsi" w:hAnsiTheme="majorHAnsi"/>
        </w:rPr>
        <w:t xml:space="preserve">Development Address: </w:t>
      </w:r>
      <w:r>
        <w:rPr>
          <w:rFonts w:asciiTheme="majorHAnsi" w:cs="Times New Roman" w:eastAsia="Times New Roman" w:hAnsiTheme="majorHAnsi"/>
          <w:sz w:val="20"/>
        </w:rPr>
        <w:t xml:space="preserve"> </w:t>
      </w:r>
      <w:r>
        <w:rPr>
          <w:rFonts w:ascii="Segoe UI"/>
          <w:color w:val="000000"/>
          <w:sz w:val="18"/>
          <w:rtl w:val="off"/>
          <w:lang w:val="en-US"/>
        </w:rPr>
        <w:t>{siteAddress}</w:t>
      </w:r>
    </w:p>
    <w:p w14:paraId="0000001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1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Theme="majorHAnsi" w:hAnsiTheme="majorHAnsi"/>
        </w:rPr>
        <w:t xml:space="preserve">Number of plots: </w:t>
      </w:r>
      <w:r>
        <w:rPr>
          <w:rFonts w:ascii="Segoe UI"/>
          <w:color w:val="000000"/>
          <w:sz w:val="18"/>
          <w:rtl w:val="off"/>
          <w:lang w:val="en-US"/>
        </w:rPr>
        <w:t>{numberOfPlots}</w:t>
      </w:r>
    </w:p>
    <w:p w14:paraId="0000001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1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Theme="majorHAnsi" w:hAnsiTheme="majorHAnsi"/>
        </w:rPr>
        <w:t>Scope:</w:t>
      </w:r>
      <w:r>
        <w:rPr>
          <w:rFonts w:asciiTheme="majorHAnsi" w:hAnsiTheme="majorHAnsi"/>
        </w:rPr>
        <w:t xml:space="preserve"> </w:t>
      </w:r>
      <w:r>
        <w:rPr>
          <w:rFonts w:ascii="Segoe UI"/>
          <w:color w:val="000000"/>
          <w:sz w:val="18"/>
          <w:rtl w:val="off"/>
          <w:lang w:val="en-US"/>
        </w:rPr>
        <w:t>{jobType}</w:t>
      </w:r>
    </w:p>
    <w:p w14:paraId="0000001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1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Theme="majorHAnsi" w:hAnsiTheme="majorHAnsi"/>
        </w:rPr>
        <w:t>Quotation Type:</w:t>
      </w:r>
      <w:r>
        <w:rPr>
          <w:rFonts w:asciiTheme="majorHAnsi" w:hAnsiTheme="majorHAnsi"/>
        </w:rPr>
        <w:t xml:space="preserve"> </w:t>
      </w:r>
      <w:r>
        <w:rPr>
          <w:rFonts w:ascii="Segoe UI"/>
          <w:color w:val="000000"/>
          <w:sz w:val="18"/>
          <w:rtl w:val="off"/>
          <w:lang w:val="en-US"/>
        </w:rPr>
        <w:t>{jobType}</w:t>
      </w:r>
    </w:p>
    <w:p w14:paraId="00000017">
      <w:pPr>
        <w:spacing w:after="39"/>
        <w:ind w:left="530" w:right="205" w:hanging="5"/>
        <w:jc w:val="both"/>
        <w:rPr>
          <w:rFonts w:asciiTheme="majorHAnsi" w:hAnsiTheme="majorHAnsi"/>
          <w:b/>
          <w:bCs/>
        </w:rPr>
      </w:pPr>
    </w:p>
    <w:p w14:paraId="00000018">
      <w:pPr>
        <w:spacing w:after="6" w:line="271" w:lineRule="auto"/>
        <w:ind w:left="711" w:right="-15" w:hanging="20"/>
        <w:jc w:val="both"/>
        <w:rPr>
          <w:rFonts w:asciiTheme="majorHAnsi" w:hAnsiTheme="majorHAnsi"/>
        </w:rPr>
      </w:pPr>
      <w:r>
        <w:rPr>
          <w:rFonts w:asciiTheme="majorHAnsi" w:hAnsiTheme="majorHAnsi"/>
        </w:rPr>
        <w:t xml:space="preserve">Thank you for allowing Air Utilities Ltd to quote for these works. We have the pleasure of submitting this quotation proposal for the design, installation, and connection of new utility infrastructure on the above development. Information based on the proposed site.       </w:t>
      </w:r>
    </w:p>
    <w:p w14:paraId="00000019">
      <w:pPr>
        <w:spacing w:after="39"/>
        <w:ind w:left="530" w:right="205" w:hanging="5"/>
        <w:jc w:val="both"/>
        <w:rPr>
          <w:rFonts w:asciiTheme="majorHAnsi" w:hAnsiTheme="majorHAnsi"/>
          <w:b/>
          <w:bCs/>
        </w:rPr>
      </w:pPr>
    </w:p>
    <w:p w14:paraId="0000001A">
      <w:pPr>
        <w:spacing w:after="39"/>
        <w:ind w:left="530" w:right="205" w:hanging="5"/>
        <w:jc w:val="both"/>
        <w:rPr>
          <w:rFonts w:asciiTheme="majorHAnsi" w:hAnsiTheme="majorHAnsi"/>
          <w:b/>
          <w:bCs/>
        </w:rPr>
      </w:pPr>
    </w:p>
    <w:p w14:paraId="0000001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ajorHAnsi" w:hAnsiTheme="majorHAnsi"/>
        </w:rPr>
      </w:pPr>
      <w:r>
        <w:rPr>
          <w:rFonts w:asciiTheme="majorHAnsi" w:hAnsiTheme="majorHAnsi"/>
          <w:b/>
        </w:rPr>
        <w:t xml:space="preserve">                                               Total Price: </w:t>
      </w:r>
      <w:r>
        <w:rPr>
          <w:rFonts w:ascii="Segoe UI"/>
          <w:color w:val="000000"/>
          <w:sz w:val="18"/>
          <w:rtl w:val="off"/>
          <w:lang w:val="en-US"/>
        </w:rPr>
        <w:t>£{totalAmount} + {vatRate}% VAT</w:t>
      </w:r>
      <w:r>
        <w:rPr>
          <w:rFonts w:asciiTheme="majorHAnsi" w:hAnsiTheme="majorHAnsi"/>
        </w:rPr>
        <w:t xml:space="preserve">      </w:t>
      </w:r>
    </w:p>
    <w:p w14:paraId="0000001C">
      <w:pPr>
        <w:spacing w:after="9" w:line="262" w:lineRule="auto"/>
        <w:ind w:left="704"/>
        <w:jc w:val="center"/>
        <w:rPr>
          <w:rFonts w:asciiTheme="majorHAnsi" w:hAnsiTheme="majorHAnsi"/>
        </w:rPr>
      </w:pPr>
      <w:r>
        <w:rPr>
          <w:rFonts w:asciiTheme="majorHAnsi" w:hAnsiTheme="majorHAnsi"/>
        </w:rPr>
        <w:t xml:space="preserve">This quotation is valid for 30 days   </w:t>
      </w:r>
    </w:p>
    <w:p w14:paraId="0000001D">
      <w:pPr>
        <w:spacing w:after="39"/>
        <w:ind w:left="530" w:right="205" w:hanging="5"/>
        <w:jc w:val="both"/>
        <w:rPr>
          <w:rFonts w:asciiTheme="majorHAnsi" w:hAnsiTheme="majorHAnsi"/>
          <w:b/>
          <w:bCs/>
        </w:rPr>
      </w:pPr>
    </w:p>
    <w:p w14:paraId="0000001E">
      <w:pPr>
        <w:spacing w:after="305"/>
        <w:ind w:left="710" w:right="36"/>
        <w:rPr>
          <w:rFonts w:asciiTheme="majorHAnsi" w:hAnsiTheme="majorHAnsi"/>
        </w:rPr>
      </w:pPr>
      <w:r>
        <w:rPr>
          <w:rFonts w:asciiTheme="majorHAnsi" w:hAnsiTheme="majorHAnsi"/>
        </w:rPr>
        <w:t xml:space="preserve">We trust this quotation is of interest, if you require any further information, please contact the below. To accept this quotation please sign and return the attached Acceptance Form.  </w:t>
      </w:r>
      <w:r>
        <w:rPr>
          <w:rFonts w:asciiTheme="majorHAnsi" w:hAnsiTheme="majorHAnsi"/>
        </w:rPr>
        <w:br w:type="textWrapping"/>
      </w:r>
      <w:r>
        <w:rPr>
          <w:rFonts w:asciiTheme="majorHAnsi" w:hAnsiTheme="majorHAnsi"/>
        </w:rPr>
        <w:br w:type="textWrapping"/>
      </w:r>
      <w:r>
        <w:rPr>
          <w:rFonts w:asciiTheme="majorHAnsi" w:hAnsiTheme="majorHAnsi"/>
        </w:rPr>
        <w:t xml:space="preserve">Yours Sincerely       </w:t>
      </w:r>
    </w:p>
    <w:p w14:paraId="0000001F">
      <w:pPr>
        <w:spacing w:after="377"/>
        <w:ind w:left="710" w:right="36"/>
        <w:rPr>
          <w:rFonts w:asciiTheme="majorHAnsi" w:hAnsiTheme="majorHAnsi"/>
        </w:rPr>
      </w:pPr>
      <w:r>
        <w:rPr>
          <w:rFonts w:asciiTheme="majorHAnsi" w:hAnsiTheme="majorHAnsi"/>
        </w:rPr>
        <w:t xml:space="preserve">For and on behalf of Air Utilities Ltd (AU)    </w:t>
      </w:r>
    </w:p>
    <w:p w14:paraId="00000020">
      <w:pPr>
        <w:spacing w:after="0" w:line="262" w:lineRule="auto"/>
        <w:ind w:left="720"/>
        <w:rPr>
          <w:rFonts w:asciiTheme="majorHAnsi" w:hAnsiTheme="majorHAnsi"/>
          <w:b/>
        </w:rPr>
      </w:pPr>
      <w:r>
        <w:rPr>
          <w:rFonts w:asciiTheme="majorHAnsi" w:hAnsiTheme="majorHAnsi"/>
          <w:b/>
        </w:rPr>
        <w:t>Muhammad Khan</w:t>
      </w:r>
    </w:p>
    <w:p w14:paraId="00000021">
      <w:pPr>
        <w:spacing w:after="0" w:line="262" w:lineRule="auto"/>
        <w:ind w:left="720"/>
        <w:rPr>
          <w:rFonts w:asciiTheme="majorHAnsi" w:hAnsiTheme="majorHAnsi"/>
        </w:rPr>
      </w:pPr>
      <w:r>
        <w:rPr>
          <w:rFonts w:asciiTheme="majorHAnsi" w:hAnsiTheme="majorHAnsi"/>
          <w:b/>
        </w:rPr>
        <w:t xml:space="preserve"> Director  </w:t>
      </w:r>
      <w:r>
        <w:rPr>
          <w:rFonts w:asciiTheme="majorHAnsi" w:hAnsiTheme="majorHAnsi"/>
          <w:b/>
          <w:sz w:val="48"/>
        </w:rPr>
        <w:t xml:space="preserve"> </w:t>
      </w:r>
    </w:p>
    <w:p w14:paraId="00000022">
      <w:pPr>
        <w:ind w:left="710" w:right="36"/>
        <w:rPr>
          <w:rFonts w:asciiTheme="majorHAnsi" w:hAnsiTheme="majorHAnsi"/>
        </w:rPr>
      </w:pPr>
      <w:r>
        <w:rPr>
          <w:rFonts w:asciiTheme="majorHAnsi" w:hAnsiTheme="majorHAnsi"/>
        </w:rPr>
        <w:t xml:space="preserve">Landline: 0330 058 4001      </w:t>
      </w:r>
    </w:p>
    <w:p w14:paraId="00000023">
      <w:pPr>
        <w:ind w:left="710" w:right="36"/>
        <w:rPr>
          <w:rFonts w:asciiTheme="majorHAnsi" w:hAnsiTheme="majorHAnsi"/>
        </w:rPr>
      </w:pPr>
    </w:p>
    <w:p w14:paraId="00000024">
      <w:pPr>
        <w:rPr>
          <w:rFonts w:asciiTheme="majorHAnsi" w:hAnsiTheme="majorHAnsi"/>
          <w:b/>
          <w:bCs/>
        </w:rPr>
      </w:pPr>
    </w:p>
    <w:p w14:paraId="00000025">
      <w:pPr>
        <w:rPr>
          <w:rFonts w:asciiTheme="majorHAnsi" w:hAnsiTheme="majorHAnsi"/>
          <w:b/>
          <w:bCs/>
        </w:rPr>
      </w:pPr>
      <w:r>
        <w:rPr>
          <w:rFonts w:asciiTheme="majorHAnsi" w:hAnsiTheme="majorHAnsi"/>
          <w:b/>
          <w:bCs/>
        </w:rPr>
        <w:t xml:space="preserve">Section 1 – Scope of works and tender overview </w:t>
      </w:r>
    </w:p>
    <w:p w14:paraId="00000026">
      <w:pPr>
        <w:rPr>
          <w:rFonts w:asciiTheme="majorHAnsi" w:hAnsiTheme="majorHAnsi"/>
          <w:b/>
          <w:bCs/>
          <w:color w:val="4b92d9" w:themeColor="text2" w:themeTint="80"/>
        </w:rPr>
      </w:pPr>
      <w:r>
        <w:rPr>
          <w:rFonts w:asciiTheme="majorHAnsi" w:hAnsiTheme="majorHAnsi"/>
          <w:b/>
          <w:bCs/>
          <w:color w:val="4b92d9" w:themeColor="text2" w:themeTint="80"/>
        </w:rPr>
        <w:t>SCOPE OF WORKS</w:t>
      </w:r>
    </w:p>
    <w:p w14:paraId="00000027">
      <w:pPr>
        <w:rPr>
          <w:rFonts w:asciiTheme="majorHAnsi" w:hAnsiTheme="majorHAnsi"/>
        </w:rPr>
      </w:pPr>
      <w:r>
        <w:rPr>
          <w:rFonts w:asciiTheme="majorHAnsi" w:hAnsiTheme="majorHAnsi"/>
        </w:rPr>
        <w:t>This quotation has been prepared using the following drawing:</w:t>
      </w:r>
      <w:r>
        <w:rPr>
          <w:rFonts w:asciiTheme="majorHAnsi" w:hAnsiTheme="majorHAnsi"/>
        </w:rPr>
        <w:t xml:space="preserve"> </w:t>
      </w:r>
      <w:r>
        <w:rPr>
          <w:rFonts w:asciiTheme="majorHAnsi" w:hAnsiTheme="majorHAnsi"/>
          <w:highlight w:val="yellow"/>
        </w:rPr>
        <w:t>XXXX</w:t>
      </w:r>
    </w:p>
    <w:tbl>
      <w:tblPr>
        <w:tblStyle w:val="TableGrid"/>
        <w:tblW w:w="0" w:type="auto"/>
        <w:tblLook w:val="04A0"/>
      </w:tblPr>
      <w:tblGrid>
        <w:gridCol w:w="5098"/>
        <w:gridCol w:w="3918"/>
      </w:tblGrid>
      <w:tr>
        <w:trPr/>
        <w:tc>
          <w:tcPr>
            <w:cnfStyle w:val="101000000000"/>
            <w:tcW w:w="5098" w:type="dxa"/>
          </w:tcPr>
          <w:p w14:paraId="00000028">
            <w:pPr>
              <w:spacing w:after="0"/>
              <w:rPr>
                <w:rFonts w:asciiTheme="majorHAnsi" w:hAnsiTheme="majorHAnsi"/>
                <w:b/>
                <w:bCs/>
              </w:rPr>
            </w:pPr>
            <w:r>
              <w:rPr>
                <w:rFonts w:asciiTheme="majorHAnsi" w:hAnsiTheme="majorHAnsi"/>
                <w:b/>
                <w:bCs/>
              </w:rPr>
              <w:t>Description</w:t>
            </w:r>
          </w:p>
        </w:tc>
        <w:tc>
          <w:tcPr>
            <w:cnfStyle w:val="100000000000"/>
            <w:tcW w:w="3918" w:type="dxa"/>
          </w:tcPr>
          <w:p w14:paraId="00000029">
            <w:pPr>
              <w:spacing w:after="0"/>
              <w:rPr>
                <w:rFonts w:asciiTheme="majorHAnsi" w:hAnsiTheme="majorHAnsi"/>
                <w:b/>
                <w:bCs/>
              </w:rPr>
            </w:pPr>
            <w:r>
              <w:rPr>
                <w:rFonts w:asciiTheme="majorHAnsi" w:hAnsiTheme="majorHAnsi"/>
                <w:b/>
                <w:bCs/>
              </w:rPr>
              <w:t xml:space="preserve">Details </w:t>
            </w:r>
          </w:p>
        </w:tc>
      </w:tr>
      <w:tr>
        <w:trPr/>
        <w:tc>
          <w:tcPr>
            <w:cnfStyle w:val="001000100000"/>
            <w:tcW w:w="5098" w:type="dxa"/>
          </w:tcPr>
          <w:p w14:paraId="0000002A">
            <w:pPr>
              <w:spacing w:after="0"/>
              <w:rPr>
                <w:rFonts w:asciiTheme="majorHAnsi" w:hAnsiTheme="majorHAnsi"/>
                <w:sz w:val="20"/>
                <w:szCs w:val="20"/>
              </w:rPr>
            </w:pPr>
            <w:r>
              <w:rPr>
                <w:rFonts w:asciiTheme="majorHAnsi" w:hAnsiTheme="majorHAnsi"/>
                <w:sz w:val="20"/>
                <w:szCs w:val="20"/>
              </w:rPr>
              <w:t xml:space="preserve">Total Plots </w:t>
            </w:r>
          </w:p>
        </w:tc>
        <w:tc>
          <w:tcPr>
            <w:cnfStyle w:val="000000100000"/>
            <w:tcW w:w="3918" w:type="dxa"/>
          </w:tcPr>
          <w:p w14:paraId="0000002B">
            <w:pPr>
              <w:spacing w:after="0"/>
              <w:rPr>
                <w:rFonts w:asciiTheme="majorHAnsi" w:hAnsiTheme="majorHAnsi"/>
              </w:rPr>
            </w:pPr>
          </w:p>
        </w:tc>
      </w:tr>
      <w:tr>
        <w:trPr/>
        <w:tc>
          <w:tcPr>
            <w:cnfStyle w:val="001000010000"/>
            <w:tcW w:w="5098" w:type="dxa"/>
          </w:tcPr>
          <w:p w14:paraId="0000002C">
            <w:pPr>
              <w:spacing w:after="0"/>
              <w:rPr>
                <w:rFonts w:asciiTheme="majorHAnsi" w:hAnsiTheme="majorHAnsi"/>
                <w:sz w:val="20"/>
                <w:szCs w:val="20"/>
              </w:rPr>
            </w:pPr>
            <w:r>
              <w:rPr>
                <w:rFonts w:asciiTheme="majorHAnsi" w:hAnsiTheme="majorHAnsi"/>
                <w:sz w:val="20"/>
                <w:szCs w:val="20"/>
              </w:rPr>
              <w:t xml:space="preserve">Future Phase allowance </w:t>
            </w:r>
          </w:p>
        </w:tc>
        <w:tc>
          <w:tcPr>
            <w:cnfStyle w:val="000000010000"/>
            <w:tcW w:w="3918" w:type="dxa"/>
          </w:tcPr>
          <w:p w14:paraId="0000002D">
            <w:pPr>
              <w:spacing w:after="0"/>
              <w:rPr>
                <w:rFonts w:asciiTheme="majorHAnsi" w:hAnsiTheme="majorHAnsi"/>
              </w:rPr>
            </w:pPr>
          </w:p>
        </w:tc>
      </w:tr>
      <w:tr>
        <w:trPr/>
        <w:tc>
          <w:tcPr>
            <w:cnfStyle w:val="001000100000"/>
            <w:tcW w:w="5098" w:type="dxa"/>
          </w:tcPr>
          <w:p w14:paraId="0000002E">
            <w:pPr>
              <w:spacing w:after="0"/>
              <w:rPr>
                <w:rFonts w:asciiTheme="majorHAnsi" w:hAnsiTheme="majorHAnsi"/>
                <w:sz w:val="20"/>
                <w:szCs w:val="20"/>
              </w:rPr>
            </w:pPr>
            <w:r>
              <w:rPr>
                <w:rFonts w:asciiTheme="majorHAnsi" w:hAnsiTheme="majorHAnsi"/>
                <w:sz w:val="20"/>
                <w:szCs w:val="20"/>
              </w:rPr>
              <w:t xml:space="preserve">Total Load allowance </w:t>
            </w:r>
          </w:p>
        </w:tc>
        <w:tc>
          <w:tcPr>
            <w:cnfStyle w:val="000000100000"/>
            <w:tcW w:w="3918" w:type="dxa"/>
          </w:tcPr>
          <w:p w14:paraId="0000002F">
            <w:pPr>
              <w:spacing w:after="0"/>
              <w:rPr>
                <w:rFonts w:asciiTheme="majorHAnsi" w:hAnsiTheme="majorHAnsi"/>
              </w:rPr>
            </w:pPr>
          </w:p>
        </w:tc>
      </w:tr>
      <w:tr>
        <w:trPr/>
        <w:tc>
          <w:tcPr>
            <w:cnfStyle w:val="001000010000"/>
            <w:tcW w:w="5098" w:type="dxa"/>
          </w:tcPr>
          <w:p w14:paraId="00000030">
            <w:pPr>
              <w:spacing w:after="0"/>
              <w:rPr>
                <w:rFonts w:asciiTheme="majorHAnsi" w:hAnsiTheme="majorHAnsi"/>
                <w:sz w:val="20"/>
                <w:szCs w:val="20"/>
              </w:rPr>
            </w:pPr>
            <w:r>
              <w:rPr>
                <w:rFonts w:asciiTheme="majorHAnsi" w:hAnsiTheme="majorHAnsi"/>
                <w:sz w:val="20"/>
                <w:szCs w:val="20"/>
              </w:rPr>
              <w:t xml:space="preserve">Heating type </w:t>
            </w:r>
          </w:p>
        </w:tc>
        <w:tc>
          <w:tcPr>
            <w:cnfStyle w:val="000000010000"/>
            <w:tcW w:w="3918" w:type="dxa"/>
          </w:tcPr>
          <w:p w14:paraId="00000031">
            <w:pPr>
              <w:spacing w:after="0"/>
              <w:rPr>
                <w:rFonts w:asciiTheme="majorHAnsi" w:hAnsiTheme="majorHAnsi"/>
              </w:rPr>
            </w:pPr>
          </w:p>
        </w:tc>
      </w:tr>
      <w:tr>
        <w:trPr/>
        <w:tc>
          <w:tcPr>
            <w:cnfStyle w:val="001000100000"/>
            <w:tcW w:w="5098" w:type="dxa"/>
          </w:tcPr>
          <w:p w14:paraId="00000032">
            <w:pPr>
              <w:spacing w:after="0"/>
              <w:rPr>
                <w:rFonts w:asciiTheme="majorHAnsi" w:hAnsiTheme="majorHAnsi"/>
                <w:sz w:val="20"/>
                <w:szCs w:val="20"/>
              </w:rPr>
            </w:pPr>
            <w:r>
              <w:rPr>
                <w:rFonts w:asciiTheme="majorHAnsi" w:hAnsiTheme="majorHAnsi"/>
                <w:sz w:val="20"/>
                <w:szCs w:val="20"/>
              </w:rPr>
              <w:t>Plot connections</w:t>
            </w:r>
          </w:p>
        </w:tc>
        <w:tc>
          <w:tcPr>
            <w:cnfStyle w:val="000000100000"/>
            <w:tcW w:w="3918" w:type="dxa"/>
          </w:tcPr>
          <w:p w14:paraId="00000033">
            <w:pPr>
              <w:spacing w:after="0"/>
              <w:rPr>
                <w:rFonts w:asciiTheme="majorHAnsi" w:hAnsiTheme="majorHAnsi"/>
              </w:rPr>
            </w:pPr>
          </w:p>
        </w:tc>
      </w:tr>
      <w:tr>
        <w:trPr/>
        <w:tc>
          <w:tcPr>
            <w:cnfStyle w:val="001000010000"/>
            <w:tcW w:w="5098" w:type="dxa"/>
          </w:tcPr>
          <w:p w14:paraId="00000034">
            <w:pPr>
              <w:spacing w:after="0"/>
              <w:rPr>
                <w:rFonts w:asciiTheme="majorHAnsi" w:hAnsiTheme="majorHAnsi"/>
                <w:sz w:val="20"/>
                <w:szCs w:val="20"/>
              </w:rPr>
            </w:pPr>
            <w:r>
              <w:rPr>
                <w:rFonts w:asciiTheme="majorHAnsi" w:hAnsiTheme="majorHAnsi"/>
                <w:sz w:val="20"/>
                <w:szCs w:val="20"/>
              </w:rPr>
              <w:t>Meters</w:t>
            </w:r>
          </w:p>
        </w:tc>
        <w:tc>
          <w:tcPr>
            <w:cnfStyle w:val="000000010000"/>
            <w:tcW w:w="3918" w:type="dxa"/>
          </w:tcPr>
          <w:p w14:paraId="00000035">
            <w:pPr>
              <w:spacing w:after="0"/>
              <w:rPr>
                <w:rFonts w:asciiTheme="majorHAnsi" w:hAnsiTheme="majorHAnsi"/>
              </w:rPr>
            </w:pPr>
          </w:p>
        </w:tc>
      </w:tr>
      <w:tr>
        <w:trPr/>
        <w:tc>
          <w:tcPr>
            <w:cnfStyle w:val="001000100000"/>
            <w:tcW w:w="5098" w:type="dxa"/>
          </w:tcPr>
          <w:p w14:paraId="00000036">
            <w:pPr>
              <w:spacing w:after="0"/>
              <w:rPr>
                <w:rFonts w:asciiTheme="majorHAnsi" w:hAnsiTheme="majorHAnsi"/>
                <w:sz w:val="20"/>
                <w:szCs w:val="20"/>
              </w:rPr>
            </w:pPr>
            <w:r>
              <w:rPr>
                <w:rFonts w:asciiTheme="majorHAnsi" w:hAnsiTheme="majorHAnsi"/>
                <w:sz w:val="20"/>
                <w:szCs w:val="20"/>
              </w:rPr>
              <w:t xml:space="preserve">Electric connection voltage </w:t>
            </w:r>
          </w:p>
        </w:tc>
        <w:tc>
          <w:tcPr>
            <w:cnfStyle w:val="000000100000"/>
            <w:tcW w:w="3918" w:type="dxa"/>
          </w:tcPr>
          <w:p w14:paraId="00000037">
            <w:pPr>
              <w:spacing w:after="0"/>
              <w:rPr>
                <w:rFonts w:asciiTheme="majorHAnsi" w:hAnsiTheme="majorHAnsi"/>
              </w:rPr>
            </w:pPr>
          </w:p>
        </w:tc>
      </w:tr>
      <w:tr>
        <w:trPr/>
        <w:tc>
          <w:tcPr>
            <w:cnfStyle w:val="001000010000"/>
            <w:tcW w:w="5098" w:type="dxa"/>
          </w:tcPr>
          <w:p w14:paraId="00000038">
            <w:pPr>
              <w:spacing w:after="0"/>
              <w:rPr>
                <w:rFonts w:asciiTheme="majorHAnsi" w:hAnsiTheme="majorHAnsi"/>
                <w:sz w:val="20"/>
                <w:szCs w:val="20"/>
              </w:rPr>
            </w:pPr>
            <w:r>
              <w:rPr>
                <w:rFonts w:asciiTheme="majorHAnsi" w:hAnsiTheme="majorHAnsi"/>
                <w:sz w:val="20"/>
                <w:szCs w:val="20"/>
              </w:rPr>
              <w:t xml:space="preserve">Water main type </w:t>
            </w:r>
          </w:p>
        </w:tc>
        <w:tc>
          <w:tcPr>
            <w:cnfStyle w:val="000000010000"/>
            <w:tcW w:w="3918" w:type="dxa"/>
          </w:tcPr>
          <w:p w14:paraId="00000039">
            <w:pPr>
              <w:spacing w:after="0"/>
              <w:rPr>
                <w:rFonts w:asciiTheme="majorHAnsi" w:hAnsiTheme="majorHAnsi"/>
              </w:rPr>
            </w:pPr>
          </w:p>
        </w:tc>
      </w:tr>
      <w:tr>
        <w:trPr/>
        <w:tc>
          <w:tcPr>
            <w:cnfStyle w:val="001000100000"/>
            <w:tcW w:w="5098" w:type="dxa"/>
          </w:tcPr>
          <w:p w14:paraId="0000003A">
            <w:pPr>
              <w:spacing w:after="0"/>
              <w:rPr>
                <w:rFonts w:asciiTheme="majorHAnsi" w:hAnsiTheme="majorHAnsi"/>
                <w:sz w:val="20"/>
                <w:szCs w:val="20"/>
              </w:rPr>
            </w:pPr>
            <w:r>
              <w:rPr>
                <w:rFonts w:asciiTheme="majorHAnsi" w:hAnsiTheme="majorHAnsi"/>
                <w:sz w:val="20"/>
                <w:szCs w:val="20"/>
              </w:rPr>
              <w:t>Water/</w:t>
            </w:r>
            <w:r>
              <w:rPr>
                <w:rFonts w:asciiTheme="majorHAnsi" w:hAnsiTheme="majorHAnsi"/>
                <w:sz w:val="20"/>
                <w:szCs w:val="20"/>
              </w:rPr>
              <w:t>Waste water</w:t>
            </w:r>
            <w:r>
              <w:rPr>
                <w:rFonts w:asciiTheme="majorHAnsi" w:hAnsiTheme="majorHAnsi"/>
                <w:sz w:val="20"/>
                <w:szCs w:val="20"/>
              </w:rPr>
              <w:t xml:space="preserve"> sustainability</w:t>
            </w:r>
          </w:p>
        </w:tc>
        <w:tc>
          <w:tcPr>
            <w:cnfStyle w:val="000000100000"/>
            <w:tcW w:w="3918" w:type="dxa"/>
          </w:tcPr>
          <w:p w14:paraId="0000003B">
            <w:pPr>
              <w:spacing w:after="0"/>
              <w:rPr>
                <w:rFonts w:asciiTheme="majorHAnsi" w:hAnsiTheme="majorHAnsi"/>
              </w:rPr>
            </w:pPr>
          </w:p>
        </w:tc>
      </w:tr>
      <w:tr>
        <w:trPr/>
        <w:tc>
          <w:tcPr>
            <w:cnfStyle w:val="001000010000"/>
            <w:tcW w:w="5098" w:type="dxa"/>
          </w:tcPr>
          <w:p w14:paraId="0000003C">
            <w:pPr>
              <w:spacing w:after="0"/>
              <w:rPr>
                <w:rFonts w:asciiTheme="majorHAnsi" w:hAnsiTheme="majorHAnsi"/>
                <w:sz w:val="20"/>
                <w:szCs w:val="20"/>
              </w:rPr>
            </w:pPr>
            <w:r>
              <w:rPr>
                <w:rFonts w:asciiTheme="majorHAnsi" w:hAnsiTheme="majorHAnsi"/>
                <w:sz w:val="20"/>
                <w:szCs w:val="20"/>
              </w:rPr>
              <w:t>Mains connections/Piece up (commissioning visits)</w:t>
            </w:r>
          </w:p>
        </w:tc>
        <w:tc>
          <w:tcPr>
            <w:cnfStyle w:val="000000010000"/>
            <w:tcW w:w="3918" w:type="dxa"/>
          </w:tcPr>
          <w:p w14:paraId="0000003D">
            <w:pPr>
              <w:spacing w:after="0"/>
              <w:rPr>
                <w:rFonts w:asciiTheme="majorHAnsi" w:hAnsiTheme="majorHAnsi"/>
              </w:rPr>
            </w:pPr>
          </w:p>
        </w:tc>
      </w:tr>
    </w:tbl>
    <w:p w14:paraId="0000003E">
      <w:pPr>
        <w:rPr>
          <w:rFonts w:asciiTheme="majorHAnsi" w:hAnsiTheme="majorHAnsi"/>
        </w:rPr>
      </w:pPr>
    </w:p>
    <w:p w14:paraId="0000003F">
      <w:pPr>
        <w:rPr>
          <w:rFonts w:asciiTheme="majorHAnsi" w:hAnsiTheme="majorHAnsi"/>
          <w:b/>
          <w:bCs/>
          <w:color w:val="4b92d9" w:themeColor="text2" w:themeTint="80"/>
        </w:rPr>
      </w:pPr>
      <w:r>
        <w:rPr>
          <w:rFonts w:asciiTheme="majorHAnsi" w:hAnsiTheme="majorHAnsi"/>
          <w:b/>
          <w:bCs/>
          <w:color w:val="4b92d9" w:themeColor="text2" w:themeTint="80"/>
        </w:rPr>
        <w:t xml:space="preserve">TENDER INCLUSION SUMMARY </w:t>
      </w:r>
    </w:p>
    <w:tbl>
      <w:tblPr>
        <w:tblStyle w:val="TableGrid"/>
        <w:tblW w:w="0" w:type="auto"/>
        <w:tblLook w:val="04A0"/>
      </w:tblPr>
      <w:tblGrid>
        <w:gridCol w:w="4379"/>
        <w:gridCol w:w="1734"/>
        <w:gridCol w:w="1112"/>
        <w:gridCol w:w="1148"/>
        <w:gridCol w:w="643"/>
      </w:tblGrid>
      <w:tr>
        <w:trPr/>
        <w:tc>
          <w:tcPr>
            <w:cnfStyle w:val="101000000000"/>
            <w:tcW w:w="4394" w:type="dxa"/>
          </w:tcPr>
          <w:p w14:paraId="00000040">
            <w:pPr>
              <w:spacing w:after="0"/>
              <w:rPr>
                <w:rFonts w:asciiTheme="majorHAnsi" w:hAnsiTheme="majorHAnsi"/>
                <w:b/>
                <w:bCs/>
              </w:rPr>
            </w:pPr>
            <w:r>
              <w:rPr>
                <w:rFonts w:asciiTheme="majorHAnsi" w:hAnsiTheme="majorHAnsi"/>
                <w:b/>
                <w:bCs/>
              </w:rPr>
              <w:t xml:space="preserve">Activity </w:t>
            </w:r>
          </w:p>
        </w:tc>
        <w:tc>
          <w:tcPr>
            <w:cnfStyle w:val="100000000000"/>
            <w:tcW w:w="1740" w:type="dxa"/>
          </w:tcPr>
          <w:p w14:paraId="00000041">
            <w:pPr>
              <w:spacing w:after="0"/>
              <w:rPr>
                <w:rFonts w:asciiTheme="majorHAnsi" w:hAnsiTheme="majorHAnsi"/>
                <w:b/>
                <w:bCs/>
              </w:rPr>
            </w:pPr>
            <w:r>
              <w:rPr>
                <w:rFonts w:asciiTheme="majorHAnsi" w:hAnsiTheme="majorHAnsi"/>
                <w:b/>
                <w:bCs/>
              </w:rPr>
              <w:t xml:space="preserve">Comments </w:t>
            </w:r>
          </w:p>
        </w:tc>
        <w:tc>
          <w:tcPr>
            <w:cnfStyle w:val="100000000000"/>
            <w:tcW w:w="1100" w:type="dxa"/>
          </w:tcPr>
          <w:p w14:paraId="00000042">
            <w:pPr>
              <w:spacing w:after="0"/>
              <w:jc w:val="center"/>
              <w:rPr>
                <w:rFonts w:asciiTheme="majorHAnsi" w:hAnsiTheme="majorHAnsi"/>
                <w:b/>
                <w:bCs/>
              </w:rPr>
            </w:pPr>
            <w:r>
              <w:rPr>
                <w:rFonts w:asciiTheme="majorHAnsi" w:hAnsiTheme="majorHAnsi"/>
                <w:b/>
                <w:bCs/>
              </w:rPr>
              <w:t>Included (By AU)</w:t>
            </w:r>
          </w:p>
        </w:tc>
        <w:tc>
          <w:tcPr>
            <w:cnfStyle w:val="100000000000"/>
            <w:tcW w:w="1139" w:type="dxa"/>
          </w:tcPr>
          <w:p w14:paraId="00000043">
            <w:pPr>
              <w:spacing w:after="0"/>
              <w:jc w:val="center"/>
              <w:rPr>
                <w:rFonts w:asciiTheme="majorHAnsi" w:hAnsiTheme="majorHAnsi"/>
                <w:b/>
                <w:bCs/>
              </w:rPr>
            </w:pPr>
            <w:r>
              <w:rPr>
                <w:rFonts w:asciiTheme="majorHAnsi" w:hAnsiTheme="majorHAnsi"/>
                <w:b/>
                <w:bCs/>
              </w:rPr>
              <w:t>Excluded (By others)</w:t>
            </w:r>
          </w:p>
        </w:tc>
        <w:tc>
          <w:tcPr>
            <w:cnfStyle w:val="100000000000"/>
            <w:tcW w:w="643" w:type="dxa"/>
          </w:tcPr>
          <w:p w14:paraId="00000044">
            <w:pPr>
              <w:spacing w:after="0"/>
              <w:jc w:val="center"/>
              <w:rPr>
                <w:rFonts w:asciiTheme="majorHAnsi" w:hAnsiTheme="majorHAnsi"/>
                <w:b/>
                <w:bCs/>
              </w:rPr>
            </w:pPr>
            <w:r>
              <w:rPr>
                <w:rFonts w:asciiTheme="majorHAnsi" w:hAnsiTheme="majorHAnsi"/>
                <w:b/>
                <w:bCs/>
              </w:rPr>
              <w:t>N/A</w:t>
            </w:r>
          </w:p>
        </w:tc>
      </w:tr>
      <w:tr>
        <w:trPr/>
        <w:tc>
          <w:tcPr>
            <w:cnfStyle w:val="001000100000"/>
            <w:tcW w:w="9016" w:type="dxa"/>
            <w:gridSpan w:val="5"/>
          </w:tcPr>
          <w:p w14:paraId="00000045">
            <w:pPr>
              <w:spacing w:after="0"/>
              <w:rPr>
                <w:rFonts w:asciiTheme="majorHAnsi" w:hAnsiTheme="majorHAnsi"/>
              </w:rPr>
            </w:pPr>
            <w:r>
              <w:rPr>
                <w:rFonts w:asciiTheme="majorHAnsi" w:hAnsiTheme="majorHAnsi"/>
              </w:rPr>
              <w:t xml:space="preserve">OFFSITE WORKS </w:t>
            </w:r>
          </w:p>
        </w:tc>
      </w:tr>
      <w:tr>
        <w:trPr/>
        <w:tc>
          <w:tcPr>
            <w:cnfStyle w:val="001000010000"/>
            <w:tcW w:w="4394" w:type="dxa"/>
          </w:tcPr>
          <w:p w14:paraId="00000046">
            <w:pPr>
              <w:spacing w:after="0"/>
              <w:rPr>
                <w:rFonts w:asciiTheme="majorHAnsi" w:hAnsiTheme="majorHAnsi"/>
                <w:sz w:val="20"/>
                <w:szCs w:val="20"/>
              </w:rPr>
            </w:pPr>
            <w:r>
              <w:rPr>
                <w:rFonts w:asciiTheme="majorHAnsi" w:hAnsiTheme="majorHAnsi"/>
                <w:sz w:val="20"/>
                <w:szCs w:val="20"/>
              </w:rPr>
              <w:t xml:space="preserve">Point of connection works including non-contestable costs </w:t>
            </w:r>
          </w:p>
        </w:tc>
        <w:tc>
          <w:tcPr>
            <w:cnfStyle w:val="000000010000"/>
            <w:tcW w:w="1740" w:type="dxa"/>
          </w:tcPr>
          <w:p w14:paraId="00000047">
            <w:pPr>
              <w:spacing w:after="0"/>
              <w:rPr>
                <w:rFonts w:asciiTheme="majorHAnsi" w:hAnsiTheme="majorHAnsi"/>
              </w:rPr>
            </w:pPr>
          </w:p>
        </w:tc>
        <w:tc>
          <w:tcPr>
            <w:cnfStyle w:val="000000010000"/>
            <w:tcW w:w="1100" w:type="dxa"/>
          </w:tcPr>
          <w:p w14:paraId="00000048">
            <w:pPr>
              <w:spacing w:after="0"/>
              <w:jc w:val="center"/>
              <w:rPr>
                <w:rFonts w:asciiTheme="majorHAnsi" w:hAnsiTheme="majorHAnsi"/>
              </w:rPr>
            </w:pPr>
            <w:r>
              <w:rPr>
                <w:rFonts w:ascii="MS Gothic" w:eastAsia="MS Gothic" w:hAnsi="MS Gothic" w:hint="eastAsia"/>
              </w:rPr>
              <w:t>☐</w:t>
            </w:r>
          </w:p>
        </w:tc>
        <w:tc>
          <w:tcPr>
            <w:cnfStyle w:val="000000010000"/>
            <w:tcW w:w="1139" w:type="dxa"/>
          </w:tcPr>
          <w:p w14:paraId="00000049">
            <w:pPr>
              <w:spacing w:after="0"/>
              <w:jc w:val="center"/>
              <w:rPr>
                <w:rFonts w:asciiTheme="majorHAnsi" w:hAnsiTheme="majorHAnsi"/>
              </w:rPr>
            </w:pPr>
            <w:r>
              <w:rPr>
                <w:rFonts w:asciiTheme="majorHAnsi" w:eastAsia="MS Gothic" w:hAnsiTheme="majorHAnsi"/>
              </w:rPr>
              <w:t>☐</w:t>
            </w:r>
          </w:p>
        </w:tc>
        <w:tc>
          <w:tcPr>
            <w:cnfStyle w:val="000000010000"/>
            <w:tcW w:w="643" w:type="dxa"/>
          </w:tcPr>
          <w:p w14:paraId="0000004A">
            <w:pPr>
              <w:spacing w:after="0"/>
              <w:jc w:val="center"/>
              <w:rPr>
                <w:rFonts w:asciiTheme="majorHAnsi" w:hAnsiTheme="majorHAnsi"/>
              </w:rPr>
            </w:pPr>
            <w:r>
              <w:rPr>
                <w:rFonts w:asciiTheme="majorHAnsi" w:eastAsia="MS Gothic" w:hAnsiTheme="majorHAnsi"/>
              </w:rPr>
              <w:t>☐</w:t>
            </w:r>
          </w:p>
        </w:tc>
      </w:tr>
      <w:tr>
        <w:trPr/>
        <w:tc>
          <w:tcPr>
            <w:cnfStyle w:val="001000100000"/>
            <w:tcW w:w="4394" w:type="dxa"/>
          </w:tcPr>
          <w:p w14:paraId="0000004B">
            <w:pPr>
              <w:spacing w:after="0"/>
              <w:rPr>
                <w:rFonts w:asciiTheme="majorHAnsi" w:hAnsiTheme="majorHAnsi"/>
                <w:sz w:val="20"/>
                <w:szCs w:val="20"/>
              </w:rPr>
            </w:pPr>
            <w:r>
              <w:rPr>
                <w:rFonts w:asciiTheme="majorHAnsi" w:hAnsiTheme="majorHAnsi"/>
                <w:sz w:val="20"/>
                <w:szCs w:val="20"/>
              </w:rPr>
              <w:t>Offsite excavation, mains installation and reinstatement (all-inclusive as standard)</w:t>
            </w:r>
          </w:p>
        </w:tc>
        <w:tc>
          <w:tcPr>
            <w:cnfStyle w:val="000000100000"/>
            <w:tcW w:w="1740" w:type="dxa"/>
          </w:tcPr>
          <w:p w14:paraId="0000004C">
            <w:pPr>
              <w:spacing w:after="0"/>
              <w:rPr>
                <w:rFonts w:asciiTheme="majorHAnsi" w:hAnsiTheme="majorHAnsi"/>
              </w:rPr>
            </w:pPr>
          </w:p>
        </w:tc>
        <w:tc>
          <w:tcPr>
            <w:cnfStyle w:val="000000100000"/>
            <w:tcW w:w="1100" w:type="dxa"/>
          </w:tcPr>
          <w:p w14:paraId="0000004D">
            <w:pPr>
              <w:spacing w:after="0"/>
              <w:jc w:val="center"/>
              <w:rPr>
                <w:rFonts w:asciiTheme="majorHAnsi" w:hAnsiTheme="majorHAnsi"/>
              </w:rPr>
            </w:pPr>
            <w:r>
              <w:rPr>
                <w:rFonts w:ascii="MS Gothic" w:eastAsia="MS Gothic" w:hAnsi="MS Gothic" w:hint="eastAsia"/>
              </w:rPr>
              <w:t>☐</w:t>
            </w:r>
          </w:p>
        </w:tc>
        <w:tc>
          <w:tcPr>
            <w:cnfStyle w:val="000000100000"/>
            <w:tcW w:w="1139" w:type="dxa"/>
          </w:tcPr>
          <w:p w14:paraId="0000004E">
            <w:pPr>
              <w:spacing w:after="0"/>
              <w:jc w:val="center"/>
              <w:rPr>
                <w:rFonts w:asciiTheme="majorHAnsi" w:hAnsiTheme="majorHAnsi"/>
              </w:rPr>
            </w:pPr>
            <w:r>
              <w:rPr>
                <w:rFonts w:asciiTheme="majorHAnsi" w:eastAsia="MS Gothic" w:hAnsiTheme="majorHAnsi"/>
              </w:rPr>
              <w:t>☐</w:t>
            </w:r>
          </w:p>
        </w:tc>
        <w:tc>
          <w:tcPr>
            <w:cnfStyle w:val="000000100000"/>
            <w:tcW w:w="643" w:type="dxa"/>
          </w:tcPr>
          <w:p w14:paraId="0000004F">
            <w:pPr>
              <w:spacing w:after="0"/>
              <w:jc w:val="center"/>
              <w:rPr>
                <w:rFonts w:asciiTheme="majorHAnsi" w:hAnsiTheme="majorHAnsi"/>
              </w:rPr>
            </w:pPr>
            <w:r>
              <w:rPr>
                <w:rFonts w:asciiTheme="majorHAnsi" w:eastAsia="MS Gothic" w:hAnsiTheme="majorHAnsi"/>
              </w:rPr>
              <w:t>☐</w:t>
            </w:r>
          </w:p>
        </w:tc>
      </w:tr>
      <w:tr>
        <w:trPr/>
        <w:tc>
          <w:tcPr>
            <w:cnfStyle w:val="001000010000"/>
            <w:tcW w:w="4394" w:type="dxa"/>
          </w:tcPr>
          <w:p w14:paraId="00000050">
            <w:pPr>
              <w:spacing w:after="0"/>
              <w:rPr>
                <w:rFonts w:asciiTheme="majorHAnsi" w:hAnsiTheme="majorHAnsi"/>
                <w:sz w:val="20"/>
                <w:szCs w:val="20"/>
              </w:rPr>
            </w:pPr>
            <w:r>
              <w:rPr>
                <w:rFonts w:asciiTheme="majorHAnsi" w:hAnsiTheme="majorHAnsi"/>
                <w:sz w:val="20"/>
                <w:szCs w:val="20"/>
              </w:rPr>
              <w:t xml:space="preserve">Traffic Management </w:t>
            </w:r>
          </w:p>
        </w:tc>
        <w:tc>
          <w:tcPr>
            <w:cnfStyle w:val="000000010000"/>
            <w:tcW w:w="1740" w:type="dxa"/>
          </w:tcPr>
          <w:p w14:paraId="00000051">
            <w:pPr>
              <w:spacing w:after="0"/>
              <w:rPr>
                <w:rFonts w:asciiTheme="majorHAnsi" w:hAnsiTheme="majorHAnsi"/>
              </w:rPr>
            </w:pPr>
          </w:p>
        </w:tc>
        <w:tc>
          <w:tcPr>
            <w:cnfStyle w:val="000000010000"/>
            <w:tcW w:w="1100" w:type="dxa"/>
          </w:tcPr>
          <w:p w14:paraId="00000052">
            <w:pPr>
              <w:spacing w:after="0"/>
              <w:jc w:val="center"/>
              <w:rPr>
                <w:rFonts w:asciiTheme="majorHAnsi" w:hAnsiTheme="majorHAnsi"/>
              </w:rPr>
            </w:pPr>
            <w:r>
              <w:rPr>
                <w:rFonts w:ascii="MS Gothic" w:eastAsia="MS Gothic" w:hAnsi="MS Gothic" w:hint="eastAsia"/>
              </w:rPr>
              <w:t>☐</w:t>
            </w:r>
          </w:p>
        </w:tc>
        <w:tc>
          <w:tcPr>
            <w:cnfStyle w:val="000000010000"/>
            <w:tcW w:w="1139" w:type="dxa"/>
          </w:tcPr>
          <w:p w14:paraId="00000053">
            <w:pPr>
              <w:spacing w:after="0"/>
              <w:jc w:val="center"/>
              <w:rPr>
                <w:rFonts w:asciiTheme="majorHAnsi" w:hAnsiTheme="majorHAnsi"/>
              </w:rPr>
            </w:pPr>
            <w:r>
              <w:rPr>
                <w:rFonts w:asciiTheme="majorHAnsi" w:eastAsia="MS Gothic" w:hAnsiTheme="majorHAnsi"/>
              </w:rPr>
              <w:t>☐</w:t>
            </w:r>
          </w:p>
        </w:tc>
        <w:tc>
          <w:tcPr>
            <w:cnfStyle w:val="000000010000"/>
            <w:tcW w:w="643" w:type="dxa"/>
          </w:tcPr>
          <w:p w14:paraId="00000054">
            <w:pPr>
              <w:spacing w:after="0"/>
              <w:jc w:val="center"/>
              <w:rPr>
                <w:rFonts w:asciiTheme="majorHAnsi" w:hAnsiTheme="majorHAnsi"/>
              </w:rPr>
            </w:pPr>
            <w:r>
              <w:rPr>
                <w:rFonts w:asciiTheme="majorHAnsi" w:eastAsia="MS Gothic" w:hAnsiTheme="majorHAnsi"/>
              </w:rPr>
              <w:t>☐</w:t>
            </w:r>
          </w:p>
        </w:tc>
      </w:tr>
      <w:tr>
        <w:trPr/>
        <w:tc>
          <w:tcPr>
            <w:cnfStyle w:val="001000100000"/>
            <w:tcW w:w="4394" w:type="dxa"/>
          </w:tcPr>
          <w:p w14:paraId="00000055">
            <w:pPr>
              <w:spacing w:after="0"/>
              <w:rPr>
                <w:rFonts w:asciiTheme="majorHAnsi" w:hAnsiTheme="majorHAnsi"/>
                <w:sz w:val="20"/>
                <w:szCs w:val="20"/>
              </w:rPr>
            </w:pPr>
            <w:r>
              <w:rPr>
                <w:rFonts w:asciiTheme="majorHAnsi" w:hAnsiTheme="majorHAnsi"/>
                <w:sz w:val="20"/>
                <w:szCs w:val="20"/>
              </w:rPr>
              <w:t xml:space="preserve">Council notice fees </w:t>
            </w:r>
          </w:p>
        </w:tc>
        <w:tc>
          <w:tcPr>
            <w:cnfStyle w:val="000000100000"/>
            <w:tcW w:w="1740" w:type="dxa"/>
          </w:tcPr>
          <w:p w14:paraId="00000056">
            <w:pPr>
              <w:spacing w:after="0"/>
              <w:rPr>
                <w:rFonts w:asciiTheme="majorHAnsi" w:hAnsiTheme="majorHAnsi"/>
              </w:rPr>
            </w:pPr>
          </w:p>
        </w:tc>
        <w:tc>
          <w:tcPr>
            <w:cnfStyle w:val="000000100000"/>
            <w:tcW w:w="1100" w:type="dxa"/>
          </w:tcPr>
          <w:p w14:paraId="00000057">
            <w:pPr>
              <w:spacing w:after="0"/>
              <w:jc w:val="center"/>
              <w:rPr>
                <w:rFonts w:asciiTheme="majorHAnsi" w:hAnsiTheme="majorHAnsi"/>
              </w:rPr>
            </w:pPr>
            <w:r>
              <w:rPr>
                <w:rFonts w:ascii="MS Gothic" w:eastAsia="MS Gothic" w:hAnsi="MS Gothic" w:hint="eastAsia"/>
              </w:rPr>
              <w:t>☐</w:t>
            </w:r>
          </w:p>
        </w:tc>
        <w:tc>
          <w:tcPr>
            <w:cnfStyle w:val="000000100000"/>
            <w:tcW w:w="1139" w:type="dxa"/>
          </w:tcPr>
          <w:p w14:paraId="00000058">
            <w:pPr>
              <w:spacing w:after="0"/>
              <w:jc w:val="center"/>
              <w:rPr>
                <w:rFonts w:asciiTheme="majorHAnsi" w:hAnsiTheme="majorHAnsi"/>
              </w:rPr>
            </w:pPr>
            <w:r>
              <w:rPr>
                <w:rFonts w:asciiTheme="majorHAnsi" w:eastAsia="MS Gothic" w:hAnsiTheme="majorHAnsi"/>
              </w:rPr>
              <w:t>☐</w:t>
            </w:r>
          </w:p>
        </w:tc>
        <w:tc>
          <w:tcPr>
            <w:cnfStyle w:val="000000100000"/>
            <w:tcW w:w="643" w:type="dxa"/>
          </w:tcPr>
          <w:p w14:paraId="00000059">
            <w:pPr>
              <w:spacing w:after="0"/>
              <w:jc w:val="center"/>
              <w:rPr>
                <w:rFonts w:asciiTheme="majorHAnsi" w:hAnsiTheme="majorHAnsi"/>
              </w:rPr>
            </w:pPr>
            <w:r>
              <w:rPr>
                <w:rFonts w:asciiTheme="majorHAnsi" w:eastAsia="MS Gothic" w:hAnsiTheme="majorHAnsi"/>
              </w:rPr>
              <w:t>☐</w:t>
            </w:r>
          </w:p>
        </w:tc>
      </w:tr>
      <w:tr>
        <w:trPr/>
        <w:tc>
          <w:tcPr>
            <w:cnfStyle w:val="001000010000"/>
            <w:tcW w:w="4394" w:type="dxa"/>
          </w:tcPr>
          <w:p w14:paraId="0000005A">
            <w:pPr>
              <w:spacing w:after="0"/>
              <w:rPr>
                <w:rFonts w:asciiTheme="majorHAnsi" w:hAnsiTheme="majorHAnsi"/>
                <w:sz w:val="20"/>
                <w:szCs w:val="20"/>
              </w:rPr>
            </w:pPr>
            <w:r>
              <w:rPr>
                <w:rFonts w:asciiTheme="majorHAnsi" w:hAnsiTheme="majorHAnsi"/>
                <w:sz w:val="20"/>
                <w:szCs w:val="20"/>
              </w:rPr>
              <w:t>Reinforcement works</w:t>
            </w:r>
          </w:p>
        </w:tc>
        <w:tc>
          <w:tcPr>
            <w:cnfStyle w:val="000000010000"/>
            <w:tcW w:w="1740" w:type="dxa"/>
          </w:tcPr>
          <w:p w14:paraId="0000005B">
            <w:pPr>
              <w:spacing w:after="0"/>
              <w:rPr>
                <w:rFonts w:asciiTheme="majorHAnsi" w:hAnsiTheme="majorHAnsi"/>
              </w:rPr>
            </w:pPr>
          </w:p>
        </w:tc>
        <w:tc>
          <w:tcPr>
            <w:cnfStyle w:val="000000010000"/>
            <w:tcW w:w="1100" w:type="dxa"/>
          </w:tcPr>
          <w:p w14:paraId="0000005C">
            <w:pPr>
              <w:spacing w:after="0"/>
              <w:jc w:val="center"/>
              <w:rPr>
                <w:rFonts w:asciiTheme="majorHAnsi" w:hAnsiTheme="majorHAnsi"/>
              </w:rPr>
            </w:pPr>
            <w:r>
              <w:rPr>
                <w:rFonts w:asciiTheme="majorHAnsi" w:eastAsia="MS Gothic" w:hAnsiTheme="majorHAnsi"/>
              </w:rPr>
              <w:t>☐</w:t>
            </w:r>
          </w:p>
        </w:tc>
        <w:tc>
          <w:tcPr>
            <w:cnfStyle w:val="000000010000"/>
            <w:tcW w:w="1139" w:type="dxa"/>
          </w:tcPr>
          <w:p w14:paraId="0000005D">
            <w:pPr>
              <w:spacing w:after="0"/>
              <w:jc w:val="center"/>
              <w:rPr>
                <w:rFonts w:asciiTheme="majorHAnsi" w:hAnsiTheme="majorHAnsi"/>
              </w:rPr>
            </w:pPr>
            <w:r>
              <w:rPr>
                <w:rFonts w:asciiTheme="majorHAnsi" w:eastAsia="MS Gothic" w:hAnsiTheme="majorHAnsi"/>
              </w:rPr>
              <w:t>☐</w:t>
            </w:r>
          </w:p>
        </w:tc>
        <w:tc>
          <w:tcPr>
            <w:cnfStyle w:val="000000010000"/>
            <w:tcW w:w="643" w:type="dxa"/>
          </w:tcPr>
          <w:p w14:paraId="0000005E">
            <w:pPr>
              <w:spacing w:after="0"/>
              <w:jc w:val="center"/>
              <w:rPr>
                <w:rFonts w:asciiTheme="majorHAnsi" w:hAnsiTheme="majorHAnsi"/>
              </w:rPr>
            </w:pPr>
            <w:r>
              <w:rPr>
                <w:rFonts w:ascii="MS Gothic" w:eastAsia="MS Gothic" w:hAnsi="MS Gothic" w:hint="eastAsia"/>
              </w:rPr>
              <w:t>☐</w:t>
            </w:r>
          </w:p>
        </w:tc>
      </w:tr>
      <w:tr>
        <w:trPr/>
        <w:tc>
          <w:tcPr>
            <w:cnfStyle w:val="001000100000"/>
            <w:tcW w:w="4394" w:type="dxa"/>
          </w:tcPr>
          <w:p w14:paraId="0000005F">
            <w:pPr>
              <w:spacing w:after="0"/>
              <w:rPr>
                <w:rFonts w:asciiTheme="majorHAnsi" w:hAnsiTheme="majorHAnsi"/>
                <w:sz w:val="20"/>
                <w:szCs w:val="20"/>
              </w:rPr>
            </w:pPr>
            <w:r>
              <w:rPr>
                <w:rFonts w:asciiTheme="majorHAnsi" w:hAnsiTheme="majorHAnsi"/>
                <w:sz w:val="20"/>
                <w:szCs w:val="20"/>
              </w:rPr>
              <w:t xml:space="preserve">Diversion works </w:t>
            </w:r>
          </w:p>
        </w:tc>
        <w:tc>
          <w:tcPr>
            <w:cnfStyle w:val="000000100000"/>
            <w:tcW w:w="1740" w:type="dxa"/>
          </w:tcPr>
          <w:p w14:paraId="00000060">
            <w:pPr>
              <w:spacing w:after="0"/>
              <w:rPr>
                <w:rFonts w:asciiTheme="majorHAnsi" w:hAnsiTheme="majorHAnsi"/>
              </w:rPr>
            </w:pPr>
          </w:p>
        </w:tc>
        <w:tc>
          <w:tcPr>
            <w:cnfStyle w:val="000000100000"/>
            <w:tcW w:w="1100" w:type="dxa"/>
          </w:tcPr>
          <w:p w14:paraId="00000061">
            <w:pPr>
              <w:spacing w:after="0"/>
              <w:jc w:val="center"/>
              <w:rPr>
                <w:rFonts w:asciiTheme="majorHAnsi" w:hAnsiTheme="majorHAnsi"/>
              </w:rPr>
            </w:pPr>
            <w:r>
              <w:rPr>
                <w:rFonts w:asciiTheme="majorHAnsi" w:eastAsia="MS Gothic" w:hAnsiTheme="majorHAnsi"/>
              </w:rPr>
              <w:t>☐</w:t>
            </w:r>
          </w:p>
        </w:tc>
        <w:tc>
          <w:tcPr>
            <w:cnfStyle w:val="000000100000"/>
            <w:tcW w:w="1139" w:type="dxa"/>
          </w:tcPr>
          <w:p w14:paraId="00000062">
            <w:pPr>
              <w:spacing w:after="0"/>
              <w:jc w:val="center"/>
              <w:rPr>
                <w:rFonts w:asciiTheme="majorHAnsi" w:hAnsiTheme="majorHAnsi"/>
              </w:rPr>
            </w:pPr>
            <w:r>
              <w:rPr>
                <w:rFonts w:asciiTheme="majorHAnsi" w:eastAsia="MS Gothic" w:hAnsiTheme="majorHAnsi"/>
              </w:rPr>
              <w:t>☐</w:t>
            </w:r>
          </w:p>
        </w:tc>
        <w:tc>
          <w:tcPr>
            <w:cnfStyle w:val="000000100000"/>
            <w:tcW w:w="643" w:type="dxa"/>
          </w:tcPr>
          <w:p w14:paraId="00000063">
            <w:pPr>
              <w:spacing w:after="0"/>
              <w:jc w:val="center"/>
              <w:rPr>
                <w:rFonts w:asciiTheme="majorHAnsi" w:hAnsiTheme="majorHAnsi"/>
              </w:rPr>
            </w:pPr>
            <w:r>
              <w:rPr>
                <w:rFonts w:ascii="MS Gothic" w:eastAsia="MS Gothic" w:hAnsi="MS Gothic" w:hint="eastAsia"/>
              </w:rPr>
              <w:t>☐</w:t>
            </w:r>
          </w:p>
        </w:tc>
      </w:tr>
      <w:tr>
        <w:trPr/>
        <w:tc>
          <w:tcPr>
            <w:cnfStyle w:val="001000010000"/>
            <w:tcW w:w="4394" w:type="dxa"/>
          </w:tcPr>
          <w:p w14:paraId="00000064">
            <w:pPr>
              <w:spacing w:after="0"/>
              <w:rPr>
                <w:rFonts w:asciiTheme="majorHAnsi" w:hAnsiTheme="majorHAnsi"/>
                <w:sz w:val="20"/>
                <w:szCs w:val="20"/>
              </w:rPr>
            </w:pPr>
            <w:r>
              <w:rPr>
                <w:rFonts w:asciiTheme="majorHAnsi" w:hAnsiTheme="majorHAnsi"/>
                <w:sz w:val="20"/>
                <w:szCs w:val="20"/>
              </w:rPr>
              <w:t>3</w:t>
            </w:r>
            <w:r>
              <w:rPr>
                <w:rFonts w:asciiTheme="majorHAnsi" w:hAnsiTheme="majorHAnsi"/>
                <w:sz w:val="20"/>
                <w:szCs w:val="20"/>
                <w:vertAlign w:val="superscript"/>
              </w:rPr>
              <w:t>rd</w:t>
            </w:r>
            <w:r>
              <w:rPr>
                <w:rFonts w:asciiTheme="majorHAnsi" w:hAnsiTheme="majorHAnsi"/>
                <w:sz w:val="20"/>
                <w:szCs w:val="20"/>
              </w:rPr>
              <w:t xml:space="preserve"> party wayleaves/heads of terms (known or unknown)</w:t>
            </w:r>
          </w:p>
        </w:tc>
        <w:tc>
          <w:tcPr>
            <w:cnfStyle w:val="000000010000"/>
            <w:tcW w:w="1740" w:type="dxa"/>
          </w:tcPr>
          <w:p w14:paraId="00000065">
            <w:pPr>
              <w:spacing w:after="0"/>
              <w:rPr>
                <w:rFonts w:asciiTheme="majorHAnsi" w:hAnsiTheme="majorHAnsi"/>
              </w:rPr>
            </w:pPr>
          </w:p>
        </w:tc>
        <w:tc>
          <w:tcPr>
            <w:cnfStyle w:val="000000010000"/>
            <w:tcW w:w="1100" w:type="dxa"/>
          </w:tcPr>
          <w:p w14:paraId="00000066">
            <w:pPr>
              <w:spacing w:after="0"/>
              <w:jc w:val="center"/>
              <w:rPr>
                <w:rFonts w:asciiTheme="majorHAnsi" w:hAnsiTheme="majorHAnsi"/>
              </w:rPr>
            </w:pPr>
            <w:r>
              <w:rPr>
                <w:rFonts w:asciiTheme="majorHAnsi" w:eastAsia="MS Gothic" w:hAnsiTheme="majorHAnsi"/>
              </w:rPr>
              <w:t>☐</w:t>
            </w:r>
          </w:p>
        </w:tc>
        <w:tc>
          <w:tcPr>
            <w:cnfStyle w:val="000000010000"/>
            <w:tcW w:w="1139" w:type="dxa"/>
          </w:tcPr>
          <w:p w14:paraId="00000067">
            <w:pPr>
              <w:spacing w:after="0"/>
              <w:jc w:val="center"/>
              <w:rPr>
                <w:rFonts w:asciiTheme="majorHAnsi" w:hAnsiTheme="majorHAnsi"/>
              </w:rPr>
            </w:pPr>
            <w:r>
              <w:rPr>
                <w:rFonts w:ascii="MS Gothic" w:eastAsia="MS Gothic" w:hAnsi="MS Gothic" w:hint="eastAsia"/>
              </w:rPr>
              <w:t>☐</w:t>
            </w:r>
          </w:p>
        </w:tc>
        <w:tc>
          <w:tcPr>
            <w:cnfStyle w:val="000000010000"/>
            <w:tcW w:w="643" w:type="dxa"/>
          </w:tcPr>
          <w:p w14:paraId="00000068">
            <w:pPr>
              <w:spacing w:after="0"/>
              <w:jc w:val="center"/>
              <w:rPr>
                <w:rFonts w:asciiTheme="majorHAnsi" w:hAnsiTheme="majorHAnsi"/>
              </w:rPr>
            </w:pPr>
            <w:r>
              <w:rPr>
                <w:rFonts w:asciiTheme="majorHAnsi" w:eastAsia="MS Gothic" w:hAnsiTheme="majorHAnsi"/>
              </w:rPr>
              <w:t>☐</w:t>
            </w:r>
          </w:p>
        </w:tc>
      </w:tr>
      <w:tr>
        <w:trPr/>
        <w:tc>
          <w:tcPr>
            <w:cnfStyle w:val="001000100000"/>
            <w:tcW w:w="9016" w:type="dxa"/>
            <w:gridSpan w:val="5"/>
          </w:tcPr>
          <w:p w14:paraId="00000069">
            <w:pPr>
              <w:spacing w:after="0"/>
              <w:rPr>
                <w:rFonts w:asciiTheme="majorHAnsi" w:hAnsiTheme="majorHAnsi"/>
                <w:sz w:val="18"/>
                <w:szCs w:val="18"/>
              </w:rPr>
            </w:pPr>
          </w:p>
        </w:tc>
      </w:tr>
      <w:tr>
        <w:trPr/>
        <w:tc>
          <w:tcPr>
            <w:cnfStyle w:val="001000010000"/>
            <w:tcW w:w="9016" w:type="dxa"/>
            <w:gridSpan w:val="5"/>
          </w:tcPr>
          <w:p w14:paraId="0000006A">
            <w:pPr>
              <w:spacing w:after="0"/>
              <w:rPr>
                <w:rFonts w:asciiTheme="majorHAnsi" w:hAnsiTheme="majorHAnsi"/>
              </w:rPr>
            </w:pPr>
            <w:r>
              <w:rPr>
                <w:rFonts w:asciiTheme="majorHAnsi" w:hAnsiTheme="majorHAnsi"/>
              </w:rPr>
              <w:t>ONSITE WORKS (UNMADE GROUND)</w:t>
            </w:r>
          </w:p>
        </w:tc>
      </w:tr>
      <w:tr>
        <w:trPr/>
        <w:tc>
          <w:tcPr>
            <w:cnfStyle w:val="001000100000"/>
            <w:tcW w:w="4394" w:type="dxa"/>
          </w:tcPr>
          <w:p w14:paraId="0000006B">
            <w:pPr>
              <w:spacing w:after="0"/>
              <w:rPr>
                <w:rFonts w:asciiTheme="majorHAnsi" w:hAnsiTheme="majorHAnsi"/>
                <w:sz w:val="20"/>
                <w:szCs w:val="20"/>
              </w:rPr>
            </w:pPr>
            <w:r>
              <w:rPr>
                <w:rFonts w:asciiTheme="majorHAnsi" w:hAnsiTheme="majorHAnsi"/>
                <w:sz w:val="20"/>
                <w:szCs w:val="20"/>
              </w:rPr>
              <w:t>Onsite excavation of mains trenches</w:t>
            </w:r>
          </w:p>
        </w:tc>
        <w:tc>
          <w:tcPr>
            <w:cnfStyle w:val="000000100000"/>
            <w:tcW w:w="1740" w:type="dxa"/>
          </w:tcPr>
          <w:p w14:paraId="0000006C">
            <w:pPr>
              <w:spacing w:after="0"/>
              <w:rPr>
                <w:rFonts w:asciiTheme="majorHAnsi" w:hAnsiTheme="majorHAnsi"/>
              </w:rPr>
            </w:pPr>
          </w:p>
        </w:tc>
        <w:tc>
          <w:tcPr>
            <w:cnfStyle w:val="000000100000"/>
            <w:tcW w:w="1100" w:type="dxa"/>
          </w:tcPr>
          <w:p w14:paraId="0000006D">
            <w:pPr>
              <w:spacing w:after="0"/>
              <w:jc w:val="center"/>
              <w:rPr>
                <w:rFonts w:asciiTheme="majorHAnsi" w:hAnsiTheme="majorHAnsi"/>
              </w:rPr>
            </w:pPr>
            <w:r>
              <w:rPr>
                <w:rFonts w:asciiTheme="majorHAnsi" w:eastAsia="MS Gothic" w:hAnsiTheme="majorHAnsi"/>
              </w:rPr>
              <w:t>☐</w:t>
            </w:r>
          </w:p>
        </w:tc>
        <w:tc>
          <w:tcPr>
            <w:cnfStyle w:val="000000100000"/>
            <w:tcW w:w="1139" w:type="dxa"/>
          </w:tcPr>
          <w:p w14:paraId="0000006E">
            <w:pPr>
              <w:spacing w:after="0"/>
              <w:jc w:val="center"/>
              <w:rPr>
                <w:rFonts w:asciiTheme="majorHAnsi" w:hAnsiTheme="majorHAnsi"/>
              </w:rPr>
            </w:pPr>
            <w:r>
              <w:rPr>
                <w:rFonts w:asciiTheme="majorHAnsi" w:eastAsia="MS Gothic" w:hAnsiTheme="majorHAnsi"/>
              </w:rPr>
              <w:t>☐</w:t>
            </w:r>
          </w:p>
        </w:tc>
        <w:tc>
          <w:tcPr>
            <w:cnfStyle w:val="000000100000"/>
            <w:tcW w:w="643" w:type="dxa"/>
          </w:tcPr>
          <w:p w14:paraId="0000006F">
            <w:pPr>
              <w:spacing w:after="0"/>
              <w:jc w:val="center"/>
              <w:rPr>
                <w:rFonts w:asciiTheme="majorHAnsi" w:hAnsiTheme="majorHAnsi"/>
              </w:rPr>
            </w:pPr>
            <w:r>
              <w:rPr>
                <w:rFonts w:ascii="MS Gothic" w:eastAsia="MS Gothic" w:hAnsi="MS Gothic" w:hint="eastAsia"/>
              </w:rPr>
              <w:t>☐</w:t>
            </w:r>
          </w:p>
        </w:tc>
      </w:tr>
      <w:tr>
        <w:trPr/>
        <w:tc>
          <w:tcPr>
            <w:cnfStyle w:val="001000010000"/>
            <w:tcW w:w="4394" w:type="dxa"/>
          </w:tcPr>
          <w:p w14:paraId="00000070">
            <w:pPr>
              <w:spacing w:after="0"/>
              <w:rPr>
                <w:rFonts w:asciiTheme="majorHAnsi" w:hAnsiTheme="majorHAnsi"/>
                <w:sz w:val="20"/>
                <w:szCs w:val="20"/>
              </w:rPr>
            </w:pPr>
            <w:r>
              <w:rPr>
                <w:rFonts w:asciiTheme="majorHAnsi" w:hAnsiTheme="majorHAnsi"/>
                <w:sz w:val="20"/>
                <w:szCs w:val="20"/>
              </w:rPr>
              <w:t xml:space="preserve">Backfill of mains trenches </w:t>
            </w:r>
          </w:p>
        </w:tc>
        <w:tc>
          <w:tcPr>
            <w:cnfStyle w:val="000000010000"/>
            <w:tcW w:w="1740" w:type="dxa"/>
          </w:tcPr>
          <w:p w14:paraId="00000071">
            <w:pPr>
              <w:spacing w:after="0"/>
              <w:rPr>
                <w:rFonts w:asciiTheme="majorHAnsi" w:hAnsiTheme="majorHAnsi"/>
              </w:rPr>
            </w:pPr>
          </w:p>
        </w:tc>
        <w:tc>
          <w:tcPr>
            <w:cnfStyle w:val="000000010000"/>
            <w:tcW w:w="1100" w:type="dxa"/>
          </w:tcPr>
          <w:p w14:paraId="00000072">
            <w:pPr>
              <w:spacing w:after="0"/>
              <w:jc w:val="center"/>
              <w:rPr>
                <w:rFonts w:asciiTheme="majorHAnsi" w:hAnsiTheme="majorHAnsi"/>
              </w:rPr>
            </w:pPr>
            <w:r>
              <w:rPr>
                <w:rFonts w:asciiTheme="majorHAnsi" w:eastAsia="MS Gothic" w:hAnsiTheme="majorHAnsi"/>
              </w:rPr>
              <w:t>☐</w:t>
            </w:r>
          </w:p>
        </w:tc>
        <w:tc>
          <w:tcPr>
            <w:cnfStyle w:val="000000010000"/>
            <w:tcW w:w="1139" w:type="dxa"/>
          </w:tcPr>
          <w:p w14:paraId="00000073">
            <w:pPr>
              <w:spacing w:after="0"/>
              <w:jc w:val="center"/>
              <w:rPr>
                <w:rFonts w:asciiTheme="majorHAnsi" w:hAnsiTheme="majorHAnsi"/>
              </w:rPr>
            </w:pPr>
            <w:r>
              <w:rPr>
                <w:rFonts w:asciiTheme="majorHAnsi" w:eastAsia="MS Gothic" w:hAnsiTheme="majorHAnsi"/>
              </w:rPr>
              <w:t>☐</w:t>
            </w:r>
          </w:p>
        </w:tc>
        <w:tc>
          <w:tcPr>
            <w:cnfStyle w:val="000000010000"/>
            <w:tcW w:w="643" w:type="dxa"/>
          </w:tcPr>
          <w:p w14:paraId="00000074">
            <w:pPr>
              <w:spacing w:after="0"/>
              <w:jc w:val="center"/>
              <w:rPr>
                <w:rFonts w:asciiTheme="majorHAnsi" w:hAnsiTheme="majorHAnsi"/>
              </w:rPr>
            </w:pPr>
            <w:r>
              <w:rPr>
                <w:rFonts w:ascii="MS Gothic" w:eastAsia="MS Gothic" w:hAnsi="MS Gothic" w:hint="eastAsia"/>
              </w:rPr>
              <w:t>☐</w:t>
            </w:r>
          </w:p>
        </w:tc>
      </w:tr>
      <w:tr>
        <w:trPr/>
        <w:tc>
          <w:tcPr>
            <w:cnfStyle w:val="001000100000"/>
            <w:tcW w:w="4394" w:type="dxa"/>
          </w:tcPr>
          <w:p w14:paraId="00000075">
            <w:pPr>
              <w:spacing w:after="0"/>
              <w:rPr>
                <w:rFonts w:asciiTheme="majorHAnsi" w:hAnsiTheme="majorHAnsi"/>
                <w:sz w:val="20"/>
                <w:szCs w:val="20"/>
              </w:rPr>
            </w:pPr>
            <w:r>
              <w:rPr>
                <w:rFonts w:asciiTheme="majorHAnsi" w:hAnsiTheme="majorHAnsi"/>
                <w:sz w:val="20"/>
                <w:szCs w:val="20"/>
              </w:rPr>
              <w:t xml:space="preserve">Installation of mains </w:t>
            </w:r>
          </w:p>
        </w:tc>
        <w:tc>
          <w:tcPr>
            <w:cnfStyle w:val="000000100000"/>
            <w:tcW w:w="1740" w:type="dxa"/>
          </w:tcPr>
          <w:p w14:paraId="00000076">
            <w:pPr>
              <w:spacing w:after="0"/>
              <w:rPr>
                <w:rFonts w:asciiTheme="majorHAnsi" w:hAnsiTheme="majorHAnsi"/>
              </w:rPr>
            </w:pPr>
          </w:p>
        </w:tc>
        <w:tc>
          <w:tcPr>
            <w:cnfStyle w:val="000000100000"/>
            <w:tcW w:w="1100" w:type="dxa"/>
          </w:tcPr>
          <w:p w14:paraId="00000077">
            <w:pPr>
              <w:spacing w:after="0"/>
              <w:jc w:val="center"/>
              <w:rPr>
                <w:rFonts w:asciiTheme="majorHAnsi" w:hAnsiTheme="majorHAnsi"/>
              </w:rPr>
            </w:pPr>
            <w:r>
              <w:rPr>
                <w:rFonts w:asciiTheme="majorHAnsi" w:eastAsia="MS Gothic" w:hAnsiTheme="majorHAnsi"/>
              </w:rPr>
              <w:t>☐</w:t>
            </w:r>
          </w:p>
        </w:tc>
        <w:tc>
          <w:tcPr>
            <w:cnfStyle w:val="000000100000"/>
            <w:tcW w:w="1139" w:type="dxa"/>
          </w:tcPr>
          <w:p w14:paraId="00000078">
            <w:pPr>
              <w:spacing w:after="0"/>
              <w:jc w:val="center"/>
              <w:rPr>
                <w:rFonts w:asciiTheme="majorHAnsi" w:hAnsiTheme="majorHAnsi"/>
              </w:rPr>
            </w:pPr>
            <w:r>
              <w:rPr>
                <w:rFonts w:asciiTheme="majorHAnsi" w:eastAsia="MS Gothic" w:hAnsiTheme="majorHAnsi"/>
              </w:rPr>
              <w:t>☐</w:t>
            </w:r>
          </w:p>
        </w:tc>
        <w:tc>
          <w:tcPr>
            <w:cnfStyle w:val="000000100000"/>
            <w:tcW w:w="643" w:type="dxa"/>
          </w:tcPr>
          <w:p w14:paraId="00000079">
            <w:pPr>
              <w:spacing w:after="0"/>
              <w:jc w:val="center"/>
              <w:rPr>
                <w:rFonts w:asciiTheme="majorHAnsi" w:hAnsiTheme="majorHAnsi"/>
              </w:rPr>
            </w:pPr>
            <w:r>
              <w:rPr>
                <w:rFonts w:ascii="MS Gothic" w:eastAsia="MS Gothic" w:hAnsi="MS Gothic" w:hint="eastAsia"/>
              </w:rPr>
              <w:t>☐</w:t>
            </w:r>
          </w:p>
        </w:tc>
      </w:tr>
      <w:tr>
        <w:trPr/>
        <w:tc>
          <w:tcPr>
            <w:cnfStyle w:val="001000010000"/>
            <w:tcW w:w="4394" w:type="dxa"/>
          </w:tcPr>
          <w:p w14:paraId="0000007A">
            <w:pPr>
              <w:spacing w:after="0"/>
              <w:rPr>
                <w:rFonts w:asciiTheme="majorHAnsi" w:hAnsiTheme="majorHAnsi"/>
                <w:sz w:val="20"/>
                <w:szCs w:val="20"/>
              </w:rPr>
            </w:pPr>
            <w:r>
              <w:rPr>
                <w:rFonts w:asciiTheme="majorHAnsi" w:hAnsiTheme="majorHAnsi"/>
                <w:sz w:val="20"/>
                <w:szCs w:val="20"/>
              </w:rPr>
              <w:t xml:space="preserve">Provision and installation of mains tape </w:t>
            </w:r>
          </w:p>
        </w:tc>
        <w:tc>
          <w:tcPr>
            <w:cnfStyle w:val="000000010000"/>
            <w:tcW w:w="1740" w:type="dxa"/>
          </w:tcPr>
          <w:p w14:paraId="0000007B">
            <w:pPr>
              <w:spacing w:after="0"/>
              <w:rPr>
                <w:rFonts w:asciiTheme="majorHAnsi" w:hAnsiTheme="majorHAnsi"/>
              </w:rPr>
            </w:pPr>
          </w:p>
        </w:tc>
        <w:tc>
          <w:tcPr>
            <w:cnfStyle w:val="000000010000"/>
            <w:tcW w:w="1100" w:type="dxa"/>
          </w:tcPr>
          <w:p w14:paraId="0000007C">
            <w:pPr>
              <w:spacing w:after="0"/>
              <w:jc w:val="center"/>
              <w:rPr>
                <w:rFonts w:asciiTheme="majorHAnsi" w:hAnsiTheme="majorHAnsi"/>
              </w:rPr>
            </w:pPr>
            <w:r>
              <w:rPr>
                <w:rFonts w:asciiTheme="majorHAnsi" w:eastAsia="MS Gothic" w:hAnsiTheme="majorHAnsi"/>
              </w:rPr>
              <w:t>☐</w:t>
            </w:r>
          </w:p>
        </w:tc>
        <w:tc>
          <w:tcPr>
            <w:cnfStyle w:val="000000010000"/>
            <w:tcW w:w="1139" w:type="dxa"/>
          </w:tcPr>
          <w:p w14:paraId="0000007D">
            <w:pPr>
              <w:spacing w:after="0"/>
              <w:jc w:val="center"/>
              <w:rPr>
                <w:rFonts w:asciiTheme="majorHAnsi" w:hAnsiTheme="majorHAnsi"/>
              </w:rPr>
            </w:pPr>
            <w:r>
              <w:rPr>
                <w:rFonts w:asciiTheme="majorHAnsi" w:eastAsia="MS Gothic" w:hAnsiTheme="majorHAnsi"/>
              </w:rPr>
              <w:t>☐</w:t>
            </w:r>
          </w:p>
        </w:tc>
        <w:tc>
          <w:tcPr>
            <w:cnfStyle w:val="000000010000"/>
            <w:tcW w:w="643" w:type="dxa"/>
          </w:tcPr>
          <w:p w14:paraId="0000007E">
            <w:pPr>
              <w:spacing w:after="0"/>
              <w:jc w:val="center"/>
              <w:rPr>
                <w:rFonts w:asciiTheme="majorHAnsi" w:hAnsiTheme="majorHAnsi"/>
              </w:rPr>
            </w:pPr>
            <w:r>
              <w:rPr>
                <w:rFonts w:ascii="MS Gothic" w:eastAsia="MS Gothic" w:hAnsi="MS Gothic" w:hint="eastAsia"/>
              </w:rPr>
              <w:t>☐</w:t>
            </w:r>
          </w:p>
        </w:tc>
      </w:tr>
      <w:tr>
        <w:trPr/>
        <w:tc>
          <w:tcPr>
            <w:cnfStyle w:val="001000100000"/>
            <w:tcW w:w="4394" w:type="dxa"/>
          </w:tcPr>
          <w:p w14:paraId="0000007F">
            <w:pPr>
              <w:spacing w:after="0"/>
              <w:rPr>
                <w:rFonts w:asciiTheme="majorHAnsi" w:hAnsiTheme="majorHAnsi"/>
                <w:sz w:val="20"/>
                <w:szCs w:val="20"/>
              </w:rPr>
            </w:pPr>
            <w:r>
              <w:rPr>
                <w:rFonts w:asciiTheme="majorHAnsi" w:hAnsiTheme="majorHAnsi"/>
                <w:sz w:val="20"/>
                <w:szCs w:val="20"/>
              </w:rPr>
              <w:t>Provision of the fine fill for mains (sand surround)</w:t>
            </w:r>
          </w:p>
        </w:tc>
        <w:tc>
          <w:tcPr>
            <w:cnfStyle w:val="000000100000"/>
            <w:tcW w:w="1740" w:type="dxa"/>
          </w:tcPr>
          <w:p w14:paraId="00000080">
            <w:pPr>
              <w:spacing w:after="0"/>
              <w:rPr>
                <w:rFonts w:asciiTheme="majorHAnsi" w:hAnsiTheme="majorHAnsi"/>
              </w:rPr>
            </w:pPr>
          </w:p>
        </w:tc>
        <w:tc>
          <w:tcPr>
            <w:cnfStyle w:val="000000100000"/>
            <w:tcW w:w="1100" w:type="dxa"/>
          </w:tcPr>
          <w:p w14:paraId="00000081">
            <w:pPr>
              <w:spacing w:after="0"/>
              <w:jc w:val="center"/>
              <w:rPr>
                <w:rFonts w:asciiTheme="majorHAnsi" w:hAnsiTheme="majorHAnsi"/>
              </w:rPr>
            </w:pPr>
            <w:r>
              <w:rPr>
                <w:rFonts w:asciiTheme="majorHAnsi" w:eastAsia="MS Gothic" w:hAnsiTheme="majorHAnsi"/>
              </w:rPr>
              <w:t>☐</w:t>
            </w:r>
          </w:p>
        </w:tc>
        <w:tc>
          <w:tcPr>
            <w:cnfStyle w:val="000000100000"/>
            <w:tcW w:w="1139" w:type="dxa"/>
          </w:tcPr>
          <w:p w14:paraId="00000082">
            <w:pPr>
              <w:spacing w:after="0"/>
              <w:jc w:val="center"/>
              <w:rPr>
                <w:rFonts w:asciiTheme="majorHAnsi" w:hAnsiTheme="majorHAnsi"/>
              </w:rPr>
            </w:pPr>
            <w:r>
              <w:rPr>
                <w:rFonts w:asciiTheme="majorHAnsi" w:eastAsia="MS Gothic" w:hAnsiTheme="majorHAnsi"/>
              </w:rPr>
              <w:t>☐</w:t>
            </w:r>
          </w:p>
        </w:tc>
        <w:tc>
          <w:tcPr>
            <w:cnfStyle w:val="000000100000"/>
            <w:tcW w:w="643" w:type="dxa"/>
          </w:tcPr>
          <w:p w14:paraId="00000083">
            <w:pPr>
              <w:spacing w:after="0"/>
              <w:jc w:val="center"/>
              <w:rPr>
                <w:rFonts w:asciiTheme="majorHAnsi" w:hAnsiTheme="majorHAnsi"/>
              </w:rPr>
            </w:pPr>
            <w:r>
              <w:rPr>
                <w:rFonts w:ascii="MS Gothic" w:eastAsia="MS Gothic" w:hAnsi="MS Gothic" w:hint="eastAsia"/>
              </w:rPr>
              <w:t>☐</w:t>
            </w:r>
          </w:p>
        </w:tc>
      </w:tr>
      <w:tr>
        <w:trPr/>
        <w:tc>
          <w:tcPr>
            <w:cnfStyle w:val="001000010000"/>
            <w:tcW w:w="4394" w:type="dxa"/>
          </w:tcPr>
          <w:p w14:paraId="00000084">
            <w:pPr>
              <w:spacing w:after="0"/>
              <w:rPr>
                <w:rFonts w:asciiTheme="majorHAnsi" w:hAnsiTheme="majorHAnsi"/>
                <w:sz w:val="20"/>
                <w:szCs w:val="20"/>
              </w:rPr>
            </w:pPr>
            <w:r>
              <w:rPr>
                <w:rFonts w:asciiTheme="majorHAnsi" w:hAnsiTheme="majorHAnsi"/>
                <w:sz w:val="20"/>
                <w:szCs w:val="20"/>
              </w:rPr>
              <w:t xml:space="preserve">Excavation of service connections/joint bays </w:t>
            </w:r>
          </w:p>
        </w:tc>
        <w:tc>
          <w:tcPr>
            <w:cnfStyle w:val="000000010000"/>
            <w:tcW w:w="1740" w:type="dxa"/>
          </w:tcPr>
          <w:p w14:paraId="00000085">
            <w:pPr>
              <w:spacing w:after="0"/>
              <w:rPr>
                <w:rFonts w:asciiTheme="majorHAnsi" w:hAnsiTheme="majorHAnsi"/>
              </w:rPr>
            </w:pPr>
          </w:p>
        </w:tc>
        <w:tc>
          <w:tcPr>
            <w:cnfStyle w:val="000000010000"/>
            <w:tcW w:w="1100" w:type="dxa"/>
          </w:tcPr>
          <w:p w14:paraId="00000086">
            <w:pPr>
              <w:spacing w:after="0"/>
              <w:jc w:val="center"/>
              <w:rPr>
                <w:rFonts w:asciiTheme="majorHAnsi" w:hAnsiTheme="majorHAnsi"/>
              </w:rPr>
            </w:pPr>
            <w:r>
              <w:rPr>
                <w:rFonts w:asciiTheme="majorHAnsi" w:eastAsia="MS Gothic" w:hAnsiTheme="majorHAnsi"/>
              </w:rPr>
              <w:t>☐</w:t>
            </w:r>
          </w:p>
        </w:tc>
        <w:tc>
          <w:tcPr>
            <w:cnfStyle w:val="000000010000"/>
            <w:tcW w:w="1139" w:type="dxa"/>
          </w:tcPr>
          <w:p w14:paraId="00000087">
            <w:pPr>
              <w:spacing w:after="0"/>
              <w:jc w:val="center"/>
              <w:rPr>
                <w:rFonts w:asciiTheme="majorHAnsi" w:hAnsiTheme="majorHAnsi"/>
              </w:rPr>
            </w:pPr>
            <w:r>
              <w:rPr>
                <w:rFonts w:asciiTheme="majorHAnsi" w:eastAsia="MS Gothic" w:hAnsiTheme="majorHAnsi"/>
              </w:rPr>
              <w:t>☐</w:t>
            </w:r>
          </w:p>
        </w:tc>
        <w:tc>
          <w:tcPr>
            <w:cnfStyle w:val="000000010000"/>
            <w:tcW w:w="643" w:type="dxa"/>
          </w:tcPr>
          <w:p w14:paraId="00000088">
            <w:pPr>
              <w:spacing w:after="0"/>
              <w:jc w:val="center"/>
              <w:rPr>
                <w:rFonts w:asciiTheme="majorHAnsi" w:hAnsiTheme="majorHAnsi"/>
              </w:rPr>
            </w:pPr>
            <w:r>
              <w:rPr>
                <w:rFonts w:ascii="MS Gothic" w:eastAsia="MS Gothic" w:hAnsi="MS Gothic" w:hint="eastAsia"/>
              </w:rPr>
              <w:t>☐</w:t>
            </w:r>
          </w:p>
        </w:tc>
      </w:tr>
      <w:tr>
        <w:trPr/>
        <w:tc>
          <w:tcPr>
            <w:cnfStyle w:val="001000100000"/>
            <w:tcW w:w="4394" w:type="dxa"/>
          </w:tcPr>
          <w:p w14:paraId="00000089">
            <w:pPr>
              <w:spacing w:after="0"/>
              <w:rPr>
                <w:rFonts w:asciiTheme="majorHAnsi" w:hAnsiTheme="majorHAnsi"/>
                <w:sz w:val="20"/>
                <w:szCs w:val="20"/>
              </w:rPr>
            </w:pPr>
            <w:r>
              <w:rPr>
                <w:rFonts w:asciiTheme="majorHAnsi" w:hAnsiTheme="majorHAnsi"/>
                <w:sz w:val="20"/>
                <w:szCs w:val="20"/>
              </w:rPr>
              <w:t xml:space="preserve">Backfilling of service connections/joint bays </w:t>
            </w:r>
          </w:p>
        </w:tc>
        <w:tc>
          <w:tcPr>
            <w:cnfStyle w:val="000000100000"/>
            <w:tcW w:w="1740" w:type="dxa"/>
          </w:tcPr>
          <w:p w14:paraId="0000008A">
            <w:pPr>
              <w:spacing w:after="0"/>
              <w:rPr>
                <w:rFonts w:asciiTheme="majorHAnsi" w:hAnsiTheme="majorHAnsi"/>
              </w:rPr>
            </w:pPr>
          </w:p>
        </w:tc>
        <w:tc>
          <w:tcPr>
            <w:cnfStyle w:val="000000100000"/>
            <w:tcW w:w="1100" w:type="dxa"/>
          </w:tcPr>
          <w:p w14:paraId="0000008B">
            <w:pPr>
              <w:spacing w:after="0"/>
              <w:jc w:val="center"/>
              <w:rPr>
                <w:rFonts w:asciiTheme="majorHAnsi" w:hAnsiTheme="majorHAnsi"/>
              </w:rPr>
            </w:pPr>
            <w:r>
              <w:rPr>
                <w:rFonts w:asciiTheme="majorHAnsi" w:eastAsia="MS Gothic" w:hAnsiTheme="majorHAnsi"/>
              </w:rPr>
              <w:t>☐</w:t>
            </w:r>
          </w:p>
        </w:tc>
        <w:tc>
          <w:tcPr>
            <w:cnfStyle w:val="000000100000"/>
            <w:tcW w:w="1139" w:type="dxa"/>
          </w:tcPr>
          <w:p w14:paraId="0000008C">
            <w:pPr>
              <w:spacing w:after="0"/>
              <w:jc w:val="center"/>
              <w:rPr>
                <w:rFonts w:asciiTheme="majorHAnsi" w:hAnsiTheme="majorHAnsi"/>
              </w:rPr>
            </w:pPr>
            <w:r>
              <w:rPr>
                <w:rFonts w:asciiTheme="majorHAnsi" w:eastAsia="MS Gothic" w:hAnsiTheme="majorHAnsi"/>
              </w:rPr>
              <w:t>☐</w:t>
            </w:r>
          </w:p>
        </w:tc>
        <w:tc>
          <w:tcPr>
            <w:cnfStyle w:val="000000100000"/>
            <w:tcW w:w="643" w:type="dxa"/>
          </w:tcPr>
          <w:p w14:paraId="0000008D">
            <w:pPr>
              <w:spacing w:after="0"/>
              <w:jc w:val="center"/>
              <w:rPr>
                <w:rFonts w:asciiTheme="majorHAnsi" w:hAnsiTheme="majorHAnsi"/>
              </w:rPr>
            </w:pPr>
            <w:r>
              <w:rPr>
                <w:rFonts w:ascii="MS Gothic" w:eastAsia="MS Gothic" w:hAnsi="MS Gothic" w:hint="eastAsia"/>
              </w:rPr>
              <w:t>☐</w:t>
            </w:r>
          </w:p>
        </w:tc>
      </w:tr>
      <w:tr>
        <w:trPr/>
        <w:tc>
          <w:tcPr>
            <w:cnfStyle w:val="001000010000"/>
            <w:tcW w:w="4394" w:type="dxa"/>
          </w:tcPr>
          <w:p w14:paraId="0000008E">
            <w:pPr>
              <w:spacing w:after="0"/>
              <w:rPr>
                <w:rFonts w:asciiTheme="majorHAnsi" w:hAnsiTheme="majorHAnsi"/>
                <w:sz w:val="20"/>
                <w:szCs w:val="20"/>
              </w:rPr>
            </w:pPr>
            <w:r>
              <w:rPr>
                <w:rFonts w:asciiTheme="majorHAnsi" w:hAnsiTheme="majorHAnsi"/>
                <w:sz w:val="20"/>
                <w:szCs w:val="20"/>
              </w:rPr>
              <w:t xml:space="preserve">Provision of sand for service connections </w:t>
            </w:r>
          </w:p>
        </w:tc>
        <w:tc>
          <w:tcPr>
            <w:cnfStyle w:val="000000010000"/>
            <w:tcW w:w="1740" w:type="dxa"/>
          </w:tcPr>
          <w:p w14:paraId="0000008F">
            <w:pPr>
              <w:spacing w:after="0"/>
              <w:rPr>
                <w:rFonts w:asciiTheme="majorHAnsi" w:hAnsiTheme="majorHAnsi"/>
              </w:rPr>
            </w:pPr>
          </w:p>
        </w:tc>
        <w:tc>
          <w:tcPr>
            <w:cnfStyle w:val="000000010000"/>
            <w:tcW w:w="1100" w:type="dxa"/>
          </w:tcPr>
          <w:p w14:paraId="00000090">
            <w:pPr>
              <w:spacing w:after="0"/>
              <w:jc w:val="center"/>
              <w:rPr>
                <w:rFonts w:asciiTheme="majorHAnsi" w:hAnsiTheme="majorHAnsi"/>
              </w:rPr>
            </w:pPr>
            <w:r>
              <w:rPr>
                <w:rFonts w:asciiTheme="majorHAnsi" w:eastAsia="MS Gothic" w:hAnsiTheme="majorHAnsi"/>
              </w:rPr>
              <w:t>☐</w:t>
            </w:r>
          </w:p>
        </w:tc>
        <w:tc>
          <w:tcPr>
            <w:cnfStyle w:val="000000010000"/>
            <w:tcW w:w="1139" w:type="dxa"/>
          </w:tcPr>
          <w:p w14:paraId="00000091">
            <w:pPr>
              <w:spacing w:after="0"/>
              <w:jc w:val="center"/>
              <w:rPr>
                <w:rFonts w:asciiTheme="majorHAnsi" w:hAnsiTheme="majorHAnsi"/>
              </w:rPr>
            </w:pPr>
            <w:r>
              <w:rPr>
                <w:rFonts w:asciiTheme="majorHAnsi" w:eastAsia="MS Gothic" w:hAnsiTheme="majorHAnsi"/>
              </w:rPr>
              <w:t>☐</w:t>
            </w:r>
          </w:p>
        </w:tc>
        <w:tc>
          <w:tcPr>
            <w:cnfStyle w:val="000000010000"/>
            <w:tcW w:w="643" w:type="dxa"/>
          </w:tcPr>
          <w:p w14:paraId="00000092">
            <w:pPr>
              <w:spacing w:after="0"/>
              <w:jc w:val="center"/>
              <w:rPr>
                <w:rFonts w:asciiTheme="majorHAnsi" w:hAnsiTheme="majorHAnsi"/>
              </w:rPr>
            </w:pPr>
            <w:r>
              <w:rPr>
                <w:rFonts w:ascii="MS Gothic" w:eastAsia="MS Gothic" w:hAnsi="MS Gothic" w:hint="eastAsia"/>
              </w:rPr>
              <w:t>☐</w:t>
            </w:r>
          </w:p>
        </w:tc>
      </w:tr>
      <w:tr>
        <w:trPr/>
        <w:tc>
          <w:tcPr>
            <w:cnfStyle w:val="001000100000"/>
            <w:tcW w:w="4394" w:type="dxa"/>
          </w:tcPr>
          <w:p w14:paraId="00000093">
            <w:pPr>
              <w:spacing w:after="0"/>
              <w:rPr>
                <w:rFonts w:asciiTheme="majorHAnsi" w:hAnsiTheme="majorHAnsi"/>
                <w:sz w:val="20"/>
                <w:szCs w:val="20"/>
              </w:rPr>
            </w:pPr>
            <w:r>
              <w:rPr>
                <w:rFonts w:asciiTheme="majorHAnsi" w:hAnsiTheme="majorHAnsi"/>
                <w:sz w:val="20"/>
                <w:szCs w:val="20"/>
              </w:rPr>
              <w:t xml:space="preserve">Installation of bedding materials </w:t>
            </w:r>
          </w:p>
        </w:tc>
        <w:tc>
          <w:tcPr>
            <w:cnfStyle w:val="000000100000"/>
            <w:tcW w:w="1740" w:type="dxa"/>
          </w:tcPr>
          <w:p w14:paraId="00000094">
            <w:pPr>
              <w:spacing w:after="0"/>
              <w:rPr>
                <w:rFonts w:asciiTheme="majorHAnsi" w:hAnsiTheme="majorHAnsi"/>
              </w:rPr>
            </w:pPr>
          </w:p>
        </w:tc>
        <w:tc>
          <w:tcPr>
            <w:cnfStyle w:val="000000100000"/>
            <w:tcW w:w="1100" w:type="dxa"/>
          </w:tcPr>
          <w:p w14:paraId="00000095">
            <w:pPr>
              <w:spacing w:after="0"/>
              <w:jc w:val="center"/>
              <w:rPr>
                <w:rFonts w:asciiTheme="majorHAnsi" w:hAnsiTheme="majorHAnsi"/>
              </w:rPr>
            </w:pPr>
            <w:r>
              <w:rPr>
                <w:rFonts w:asciiTheme="majorHAnsi" w:eastAsia="MS Gothic" w:hAnsiTheme="majorHAnsi"/>
              </w:rPr>
              <w:t>☐</w:t>
            </w:r>
          </w:p>
        </w:tc>
        <w:tc>
          <w:tcPr>
            <w:cnfStyle w:val="000000100000"/>
            <w:tcW w:w="1139" w:type="dxa"/>
          </w:tcPr>
          <w:p w14:paraId="00000096">
            <w:pPr>
              <w:spacing w:after="0"/>
              <w:jc w:val="center"/>
              <w:rPr>
                <w:rFonts w:asciiTheme="majorHAnsi" w:hAnsiTheme="majorHAnsi"/>
              </w:rPr>
            </w:pPr>
            <w:r>
              <w:rPr>
                <w:rFonts w:asciiTheme="majorHAnsi" w:eastAsia="MS Gothic" w:hAnsiTheme="majorHAnsi"/>
              </w:rPr>
              <w:t>☐</w:t>
            </w:r>
          </w:p>
        </w:tc>
        <w:tc>
          <w:tcPr>
            <w:cnfStyle w:val="000000100000"/>
            <w:tcW w:w="643" w:type="dxa"/>
          </w:tcPr>
          <w:p w14:paraId="00000097">
            <w:pPr>
              <w:spacing w:after="0"/>
              <w:jc w:val="center"/>
              <w:rPr>
                <w:rFonts w:asciiTheme="majorHAnsi" w:hAnsiTheme="majorHAnsi"/>
              </w:rPr>
            </w:pPr>
            <w:r>
              <w:rPr>
                <w:rFonts w:ascii="MS Gothic" w:eastAsia="MS Gothic" w:hAnsi="MS Gothic" w:hint="eastAsia"/>
              </w:rPr>
              <w:t>☐</w:t>
            </w:r>
          </w:p>
        </w:tc>
      </w:tr>
    </w:tbl>
    <w:p w14:paraId="00000098">
      <w:pPr>
        <w:spacing w:after="0"/>
        <w:rPr>
          <w:rFonts w:asciiTheme="majorHAnsi" w:hAnsiTheme="majorHAnsi"/>
        </w:rPr>
      </w:pPr>
    </w:p>
    <w:tbl>
      <w:tblPr>
        <w:tblStyle w:val="TableGrid"/>
        <w:tblW w:w="0" w:type="auto"/>
        <w:tblLook w:val="04A0"/>
      </w:tblPr>
      <w:tblGrid>
        <w:gridCol w:w="4380"/>
        <w:gridCol w:w="1699"/>
        <w:gridCol w:w="1133"/>
        <w:gridCol w:w="1148"/>
        <w:gridCol w:w="656"/>
      </w:tblGrid>
      <w:tr>
        <w:trPr/>
        <w:tc>
          <w:tcPr>
            <w:cnfStyle w:val="101000000000"/>
            <w:tcW w:w="4385" w:type="dxa"/>
          </w:tcPr>
          <w:p w14:paraId="00000099">
            <w:pPr>
              <w:spacing w:after="0"/>
              <w:rPr>
                <w:rFonts w:asciiTheme="majorHAnsi" w:hAnsiTheme="majorHAnsi"/>
              </w:rPr>
            </w:pPr>
            <w:r>
              <w:rPr>
                <w:rFonts w:asciiTheme="majorHAnsi" w:hAnsiTheme="majorHAnsi"/>
                <w:b/>
                <w:bCs/>
              </w:rPr>
              <w:t>Activity</w:t>
            </w:r>
          </w:p>
        </w:tc>
        <w:tc>
          <w:tcPr>
            <w:cnfStyle w:val="100000000000"/>
            <w:tcW w:w="1701" w:type="dxa"/>
          </w:tcPr>
          <w:p w14:paraId="0000009A">
            <w:pPr>
              <w:spacing w:after="0"/>
              <w:rPr>
                <w:rFonts w:asciiTheme="majorHAnsi" w:hAnsiTheme="majorHAnsi"/>
              </w:rPr>
            </w:pPr>
            <w:r>
              <w:rPr>
                <w:rFonts w:asciiTheme="majorHAnsi" w:hAnsiTheme="majorHAnsi"/>
                <w:b/>
                <w:bCs/>
              </w:rPr>
              <w:t>Comments</w:t>
            </w:r>
          </w:p>
        </w:tc>
        <w:tc>
          <w:tcPr>
            <w:cnfStyle w:val="100000000000"/>
            <w:tcW w:w="1134" w:type="dxa"/>
          </w:tcPr>
          <w:p w14:paraId="0000009B">
            <w:pPr>
              <w:spacing w:after="0"/>
              <w:rPr>
                <w:rFonts w:asciiTheme="majorHAnsi" w:hAnsiTheme="majorHAnsi"/>
                <w:b/>
                <w:bCs/>
              </w:rPr>
            </w:pPr>
            <w:r>
              <w:rPr>
                <w:rFonts w:asciiTheme="majorHAnsi" w:hAnsiTheme="majorHAnsi"/>
                <w:b/>
                <w:bCs/>
              </w:rPr>
              <w:t>Included (By AU)</w:t>
            </w:r>
          </w:p>
        </w:tc>
        <w:tc>
          <w:tcPr>
            <w:cnfStyle w:val="100000000000"/>
            <w:tcW w:w="1139" w:type="dxa"/>
          </w:tcPr>
          <w:p w14:paraId="0000009C">
            <w:pPr>
              <w:spacing w:after="0"/>
              <w:rPr>
                <w:rFonts w:asciiTheme="majorHAnsi" w:hAnsiTheme="majorHAnsi"/>
                <w:b/>
                <w:bCs/>
              </w:rPr>
            </w:pPr>
            <w:r>
              <w:rPr>
                <w:rFonts w:asciiTheme="majorHAnsi" w:hAnsiTheme="majorHAnsi"/>
                <w:b/>
                <w:bCs/>
              </w:rPr>
              <w:t>Excluded (By others)</w:t>
            </w:r>
          </w:p>
        </w:tc>
        <w:tc>
          <w:tcPr>
            <w:cnfStyle w:val="100000000000"/>
            <w:tcW w:w="657" w:type="dxa"/>
          </w:tcPr>
          <w:p w14:paraId="0000009D">
            <w:pPr>
              <w:spacing w:after="0"/>
              <w:rPr>
                <w:rFonts w:asciiTheme="majorHAnsi" w:hAnsiTheme="majorHAnsi"/>
                <w:b/>
                <w:bCs/>
              </w:rPr>
            </w:pPr>
            <w:r>
              <w:rPr>
                <w:rFonts w:asciiTheme="majorHAnsi" w:hAnsiTheme="majorHAnsi"/>
                <w:b/>
                <w:bCs/>
              </w:rPr>
              <w:t>N/A</w:t>
            </w:r>
          </w:p>
        </w:tc>
      </w:tr>
      <w:tr>
        <w:trPr/>
        <w:tc>
          <w:tcPr>
            <w:cnfStyle w:val="001000100000"/>
            <w:tcW w:w="9016" w:type="dxa"/>
            <w:gridSpan w:val="5"/>
          </w:tcPr>
          <w:p w14:paraId="0000009E">
            <w:pPr>
              <w:spacing w:after="0"/>
              <w:rPr>
                <w:rFonts w:asciiTheme="majorHAnsi" w:hAnsiTheme="majorHAnsi"/>
                <w:b/>
                <w:bCs/>
              </w:rPr>
            </w:pPr>
            <w:r>
              <w:rPr>
                <w:rFonts w:asciiTheme="majorHAnsi" w:hAnsiTheme="majorHAnsi"/>
                <w:b/>
                <w:bCs/>
                <w:color w:val="00b0f0"/>
              </w:rPr>
              <w:t xml:space="preserve">WATER </w:t>
            </w:r>
          </w:p>
        </w:tc>
      </w:tr>
      <w:tr>
        <w:trPr/>
        <w:tc>
          <w:tcPr>
            <w:cnfStyle w:val="001000010000"/>
            <w:tcW w:w="4385" w:type="dxa"/>
          </w:tcPr>
          <w:p w14:paraId="0000009F">
            <w:pPr>
              <w:spacing w:after="0"/>
              <w:rPr>
                <w:rFonts w:asciiTheme="majorHAnsi" w:hAnsiTheme="majorHAnsi"/>
                <w:sz w:val="20"/>
                <w:szCs w:val="20"/>
              </w:rPr>
            </w:pPr>
            <w:r>
              <w:rPr>
                <w:rFonts w:asciiTheme="majorHAnsi" w:hAnsiTheme="majorHAnsi"/>
                <w:sz w:val="20"/>
                <w:szCs w:val="20"/>
              </w:rPr>
              <w:t>Provision and installation of meters</w:t>
            </w:r>
          </w:p>
        </w:tc>
        <w:tc>
          <w:tcPr>
            <w:cnfStyle w:val="000000010000"/>
            <w:tcW w:w="1701" w:type="dxa"/>
          </w:tcPr>
          <w:p w14:paraId="000000A0">
            <w:pPr>
              <w:spacing w:after="0"/>
              <w:rPr>
                <w:rFonts w:asciiTheme="majorHAnsi" w:hAnsiTheme="majorHAnsi"/>
                <w:b/>
                <w:bCs/>
              </w:rPr>
            </w:pPr>
          </w:p>
        </w:tc>
        <w:tc>
          <w:tcPr>
            <w:cnfStyle w:val="000000010000"/>
            <w:tcW w:w="1134" w:type="dxa"/>
          </w:tcPr>
          <w:p w14:paraId="000000A1">
            <w:pPr>
              <w:spacing w:after="0"/>
              <w:jc w:val="center"/>
              <w:rPr>
                <w:rFonts w:asciiTheme="majorHAnsi" w:hAnsiTheme="majorHAnsi"/>
              </w:rPr>
            </w:pPr>
            <w:r>
              <w:rPr>
                <w:rFonts w:asciiTheme="majorHAnsi" w:eastAsia="MS Gothic" w:hAnsiTheme="majorHAnsi"/>
              </w:rPr>
              <w:t>☐</w:t>
            </w:r>
          </w:p>
        </w:tc>
        <w:tc>
          <w:tcPr>
            <w:cnfStyle w:val="000000010000"/>
            <w:tcW w:w="1139" w:type="dxa"/>
          </w:tcPr>
          <w:p w14:paraId="000000A2">
            <w:pPr>
              <w:spacing w:after="0"/>
              <w:jc w:val="center"/>
              <w:rPr>
                <w:rFonts w:asciiTheme="majorHAnsi" w:hAnsiTheme="majorHAnsi"/>
              </w:rPr>
            </w:pPr>
            <w:r>
              <w:rPr>
                <w:rFonts w:asciiTheme="majorHAnsi" w:eastAsia="MS Gothic" w:hAnsiTheme="majorHAnsi"/>
              </w:rPr>
              <w:t>☐</w:t>
            </w:r>
          </w:p>
        </w:tc>
        <w:tc>
          <w:tcPr>
            <w:cnfStyle w:val="000000010000"/>
            <w:tcW w:w="657" w:type="dxa"/>
          </w:tcPr>
          <w:p w14:paraId="000000A3">
            <w:pPr>
              <w:spacing w:after="0"/>
              <w:jc w:val="center"/>
              <w:rPr>
                <w:rFonts w:asciiTheme="majorHAnsi" w:hAnsiTheme="majorHAnsi"/>
              </w:rPr>
            </w:pPr>
            <w:r>
              <w:rPr>
                <w:rFonts w:ascii="MS Gothic" w:eastAsia="MS Gothic" w:hAnsi="MS Gothic" w:hint="eastAsia"/>
              </w:rPr>
              <w:t>☐</w:t>
            </w:r>
          </w:p>
        </w:tc>
      </w:tr>
      <w:tr>
        <w:trPr/>
        <w:tc>
          <w:tcPr>
            <w:cnfStyle w:val="001000100000"/>
            <w:tcW w:w="4385" w:type="dxa"/>
          </w:tcPr>
          <w:p w14:paraId="000000A4">
            <w:pPr>
              <w:spacing w:after="0"/>
              <w:rPr>
                <w:rFonts w:asciiTheme="majorHAnsi" w:hAnsiTheme="majorHAnsi"/>
                <w:sz w:val="20"/>
                <w:szCs w:val="20"/>
              </w:rPr>
            </w:pPr>
            <w:r>
              <w:rPr>
                <w:rFonts w:asciiTheme="majorHAnsi" w:hAnsiTheme="majorHAnsi"/>
                <w:sz w:val="20"/>
                <w:szCs w:val="20"/>
              </w:rPr>
              <w:t>Temporary water connections (on site off new mains)</w:t>
            </w:r>
          </w:p>
        </w:tc>
        <w:tc>
          <w:tcPr>
            <w:cnfStyle w:val="000000100000"/>
            <w:tcW w:w="1701" w:type="dxa"/>
          </w:tcPr>
          <w:p w14:paraId="000000A5">
            <w:pPr>
              <w:spacing w:after="0"/>
              <w:rPr>
                <w:rFonts w:asciiTheme="majorHAnsi" w:hAnsiTheme="majorHAnsi"/>
              </w:rPr>
            </w:pPr>
          </w:p>
        </w:tc>
        <w:tc>
          <w:tcPr>
            <w:cnfStyle w:val="000000100000"/>
            <w:tcW w:w="1134" w:type="dxa"/>
          </w:tcPr>
          <w:p w14:paraId="000000A6">
            <w:pPr>
              <w:spacing w:after="0"/>
              <w:jc w:val="center"/>
              <w:rPr>
                <w:rFonts w:asciiTheme="majorHAnsi" w:hAnsiTheme="majorHAnsi"/>
              </w:rPr>
            </w:pPr>
            <w:r>
              <w:rPr>
                <w:rFonts w:asciiTheme="majorHAnsi" w:eastAsia="MS Gothic" w:hAnsiTheme="majorHAnsi"/>
              </w:rPr>
              <w:t>☐</w:t>
            </w:r>
          </w:p>
        </w:tc>
        <w:tc>
          <w:tcPr>
            <w:cnfStyle w:val="000000100000"/>
            <w:tcW w:w="1139" w:type="dxa"/>
          </w:tcPr>
          <w:p w14:paraId="000000A7">
            <w:pPr>
              <w:spacing w:after="0"/>
              <w:jc w:val="center"/>
              <w:rPr>
                <w:rFonts w:asciiTheme="majorHAnsi" w:hAnsiTheme="majorHAnsi"/>
              </w:rPr>
            </w:pPr>
            <w:r>
              <w:rPr>
                <w:rFonts w:asciiTheme="majorHAnsi" w:eastAsia="MS Gothic" w:hAnsiTheme="majorHAnsi"/>
              </w:rPr>
              <w:t>☐</w:t>
            </w:r>
          </w:p>
        </w:tc>
        <w:tc>
          <w:tcPr>
            <w:cnfStyle w:val="000000100000"/>
            <w:tcW w:w="657" w:type="dxa"/>
          </w:tcPr>
          <w:p w14:paraId="000000A8">
            <w:pPr>
              <w:spacing w:after="0"/>
              <w:jc w:val="center"/>
              <w:rPr>
                <w:rFonts w:asciiTheme="majorHAnsi" w:hAnsiTheme="majorHAnsi"/>
              </w:rPr>
            </w:pPr>
            <w:r>
              <w:rPr>
                <w:rFonts w:ascii="MS Gothic" w:eastAsia="MS Gothic" w:hAnsi="MS Gothic" w:hint="eastAsia"/>
              </w:rPr>
              <w:t>☐</w:t>
            </w:r>
          </w:p>
        </w:tc>
      </w:tr>
      <w:tr>
        <w:trPr/>
        <w:tc>
          <w:tcPr>
            <w:cnfStyle w:val="001000010000"/>
            <w:tcW w:w="4385" w:type="dxa"/>
          </w:tcPr>
          <w:p w14:paraId="000000A9">
            <w:pPr>
              <w:spacing w:after="0"/>
              <w:rPr>
                <w:rFonts w:asciiTheme="majorHAnsi" w:hAnsiTheme="majorHAnsi"/>
                <w:sz w:val="20"/>
                <w:szCs w:val="20"/>
              </w:rPr>
            </w:pPr>
            <w:r>
              <w:rPr>
                <w:rFonts w:asciiTheme="majorHAnsi" w:hAnsiTheme="majorHAnsi"/>
                <w:sz w:val="20"/>
                <w:szCs w:val="20"/>
              </w:rPr>
              <w:t>Temporary water connection (off site off existing mains)</w:t>
            </w:r>
          </w:p>
        </w:tc>
        <w:tc>
          <w:tcPr>
            <w:cnfStyle w:val="000000010000"/>
            <w:tcW w:w="1701" w:type="dxa"/>
          </w:tcPr>
          <w:p w14:paraId="000000AA">
            <w:pPr>
              <w:spacing w:after="0"/>
              <w:rPr>
                <w:rFonts w:asciiTheme="majorHAnsi" w:hAnsiTheme="majorHAnsi"/>
              </w:rPr>
            </w:pPr>
          </w:p>
        </w:tc>
        <w:tc>
          <w:tcPr>
            <w:cnfStyle w:val="000000010000"/>
            <w:tcW w:w="1134" w:type="dxa"/>
          </w:tcPr>
          <w:p w14:paraId="000000AB">
            <w:pPr>
              <w:spacing w:after="0"/>
              <w:jc w:val="center"/>
              <w:rPr>
                <w:rFonts w:asciiTheme="majorHAnsi" w:hAnsiTheme="majorHAnsi"/>
              </w:rPr>
            </w:pPr>
            <w:r>
              <w:rPr>
                <w:rFonts w:asciiTheme="majorHAnsi" w:eastAsia="MS Gothic" w:hAnsiTheme="majorHAnsi"/>
              </w:rPr>
              <w:t>☐</w:t>
            </w:r>
          </w:p>
        </w:tc>
        <w:tc>
          <w:tcPr>
            <w:cnfStyle w:val="000000010000"/>
            <w:tcW w:w="1139" w:type="dxa"/>
          </w:tcPr>
          <w:p w14:paraId="000000AC">
            <w:pPr>
              <w:spacing w:after="0"/>
              <w:jc w:val="center"/>
              <w:rPr>
                <w:rFonts w:asciiTheme="majorHAnsi" w:hAnsiTheme="majorHAnsi"/>
              </w:rPr>
            </w:pPr>
            <w:r>
              <w:rPr>
                <w:rFonts w:asciiTheme="majorHAnsi" w:eastAsia="MS Gothic" w:hAnsiTheme="majorHAnsi"/>
              </w:rPr>
              <w:t>☐</w:t>
            </w:r>
          </w:p>
        </w:tc>
        <w:tc>
          <w:tcPr>
            <w:cnfStyle w:val="000000010000"/>
            <w:tcW w:w="657" w:type="dxa"/>
          </w:tcPr>
          <w:p w14:paraId="000000AD">
            <w:pPr>
              <w:spacing w:after="0"/>
              <w:jc w:val="center"/>
              <w:rPr>
                <w:rFonts w:asciiTheme="majorHAnsi" w:hAnsiTheme="majorHAnsi"/>
              </w:rPr>
            </w:pPr>
            <w:r>
              <w:rPr>
                <w:rFonts w:ascii="MS Gothic" w:eastAsia="MS Gothic" w:hAnsi="MS Gothic" w:hint="eastAsia"/>
              </w:rPr>
              <w:t>☐</w:t>
            </w:r>
          </w:p>
        </w:tc>
      </w:tr>
      <w:tr>
        <w:trPr/>
        <w:tc>
          <w:tcPr>
            <w:cnfStyle w:val="001000100000"/>
            <w:tcW w:w="4385" w:type="dxa"/>
          </w:tcPr>
          <w:p w14:paraId="000000AE">
            <w:pPr>
              <w:spacing w:after="0"/>
              <w:rPr>
                <w:rFonts w:asciiTheme="majorHAnsi" w:hAnsiTheme="majorHAnsi"/>
                <w:sz w:val="20"/>
                <w:szCs w:val="20"/>
              </w:rPr>
            </w:pPr>
            <w:r>
              <w:rPr>
                <w:rFonts w:asciiTheme="majorHAnsi" w:hAnsiTheme="majorHAnsi"/>
                <w:sz w:val="20"/>
                <w:szCs w:val="20"/>
              </w:rPr>
              <w:t>Water infrastructure charges (2025-2026 rate per plot)</w:t>
            </w:r>
          </w:p>
        </w:tc>
        <w:tc>
          <w:tcPr>
            <w:cnfStyle w:val="000000100000"/>
            <w:tcW w:w="1701" w:type="dxa"/>
          </w:tcPr>
          <w:p w14:paraId="000000AF">
            <w:pPr>
              <w:spacing w:after="0"/>
              <w:rPr>
                <w:rFonts w:asciiTheme="majorHAnsi" w:hAnsiTheme="majorHAnsi"/>
              </w:rPr>
            </w:pPr>
          </w:p>
        </w:tc>
        <w:tc>
          <w:tcPr>
            <w:cnfStyle w:val="000000100000"/>
            <w:tcW w:w="1134" w:type="dxa"/>
          </w:tcPr>
          <w:p w14:paraId="000000B0">
            <w:pPr>
              <w:spacing w:after="0"/>
              <w:jc w:val="center"/>
              <w:rPr>
                <w:rFonts w:asciiTheme="majorHAnsi" w:hAnsiTheme="majorHAnsi"/>
              </w:rPr>
            </w:pPr>
            <w:r>
              <w:rPr>
                <w:rFonts w:asciiTheme="majorHAnsi" w:eastAsia="MS Gothic" w:hAnsiTheme="majorHAnsi"/>
              </w:rPr>
              <w:t>☐</w:t>
            </w:r>
          </w:p>
        </w:tc>
        <w:tc>
          <w:tcPr>
            <w:cnfStyle w:val="000000100000"/>
            <w:tcW w:w="1139" w:type="dxa"/>
          </w:tcPr>
          <w:p w14:paraId="000000B1">
            <w:pPr>
              <w:spacing w:after="0"/>
              <w:jc w:val="center"/>
              <w:rPr>
                <w:rFonts w:asciiTheme="majorHAnsi" w:hAnsiTheme="majorHAnsi"/>
              </w:rPr>
            </w:pPr>
            <w:r>
              <w:rPr>
                <w:rFonts w:asciiTheme="majorHAnsi" w:eastAsia="MS Gothic" w:hAnsiTheme="majorHAnsi"/>
              </w:rPr>
              <w:t>☐</w:t>
            </w:r>
          </w:p>
        </w:tc>
        <w:tc>
          <w:tcPr>
            <w:cnfStyle w:val="000000100000"/>
            <w:tcW w:w="657" w:type="dxa"/>
          </w:tcPr>
          <w:p w14:paraId="000000B2">
            <w:pPr>
              <w:spacing w:after="0"/>
              <w:jc w:val="center"/>
              <w:rPr>
                <w:rFonts w:asciiTheme="majorHAnsi" w:hAnsiTheme="majorHAnsi"/>
              </w:rPr>
            </w:pPr>
            <w:r>
              <w:rPr>
                <w:rFonts w:ascii="MS Gothic" w:eastAsia="MS Gothic" w:hAnsi="MS Gothic" w:hint="eastAsia"/>
              </w:rPr>
              <w:t>☐</w:t>
            </w:r>
          </w:p>
        </w:tc>
      </w:tr>
      <w:tr>
        <w:trPr/>
        <w:tc>
          <w:tcPr>
            <w:cnfStyle w:val="001000010000"/>
            <w:tcW w:w="4385" w:type="dxa"/>
          </w:tcPr>
          <w:p w14:paraId="000000B3">
            <w:pPr>
              <w:spacing w:after="0"/>
              <w:rPr>
                <w:rFonts w:asciiTheme="majorHAnsi" w:hAnsiTheme="majorHAnsi"/>
                <w:sz w:val="20"/>
                <w:szCs w:val="20"/>
              </w:rPr>
            </w:pPr>
            <w:r>
              <w:rPr>
                <w:rFonts w:asciiTheme="majorHAnsi" w:hAnsiTheme="majorHAnsi"/>
                <w:sz w:val="20"/>
                <w:szCs w:val="20"/>
              </w:rPr>
              <w:t>Water connection charges – connection to the offsite main</w:t>
            </w:r>
          </w:p>
        </w:tc>
        <w:tc>
          <w:tcPr>
            <w:cnfStyle w:val="000000010000"/>
            <w:tcW w:w="1701" w:type="dxa"/>
          </w:tcPr>
          <w:p w14:paraId="000000B4">
            <w:pPr>
              <w:spacing w:after="0"/>
              <w:rPr>
                <w:rFonts w:asciiTheme="majorHAnsi" w:hAnsiTheme="majorHAnsi"/>
              </w:rPr>
            </w:pPr>
          </w:p>
        </w:tc>
        <w:tc>
          <w:tcPr>
            <w:cnfStyle w:val="000000010000"/>
            <w:tcW w:w="1134" w:type="dxa"/>
          </w:tcPr>
          <w:p w14:paraId="000000B5">
            <w:pPr>
              <w:spacing w:after="0"/>
              <w:jc w:val="center"/>
              <w:rPr>
                <w:rFonts w:asciiTheme="majorHAnsi" w:hAnsiTheme="majorHAnsi"/>
              </w:rPr>
            </w:pPr>
            <w:r>
              <w:rPr>
                <w:rFonts w:asciiTheme="majorHAnsi" w:eastAsia="MS Gothic" w:hAnsiTheme="majorHAnsi"/>
              </w:rPr>
              <w:t>☐</w:t>
            </w:r>
          </w:p>
        </w:tc>
        <w:tc>
          <w:tcPr>
            <w:cnfStyle w:val="000000010000"/>
            <w:tcW w:w="1139" w:type="dxa"/>
          </w:tcPr>
          <w:p w14:paraId="000000B6">
            <w:pPr>
              <w:spacing w:after="0"/>
              <w:jc w:val="center"/>
              <w:rPr>
                <w:rFonts w:asciiTheme="majorHAnsi" w:hAnsiTheme="majorHAnsi"/>
              </w:rPr>
            </w:pPr>
            <w:r>
              <w:rPr>
                <w:rFonts w:asciiTheme="majorHAnsi" w:eastAsia="MS Gothic" w:hAnsiTheme="majorHAnsi"/>
              </w:rPr>
              <w:t>☐</w:t>
            </w:r>
          </w:p>
        </w:tc>
        <w:tc>
          <w:tcPr>
            <w:cnfStyle w:val="000000010000"/>
            <w:tcW w:w="657" w:type="dxa"/>
          </w:tcPr>
          <w:p w14:paraId="000000B7">
            <w:pPr>
              <w:spacing w:after="0"/>
              <w:jc w:val="center"/>
              <w:rPr>
                <w:rFonts w:asciiTheme="majorHAnsi" w:hAnsiTheme="majorHAnsi"/>
              </w:rPr>
            </w:pPr>
            <w:r>
              <w:rPr>
                <w:rFonts w:ascii="MS Gothic" w:eastAsia="MS Gothic" w:hAnsi="MS Gothic" w:hint="eastAsia"/>
              </w:rPr>
              <w:t>☐</w:t>
            </w:r>
          </w:p>
        </w:tc>
      </w:tr>
      <w:tr>
        <w:trPr/>
        <w:tc>
          <w:tcPr>
            <w:cnfStyle w:val="001000100000"/>
            <w:tcW w:w="4385" w:type="dxa"/>
          </w:tcPr>
          <w:p w14:paraId="000000B8">
            <w:pPr>
              <w:spacing w:after="0"/>
              <w:rPr>
                <w:rFonts w:asciiTheme="majorHAnsi" w:hAnsiTheme="majorHAnsi"/>
                <w:sz w:val="20"/>
                <w:szCs w:val="20"/>
              </w:rPr>
            </w:pPr>
            <w:r>
              <w:rPr>
                <w:rFonts w:asciiTheme="majorHAnsi" w:hAnsiTheme="majorHAnsi"/>
                <w:sz w:val="20"/>
                <w:szCs w:val="20"/>
              </w:rPr>
              <w:t>Boundary water box provision</w:t>
            </w:r>
          </w:p>
        </w:tc>
        <w:tc>
          <w:tcPr>
            <w:cnfStyle w:val="000000100000"/>
            <w:tcW w:w="1701" w:type="dxa"/>
          </w:tcPr>
          <w:p w14:paraId="000000B9">
            <w:pPr>
              <w:spacing w:after="0"/>
              <w:rPr>
                <w:rFonts w:asciiTheme="majorHAnsi" w:hAnsiTheme="majorHAnsi"/>
              </w:rPr>
            </w:pPr>
          </w:p>
        </w:tc>
        <w:tc>
          <w:tcPr>
            <w:cnfStyle w:val="000000100000"/>
            <w:tcW w:w="1134" w:type="dxa"/>
          </w:tcPr>
          <w:p w14:paraId="000000BA">
            <w:pPr>
              <w:spacing w:after="0"/>
              <w:jc w:val="center"/>
              <w:rPr>
                <w:rFonts w:asciiTheme="majorHAnsi" w:hAnsiTheme="majorHAnsi"/>
              </w:rPr>
            </w:pPr>
            <w:r>
              <w:rPr>
                <w:rFonts w:asciiTheme="majorHAnsi" w:eastAsia="MS Gothic" w:hAnsiTheme="majorHAnsi"/>
              </w:rPr>
              <w:t>☐</w:t>
            </w:r>
          </w:p>
        </w:tc>
        <w:tc>
          <w:tcPr>
            <w:cnfStyle w:val="000000100000"/>
            <w:tcW w:w="1139" w:type="dxa"/>
          </w:tcPr>
          <w:p w14:paraId="000000BB">
            <w:pPr>
              <w:spacing w:after="0"/>
              <w:jc w:val="center"/>
              <w:rPr>
                <w:rFonts w:asciiTheme="majorHAnsi" w:hAnsiTheme="majorHAnsi"/>
              </w:rPr>
            </w:pPr>
            <w:r>
              <w:rPr>
                <w:rFonts w:asciiTheme="majorHAnsi" w:eastAsia="MS Gothic" w:hAnsiTheme="majorHAnsi"/>
              </w:rPr>
              <w:t>☐</w:t>
            </w:r>
          </w:p>
        </w:tc>
        <w:tc>
          <w:tcPr>
            <w:cnfStyle w:val="000000100000"/>
            <w:tcW w:w="657" w:type="dxa"/>
          </w:tcPr>
          <w:p w14:paraId="000000BC">
            <w:pPr>
              <w:spacing w:after="0"/>
              <w:jc w:val="center"/>
              <w:rPr>
                <w:rFonts w:asciiTheme="majorHAnsi" w:hAnsiTheme="majorHAnsi"/>
              </w:rPr>
            </w:pPr>
            <w:r>
              <w:rPr>
                <w:rFonts w:ascii="MS Gothic" w:eastAsia="MS Gothic" w:hAnsi="MS Gothic" w:hint="eastAsia"/>
              </w:rPr>
              <w:t>☐</w:t>
            </w:r>
          </w:p>
        </w:tc>
      </w:tr>
      <w:tr>
        <w:trPr/>
        <w:tc>
          <w:tcPr>
            <w:cnfStyle w:val="001000010000"/>
            <w:tcW w:w="4385" w:type="dxa"/>
          </w:tcPr>
          <w:p w14:paraId="000000BD">
            <w:pPr>
              <w:spacing w:after="0"/>
              <w:rPr>
                <w:rFonts w:asciiTheme="majorHAnsi" w:hAnsiTheme="majorHAnsi"/>
                <w:sz w:val="20"/>
                <w:szCs w:val="20"/>
              </w:rPr>
            </w:pPr>
            <w:r>
              <w:rPr>
                <w:rFonts w:asciiTheme="majorHAnsi" w:hAnsiTheme="majorHAnsi"/>
                <w:sz w:val="20"/>
                <w:szCs w:val="20"/>
              </w:rPr>
              <w:t>Fire service hydrant</w:t>
            </w:r>
          </w:p>
        </w:tc>
        <w:tc>
          <w:tcPr>
            <w:cnfStyle w:val="000000010000"/>
            <w:tcW w:w="1701" w:type="dxa"/>
          </w:tcPr>
          <w:p w14:paraId="000000BE">
            <w:pPr>
              <w:spacing w:after="0"/>
              <w:rPr>
                <w:rFonts w:asciiTheme="majorHAnsi" w:hAnsiTheme="majorHAnsi"/>
              </w:rPr>
            </w:pPr>
          </w:p>
        </w:tc>
        <w:tc>
          <w:tcPr>
            <w:cnfStyle w:val="000000010000"/>
            <w:tcW w:w="1134" w:type="dxa"/>
          </w:tcPr>
          <w:p w14:paraId="000000BF">
            <w:pPr>
              <w:spacing w:after="0"/>
              <w:jc w:val="center"/>
              <w:rPr>
                <w:rFonts w:asciiTheme="majorHAnsi" w:hAnsiTheme="majorHAnsi"/>
              </w:rPr>
            </w:pPr>
            <w:r>
              <w:rPr>
                <w:rFonts w:asciiTheme="majorHAnsi" w:eastAsia="MS Gothic" w:hAnsiTheme="majorHAnsi"/>
              </w:rPr>
              <w:t>☐</w:t>
            </w:r>
          </w:p>
        </w:tc>
        <w:tc>
          <w:tcPr>
            <w:cnfStyle w:val="000000010000"/>
            <w:tcW w:w="1139" w:type="dxa"/>
          </w:tcPr>
          <w:p w14:paraId="000000C0">
            <w:pPr>
              <w:spacing w:after="0"/>
              <w:jc w:val="center"/>
              <w:rPr>
                <w:rFonts w:asciiTheme="majorHAnsi" w:hAnsiTheme="majorHAnsi"/>
              </w:rPr>
            </w:pPr>
            <w:r>
              <w:rPr>
                <w:rFonts w:asciiTheme="majorHAnsi" w:eastAsia="MS Gothic" w:hAnsiTheme="majorHAnsi"/>
              </w:rPr>
              <w:t>☐</w:t>
            </w:r>
          </w:p>
        </w:tc>
        <w:tc>
          <w:tcPr>
            <w:cnfStyle w:val="000000010000"/>
            <w:tcW w:w="657" w:type="dxa"/>
          </w:tcPr>
          <w:p w14:paraId="000000C1">
            <w:pPr>
              <w:spacing w:after="0"/>
              <w:jc w:val="center"/>
              <w:rPr>
                <w:rFonts w:asciiTheme="majorHAnsi" w:hAnsiTheme="majorHAnsi"/>
              </w:rPr>
            </w:pPr>
            <w:r>
              <w:rPr>
                <w:rFonts w:ascii="MS Gothic" w:eastAsia="MS Gothic" w:hAnsi="MS Gothic" w:hint="eastAsia"/>
              </w:rPr>
              <w:t>☐</w:t>
            </w:r>
          </w:p>
        </w:tc>
      </w:tr>
      <w:tr>
        <w:trPr/>
        <w:tc>
          <w:tcPr>
            <w:cnfStyle w:val="001000100000"/>
            <w:tcW w:w="9016" w:type="dxa"/>
            <w:gridSpan w:val="5"/>
          </w:tcPr>
          <w:p w14:paraId="000000C2">
            <w:pPr>
              <w:spacing w:after="0"/>
              <w:rPr>
                <w:rFonts w:asciiTheme="majorHAnsi" w:hAnsiTheme="majorHAnsi"/>
                <w:b/>
                <w:bCs/>
              </w:rPr>
            </w:pPr>
            <w:r>
              <w:rPr>
                <w:rFonts w:asciiTheme="majorHAnsi" w:hAnsiTheme="majorHAnsi"/>
                <w:b/>
                <w:bCs/>
                <w:color w:val="ee0000"/>
              </w:rPr>
              <w:t>ELECTRIC</w:t>
            </w:r>
          </w:p>
        </w:tc>
      </w:tr>
      <w:tr>
        <w:trPr/>
        <w:tc>
          <w:tcPr>
            <w:cnfStyle w:val="001000010000"/>
            <w:tcW w:w="4385" w:type="dxa"/>
          </w:tcPr>
          <w:p w14:paraId="000000C3">
            <w:pPr>
              <w:spacing w:after="0"/>
              <w:rPr>
                <w:rFonts w:asciiTheme="majorHAnsi" w:hAnsiTheme="majorHAnsi"/>
                <w:sz w:val="20"/>
                <w:szCs w:val="20"/>
              </w:rPr>
            </w:pPr>
            <w:r>
              <w:rPr>
                <w:rFonts w:asciiTheme="majorHAnsi" w:hAnsiTheme="majorHAnsi"/>
                <w:sz w:val="20"/>
                <w:szCs w:val="20"/>
              </w:rPr>
              <w:t xml:space="preserve">Provision of Air Source Heat Pump load within o/a POC load </w:t>
            </w:r>
          </w:p>
        </w:tc>
        <w:tc>
          <w:tcPr>
            <w:cnfStyle w:val="000000010000"/>
            <w:tcW w:w="1701" w:type="dxa"/>
          </w:tcPr>
          <w:p w14:paraId="000000C4">
            <w:pPr>
              <w:spacing w:after="0"/>
              <w:rPr>
                <w:rFonts w:asciiTheme="majorHAnsi" w:hAnsiTheme="majorHAnsi"/>
              </w:rPr>
            </w:pPr>
          </w:p>
        </w:tc>
        <w:tc>
          <w:tcPr>
            <w:cnfStyle w:val="000000010000"/>
            <w:tcW w:w="1134" w:type="dxa"/>
          </w:tcPr>
          <w:p w14:paraId="000000C5">
            <w:pPr>
              <w:spacing w:after="0"/>
              <w:jc w:val="center"/>
              <w:rPr>
                <w:rFonts w:asciiTheme="majorHAnsi" w:hAnsiTheme="majorHAnsi"/>
              </w:rPr>
            </w:pPr>
            <w:r>
              <w:rPr>
                <w:rFonts w:ascii="MS Gothic" w:eastAsia="MS Gothic" w:hAnsi="MS Gothic" w:hint="eastAsia"/>
              </w:rPr>
              <w:t>☐</w:t>
            </w:r>
          </w:p>
        </w:tc>
        <w:tc>
          <w:tcPr>
            <w:cnfStyle w:val="000000010000"/>
            <w:tcW w:w="1139" w:type="dxa"/>
          </w:tcPr>
          <w:p w14:paraId="000000C6">
            <w:pPr>
              <w:spacing w:after="0"/>
              <w:jc w:val="center"/>
              <w:rPr>
                <w:rFonts w:asciiTheme="majorHAnsi" w:hAnsiTheme="majorHAnsi"/>
              </w:rPr>
            </w:pPr>
            <w:r>
              <w:rPr>
                <w:rFonts w:asciiTheme="majorHAnsi" w:eastAsia="MS Gothic" w:hAnsiTheme="majorHAnsi"/>
              </w:rPr>
              <w:t>☐</w:t>
            </w:r>
          </w:p>
        </w:tc>
        <w:tc>
          <w:tcPr>
            <w:cnfStyle w:val="000000010000"/>
            <w:tcW w:w="657" w:type="dxa"/>
          </w:tcPr>
          <w:p w14:paraId="000000C7">
            <w:pPr>
              <w:spacing w:after="0"/>
              <w:jc w:val="center"/>
              <w:rPr>
                <w:rFonts w:asciiTheme="majorHAnsi" w:hAnsiTheme="majorHAnsi"/>
              </w:rPr>
            </w:pPr>
            <w:r>
              <w:rPr>
                <w:rFonts w:asciiTheme="majorHAnsi" w:eastAsia="MS Gothic" w:hAnsiTheme="majorHAnsi"/>
              </w:rPr>
              <w:t>☐</w:t>
            </w:r>
          </w:p>
        </w:tc>
      </w:tr>
      <w:tr>
        <w:trPr/>
        <w:tc>
          <w:tcPr>
            <w:cnfStyle w:val="001000100000"/>
            <w:tcW w:w="4385" w:type="dxa"/>
          </w:tcPr>
          <w:p w14:paraId="000000C8">
            <w:pPr>
              <w:spacing w:after="0"/>
              <w:rPr>
                <w:rFonts w:asciiTheme="majorHAnsi" w:hAnsiTheme="majorHAnsi"/>
                <w:sz w:val="20"/>
                <w:szCs w:val="20"/>
              </w:rPr>
            </w:pPr>
            <w:r>
              <w:rPr>
                <w:rFonts w:asciiTheme="majorHAnsi" w:hAnsiTheme="majorHAnsi"/>
                <w:sz w:val="20"/>
                <w:szCs w:val="20"/>
              </w:rPr>
              <w:t xml:space="preserve">Management of meter installation on your behalf </w:t>
            </w:r>
          </w:p>
        </w:tc>
        <w:tc>
          <w:tcPr>
            <w:cnfStyle w:val="000000100000"/>
            <w:tcW w:w="1701" w:type="dxa"/>
          </w:tcPr>
          <w:p w14:paraId="000000C9">
            <w:pPr>
              <w:spacing w:after="0"/>
              <w:rPr>
                <w:rFonts w:asciiTheme="majorHAnsi" w:hAnsiTheme="majorHAnsi"/>
              </w:rPr>
            </w:pPr>
          </w:p>
        </w:tc>
        <w:tc>
          <w:tcPr>
            <w:cnfStyle w:val="000000100000"/>
            <w:tcW w:w="1134" w:type="dxa"/>
          </w:tcPr>
          <w:p w14:paraId="000000CA">
            <w:pPr>
              <w:spacing w:after="0"/>
              <w:jc w:val="center"/>
              <w:rPr>
                <w:rFonts w:asciiTheme="majorHAnsi" w:hAnsiTheme="majorHAnsi"/>
              </w:rPr>
            </w:pPr>
            <w:r>
              <w:rPr>
                <w:rFonts w:asciiTheme="majorHAnsi" w:eastAsia="MS Gothic" w:hAnsiTheme="majorHAnsi"/>
              </w:rPr>
              <w:t>☐</w:t>
            </w:r>
          </w:p>
        </w:tc>
        <w:tc>
          <w:tcPr>
            <w:cnfStyle w:val="000000100000"/>
            <w:tcW w:w="1139" w:type="dxa"/>
          </w:tcPr>
          <w:p w14:paraId="000000CB">
            <w:pPr>
              <w:spacing w:after="0"/>
              <w:jc w:val="center"/>
              <w:rPr>
                <w:rFonts w:asciiTheme="majorHAnsi" w:hAnsiTheme="majorHAnsi"/>
              </w:rPr>
            </w:pPr>
            <w:r>
              <w:rPr>
                <w:rFonts w:ascii="MS Gothic" w:eastAsia="MS Gothic" w:hAnsi="MS Gothic" w:hint="eastAsia"/>
              </w:rPr>
              <w:t>☐</w:t>
            </w:r>
          </w:p>
        </w:tc>
        <w:tc>
          <w:tcPr>
            <w:cnfStyle w:val="000000100000"/>
            <w:tcW w:w="657" w:type="dxa"/>
          </w:tcPr>
          <w:p w14:paraId="000000CC">
            <w:pPr>
              <w:spacing w:after="0"/>
              <w:jc w:val="center"/>
              <w:rPr>
                <w:rFonts w:asciiTheme="majorHAnsi" w:hAnsiTheme="majorHAnsi"/>
              </w:rPr>
            </w:pPr>
            <w:r>
              <w:rPr>
                <w:rFonts w:asciiTheme="majorHAnsi" w:eastAsia="MS Gothic" w:hAnsiTheme="majorHAnsi"/>
              </w:rPr>
              <w:t>☐</w:t>
            </w:r>
          </w:p>
        </w:tc>
      </w:tr>
      <w:tr>
        <w:trPr/>
        <w:tc>
          <w:tcPr>
            <w:cnfStyle w:val="001000010000"/>
            <w:tcW w:w="4385" w:type="dxa"/>
          </w:tcPr>
          <w:p w14:paraId="000000CD">
            <w:pPr>
              <w:spacing w:after="0"/>
              <w:rPr>
                <w:rFonts w:asciiTheme="majorHAnsi" w:hAnsiTheme="majorHAnsi"/>
                <w:sz w:val="20"/>
                <w:szCs w:val="20"/>
              </w:rPr>
            </w:pPr>
            <w:r>
              <w:rPr>
                <w:rFonts w:asciiTheme="majorHAnsi" w:hAnsiTheme="majorHAnsi"/>
                <w:sz w:val="20"/>
                <w:szCs w:val="20"/>
              </w:rPr>
              <w:t>Substation plant</w:t>
            </w:r>
          </w:p>
        </w:tc>
        <w:tc>
          <w:tcPr>
            <w:cnfStyle w:val="000000010000"/>
            <w:tcW w:w="1701" w:type="dxa"/>
          </w:tcPr>
          <w:p w14:paraId="000000CE">
            <w:pPr>
              <w:spacing w:after="0"/>
              <w:rPr>
                <w:rFonts w:asciiTheme="majorHAnsi" w:hAnsiTheme="majorHAnsi"/>
              </w:rPr>
            </w:pPr>
          </w:p>
        </w:tc>
        <w:tc>
          <w:tcPr>
            <w:cnfStyle w:val="000000010000"/>
            <w:tcW w:w="1134" w:type="dxa"/>
          </w:tcPr>
          <w:p w14:paraId="000000CF">
            <w:pPr>
              <w:spacing w:after="0"/>
              <w:jc w:val="center"/>
              <w:rPr>
                <w:rFonts w:asciiTheme="majorHAnsi" w:hAnsiTheme="majorHAnsi"/>
              </w:rPr>
            </w:pPr>
            <w:r>
              <w:rPr>
                <w:rFonts w:asciiTheme="majorHAnsi" w:eastAsia="MS Gothic" w:hAnsiTheme="majorHAnsi"/>
              </w:rPr>
              <w:t>☐</w:t>
            </w:r>
          </w:p>
        </w:tc>
        <w:tc>
          <w:tcPr>
            <w:cnfStyle w:val="000000010000"/>
            <w:tcW w:w="1139" w:type="dxa"/>
          </w:tcPr>
          <w:p w14:paraId="000000D0">
            <w:pPr>
              <w:spacing w:after="0"/>
              <w:jc w:val="center"/>
              <w:rPr>
                <w:rFonts w:asciiTheme="majorHAnsi" w:hAnsiTheme="majorHAnsi"/>
              </w:rPr>
            </w:pPr>
            <w:r>
              <w:rPr>
                <w:rFonts w:asciiTheme="majorHAnsi" w:eastAsia="MS Gothic" w:hAnsiTheme="majorHAnsi"/>
              </w:rPr>
              <w:t>☐</w:t>
            </w:r>
          </w:p>
        </w:tc>
        <w:tc>
          <w:tcPr>
            <w:cnfStyle w:val="000000010000"/>
            <w:tcW w:w="657" w:type="dxa"/>
          </w:tcPr>
          <w:p w14:paraId="000000D1">
            <w:pPr>
              <w:spacing w:after="0"/>
              <w:jc w:val="center"/>
              <w:rPr>
                <w:rFonts w:asciiTheme="majorHAnsi" w:hAnsiTheme="majorHAnsi"/>
              </w:rPr>
            </w:pPr>
            <w:r>
              <w:rPr>
                <w:rFonts w:ascii="MS Gothic" w:eastAsia="MS Gothic" w:hAnsi="MS Gothic" w:hint="eastAsia"/>
              </w:rPr>
              <w:t>☐</w:t>
            </w:r>
          </w:p>
        </w:tc>
      </w:tr>
      <w:tr>
        <w:trPr/>
        <w:tc>
          <w:tcPr>
            <w:cnfStyle w:val="001000100000"/>
            <w:tcW w:w="4385" w:type="dxa"/>
          </w:tcPr>
          <w:p w14:paraId="000000D2">
            <w:pPr>
              <w:spacing w:after="0"/>
              <w:rPr>
                <w:rFonts w:asciiTheme="majorHAnsi" w:hAnsiTheme="majorHAnsi"/>
                <w:sz w:val="20"/>
                <w:szCs w:val="20"/>
              </w:rPr>
            </w:pPr>
            <w:r>
              <w:rPr>
                <w:rFonts w:asciiTheme="majorHAnsi" w:hAnsiTheme="majorHAnsi"/>
                <w:sz w:val="20"/>
                <w:szCs w:val="20"/>
              </w:rPr>
              <w:t>Substation enclosure</w:t>
            </w:r>
          </w:p>
        </w:tc>
        <w:tc>
          <w:tcPr>
            <w:cnfStyle w:val="000000100000"/>
            <w:tcW w:w="1701" w:type="dxa"/>
          </w:tcPr>
          <w:p w14:paraId="000000D3">
            <w:pPr>
              <w:spacing w:after="0"/>
              <w:rPr>
                <w:rFonts w:asciiTheme="majorHAnsi" w:hAnsiTheme="majorHAnsi"/>
              </w:rPr>
            </w:pPr>
          </w:p>
        </w:tc>
        <w:tc>
          <w:tcPr>
            <w:cnfStyle w:val="000000100000"/>
            <w:tcW w:w="1134" w:type="dxa"/>
          </w:tcPr>
          <w:p w14:paraId="000000D4">
            <w:pPr>
              <w:spacing w:after="0"/>
              <w:jc w:val="center"/>
              <w:rPr>
                <w:rFonts w:asciiTheme="majorHAnsi" w:hAnsiTheme="majorHAnsi"/>
              </w:rPr>
            </w:pPr>
            <w:r>
              <w:rPr>
                <w:rFonts w:asciiTheme="majorHAnsi" w:eastAsia="MS Gothic" w:hAnsiTheme="majorHAnsi"/>
              </w:rPr>
              <w:t>☐</w:t>
            </w:r>
          </w:p>
        </w:tc>
        <w:tc>
          <w:tcPr>
            <w:cnfStyle w:val="000000100000"/>
            <w:tcW w:w="1139" w:type="dxa"/>
          </w:tcPr>
          <w:p w14:paraId="000000D5">
            <w:pPr>
              <w:spacing w:after="0"/>
              <w:jc w:val="center"/>
              <w:rPr>
                <w:rFonts w:asciiTheme="majorHAnsi" w:hAnsiTheme="majorHAnsi"/>
              </w:rPr>
            </w:pPr>
            <w:r>
              <w:rPr>
                <w:rFonts w:asciiTheme="majorHAnsi" w:eastAsia="MS Gothic" w:hAnsiTheme="majorHAnsi"/>
              </w:rPr>
              <w:t>☐</w:t>
            </w:r>
          </w:p>
        </w:tc>
        <w:tc>
          <w:tcPr>
            <w:cnfStyle w:val="000000100000"/>
            <w:tcW w:w="657" w:type="dxa"/>
          </w:tcPr>
          <w:p w14:paraId="000000D6">
            <w:pPr>
              <w:spacing w:after="0"/>
              <w:jc w:val="center"/>
              <w:rPr>
                <w:rFonts w:asciiTheme="majorHAnsi" w:hAnsiTheme="majorHAnsi"/>
              </w:rPr>
            </w:pPr>
            <w:r>
              <w:rPr>
                <w:rFonts w:ascii="MS Gothic" w:eastAsia="MS Gothic" w:hAnsi="MS Gothic" w:hint="eastAsia"/>
              </w:rPr>
              <w:t>☐</w:t>
            </w:r>
          </w:p>
        </w:tc>
      </w:tr>
      <w:tr>
        <w:trPr/>
        <w:tc>
          <w:tcPr>
            <w:cnfStyle w:val="001000010000"/>
            <w:tcW w:w="4385" w:type="dxa"/>
          </w:tcPr>
          <w:p w14:paraId="000000D7">
            <w:pPr>
              <w:spacing w:after="0"/>
              <w:rPr>
                <w:rFonts w:asciiTheme="majorHAnsi" w:hAnsiTheme="majorHAnsi"/>
                <w:sz w:val="20"/>
                <w:szCs w:val="20"/>
              </w:rPr>
            </w:pPr>
            <w:r>
              <w:rPr>
                <w:rFonts w:asciiTheme="majorHAnsi" w:hAnsiTheme="majorHAnsi"/>
                <w:sz w:val="20"/>
                <w:szCs w:val="20"/>
              </w:rPr>
              <w:t>Substation plinth construction</w:t>
            </w:r>
          </w:p>
        </w:tc>
        <w:tc>
          <w:tcPr>
            <w:cnfStyle w:val="000000010000"/>
            <w:tcW w:w="1701" w:type="dxa"/>
          </w:tcPr>
          <w:p w14:paraId="000000D8">
            <w:pPr>
              <w:spacing w:after="0"/>
              <w:rPr>
                <w:rFonts w:asciiTheme="majorHAnsi" w:hAnsiTheme="majorHAnsi"/>
              </w:rPr>
            </w:pPr>
          </w:p>
        </w:tc>
        <w:tc>
          <w:tcPr>
            <w:cnfStyle w:val="000000010000"/>
            <w:tcW w:w="1134" w:type="dxa"/>
          </w:tcPr>
          <w:p w14:paraId="000000D9">
            <w:pPr>
              <w:spacing w:after="0"/>
              <w:jc w:val="center"/>
              <w:rPr>
                <w:rFonts w:asciiTheme="majorHAnsi" w:hAnsiTheme="majorHAnsi"/>
              </w:rPr>
            </w:pPr>
            <w:r>
              <w:rPr>
                <w:rFonts w:asciiTheme="majorHAnsi" w:eastAsia="MS Gothic" w:hAnsiTheme="majorHAnsi"/>
              </w:rPr>
              <w:t>☐</w:t>
            </w:r>
          </w:p>
        </w:tc>
        <w:tc>
          <w:tcPr>
            <w:cnfStyle w:val="000000010000"/>
            <w:tcW w:w="1139" w:type="dxa"/>
          </w:tcPr>
          <w:p w14:paraId="000000DA">
            <w:pPr>
              <w:spacing w:after="0"/>
              <w:jc w:val="center"/>
              <w:rPr>
                <w:rFonts w:asciiTheme="majorHAnsi" w:hAnsiTheme="majorHAnsi"/>
              </w:rPr>
            </w:pPr>
            <w:r>
              <w:rPr>
                <w:rFonts w:asciiTheme="majorHAnsi" w:eastAsia="MS Gothic" w:hAnsiTheme="majorHAnsi"/>
              </w:rPr>
              <w:t>☐</w:t>
            </w:r>
          </w:p>
        </w:tc>
        <w:tc>
          <w:tcPr>
            <w:cnfStyle w:val="000000010000"/>
            <w:tcW w:w="657" w:type="dxa"/>
          </w:tcPr>
          <w:p w14:paraId="000000DB">
            <w:pPr>
              <w:spacing w:after="0"/>
              <w:jc w:val="center"/>
              <w:rPr>
                <w:rFonts w:asciiTheme="majorHAnsi" w:hAnsiTheme="majorHAnsi"/>
              </w:rPr>
            </w:pPr>
            <w:r>
              <w:rPr>
                <w:rFonts w:ascii="MS Gothic" w:eastAsia="MS Gothic" w:hAnsi="MS Gothic" w:hint="eastAsia"/>
              </w:rPr>
              <w:t>☐</w:t>
            </w:r>
          </w:p>
        </w:tc>
      </w:tr>
      <w:tr>
        <w:trPr/>
        <w:tc>
          <w:tcPr>
            <w:cnfStyle w:val="001000100000"/>
            <w:tcW w:w="4385" w:type="dxa"/>
          </w:tcPr>
          <w:p w14:paraId="000000DC">
            <w:pPr>
              <w:spacing w:after="0"/>
              <w:rPr>
                <w:rFonts w:asciiTheme="majorHAnsi" w:hAnsiTheme="majorHAnsi"/>
                <w:sz w:val="20"/>
                <w:szCs w:val="20"/>
              </w:rPr>
            </w:pPr>
            <w:r>
              <w:rPr>
                <w:rFonts w:asciiTheme="majorHAnsi" w:hAnsiTheme="majorHAnsi"/>
                <w:sz w:val="20"/>
                <w:szCs w:val="20"/>
              </w:rPr>
              <w:t>Substation earthing study</w:t>
            </w:r>
          </w:p>
        </w:tc>
        <w:tc>
          <w:tcPr>
            <w:cnfStyle w:val="000000100000"/>
            <w:tcW w:w="1701" w:type="dxa"/>
          </w:tcPr>
          <w:p w14:paraId="000000DD">
            <w:pPr>
              <w:spacing w:after="0"/>
              <w:rPr>
                <w:rFonts w:asciiTheme="majorHAnsi" w:hAnsiTheme="majorHAnsi"/>
              </w:rPr>
            </w:pPr>
          </w:p>
        </w:tc>
        <w:tc>
          <w:tcPr>
            <w:cnfStyle w:val="000000100000"/>
            <w:tcW w:w="1134" w:type="dxa"/>
          </w:tcPr>
          <w:p w14:paraId="000000DE">
            <w:pPr>
              <w:spacing w:after="0"/>
              <w:jc w:val="center"/>
              <w:rPr>
                <w:rFonts w:asciiTheme="majorHAnsi" w:hAnsiTheme="majorHAnsi"/>
              </w:rPr>
            </w:pPr>
            <w:r>
              <w:rPr>
                <w:rFonts w:asciiTheme="majorHAnsi" w:eastAsia="MS Gothic" w:hAnsiTheme="majorHAnsi"/>
              </w:rPr>
              <w:t>☐</w:t>
            </w:r>
          </w:p>
        </w:tc>
        <w:tc>
          <w:tcPr>
            <w:cnfStyle w:val="000000100000"/>
            <w:tcW w:w="1139" w:type="dxa"/>
          </w:tcPr>
          <w:p w14:paraId="000000DF">
            <w:pPr>
              <w:spacing w:after="0"/>
              <w:jc w:val="center"/>
              <w:rPr>
                <w:rFonts w:asciiTheme="majorHAnsi" w:hAnsiTheme="majorHAnsi"/>
              </w:rPr>
            </w:pPr>
            <w:r>
              <w:rPr>
                <w:rFonts w:asciiTheme="majorHAnsi" w:eastAsia="MS Gothic" w:hAnsiTheme="majorHAnsi"/>
              </w:rPr>
              <w:t>☐</w:t>
            </w:r>
          </w:p>
        </w:tc>
        <w:tc>
          <w:tcPr>
            <w:cnfStyle w:val="000000100000"/>
            <w:tcW w:w="657" w:type="dxa"/>
          </w:tcPr>
          <w:p w14:paraId="000000E0">
            <w:pPr>
              <w:spacing w:after="0"/>
              <w:jc w:val="center"/>
              <w:rPr>
                <w:rFonts w:asciiTheme="majorHAnsi" w:hAnsiTheme="majorHAnsi"/>
              </w:rPr>
            </w:pPr>
            <w:r>
              <w:rPr>
                <w:rFonts w:ascii="MS Gothic" w:eastAsia="MS Gothic" w:hAnsi="MS Gothic" w:hint="eastAsia"/>
              </w:rPr>
              <w:t>☐</w:t>
            </w:r>
          </w:p>
        </w:tc>
      </w:tr>
      <w:tr>
        <w:trPr/>
        <w:tc>
          <w:tcPr>
            <w:cnfStyle w:val="001000010000"/>
            <w:tcW w:w="4385" w:type="dxa"/>
          </w:tcPr>
          <w:p w14:paraId="000000E1">
            <w:pPr>
              <w:spacing w:after="0"/>
              <w:rPr>
                <w:rFonts w:asciiTheme="majorHAnsi" w:hAnsiTheme="majorHAnsi"/>
                <w:sz w:val="20"/>
                <w:szCs w:val="20"/>
              </w:rPr>
            </w:pPr>
            <w:r>
              <w:rPr>
                <w:rFonts w:asciiTheme="majorHAnsi" w:hAnsiTheme="majorHAnsi"/>
                <w:sz w:val="20"/>
                <w:szCs w:val="20"/>
              </w:rPr>
              <w:t>Temp electric supply (on site off new mains)</w:t>
            </w:r>
          </w:p>
        </w:tc>
        <w:tc>
          <w:tcPr>
            <w:cnfStyle w:val="000000010000"/>
            <w:tcW w:w="1701" w:type="dxa"/>
          </w:tcPr>
          <w:p w14:paraId="000000E2">
            <w:pPr>
              <w:spacing w:after="0"/>
              <w:rPr>
                <w:rFonts w:asciiTheme="majorHAnsi" w:hAnsiTheme="majorHAnsi"/>
              </w:rPr>
            </w:pPr>
          </w:p>
        </w:tc>
        <w:tc>
          <w:tcPr>
            <w:cnfStyle w:val="000000010000"/>
            <w:tcW w:w="1134" w:type="dxa"/>
          </w:tcPr>
          <w:p w14:paraId="000000E3">
            <w:pPr>
              <w:spacing w:after="0"/>
              <w:jc w:val="center"/>
              <w:rPr>
                <w:rFonts w:asciiTheme="majorHAnsi" w:hAnsiTheme="majorHAnsi"/>
              </w:rPr>
            </w:pPr>
            <w:r>
              <w:rPr>
                <w:rFonts w:asciiTheme="majorHAnsi" w:eastAsia="MS Gothic" w:hAnsiTheme="majorHAnsi"/>
              </w:rPr>
              <w:t>☐</w:t>
            </w:r>
          </w:p>
        </w:tc>
        <w:tc>
          <w:tcPr>
            <w:cnfStyle w:val="000000010000"/>
            <w:tcW w:w="1139" w:type="dxa"/>
          </w:tcPr>
          <w:p w14:paraId="000000E4">
            <w:pPr>
              <w:spacing w:after="0"/>
              <w:jc w:val="center"/>
              <w:rPr>
                <w:rFonts w:asciiTheme="majorHAnsi" w:hAnsiTheme="majorHAnsi"/>
              </w:rPr>
            </w:pPr>
            <w:r>
              <w:rPr>
                <w:rFonts w:asciiTheme="majorHAnsi" w:eastAsia="MS Gothic" w:hAnsiTheme="majorHAnsi"/>
              </w:rPr>
              <w:t>☐</w:t>
            </w:r>
          </w:p>
        </w:tc>
        <w:tc>
          <w:tcPr>
            <w:cnfStyle w:val="000000010000"/>
            <w:tcW w:w="657" w:type="dxa"/>
          </w:tcPr>
          <w:p w14:paraId="000000E5">
            <w:pPr>
              <w:spacing w:after="0"/>
              <w:jc w:val="center"/>
              <w:rPr>
                <w:rFonts w:asciiTheme="majorHAnsi" w:hAnsiTheme="majorHAnsi"/>
              </w:rPr>
            </w:pPr>
            <w:r>
              <w:rPr>
                <w:rFonts w:ascii="MS Gothic" w:eastAsia="MS Gothic" w:hAnsi="MS Gothic" w:hint="eastAsia"/>
              </w:rPr>
              <w:t>☐</w:t>
            </w:r>
          </w:p>
        </w:tc>
      </w:tr>
      <w:tr>
        <w:trPr/>
        <w:tc>
          <w:tcPr>
            <w:cnfStyle w:val="001000100000"/>
            <w:tcW w:w="4385" w:type="dxa"/>
          </w:tcPr>
          <w:p w14:paraId="000000E6">
            <w:pPr>
              <w:spacing w:after="0"/>
              <w:rPr>
                <w:rFonts w:asciiTheme="majorHAnsi" w:hAnsiTheme="majorHAnsi"/>
                <w:sz w:val="20"/>
                <w:szCs w:val="20"/>
              </w:rPr>
            </w:pPr>
            <w:r>
              <w:rPr>
                <w:rFonts w:asciiTheme="majorHAnsi" w:hAnsiTheme="majorHAnsi"/>
                <w:sz w:val="20"/>
                <w:szCs w:val="20"/>
              </w:rPr>
              <w:t>Temp electric supply (off site off existing mains)</w:t>
            </w:r>
          </w:p>
        </w:tc>
        <w:tc>
          <w:tcPr>
            <w:cnfStyle w:val="000000100000"/>
            <w:tcW w:w="1701" w:type="dxa"/>
          </w:tcPr>
          <w:p w14:paraId="000000E7">
            <w:pPr>
              <w:spacing w:after="0"/>
              <w:rPr>
                <w:rFonts w:asciiTheme="majorHAnsi" w:hAnsiTheme="majorHAnsi"/>
              </w:rPr>
            </w:pPr>
          </w:p>
        </w:tc>
        <w:tc>
          <w:tcPr>
            <w:cnfStyle w:val="000000100000"/>
            <w:tcW w:w="1134" w:type="dxa"/>
          </w:tcPr>
          <w:p w14:paraId="000000E8">
            <w:pPr>
              <w:spacing w:after="0"/>
              <w:jc w:val="center"/>
              <w:rPr>
                <w:rFonts w:asciiTheme="majorHAnsi" w:hAnsiTheme="majorHAnsi"/>
              </w:rPr>
            </w:pPr>
            <w:r>
              <w:rPr>
                <w:rFonts w:asciiTheme="majorHAnsi" w:eastAsia="MS Gothic" w:hAnsiTheme="majorHAnsi"/>
              </w:rPr>
              <w:t>☐</w:t>
            </w:r>
          </w:p>
        </w:tc>
        <w:tc>
          <w:tcPr>
            <w:cnfStyle w:val="000000100000"/>
            <w:tcW w:w="1139" w:type="dxa"/>
          </w:tcPr>
          <w:p w14:paraId="000000E9">
            <w:pPr>
              <w:spacing w:after="0"/>
              <w:jc w:val="center"/>
              <w:rPr>
                <w:rFonts w:asciiTheme="majorHAnsi" w:hAnsiTheme="majorHAnsi"/>
              </w:rPr>
            </w:pPr>
            <w:r>
              <w:rPr>
                <w:rFonts w:asciiTheme="majorHAnsi" w:eastAsia="MS Gothic" w:hAnsiTheme="majorHAnsi"/>
              </w:rPr>
              <w:t>☐</w:t>
            </w:r>
          </w:p>
        </w:tc>
        <w:tc>
          <w:tcPr>
            <w:cnfStyle w:val="000000100000"/>
            <w:tcW w:w="657" w:type="dxa"/>
          </w:tcPr>
          <w:p w14:paraId="000000EA">
            <w:pPr>
              <w:spacing w:after="0"/>
              <w:jc w:val="center"/>
              <w:rPr>
                <w:rFonts w:asciiTheme="majorHAnsi" w:hAnsiTheme="majorHAnsi"/>
              </w:rPr>
            </w:pPr>
            <w:r>
              <w:rPr>
                <w:rFonts w:ascii="MS Gothic" w:eastAsia="MS Gothic" w:hAnsi="MS Gothic" w:hint="eastAsia"/>
              </w:rPr>
              <w:t>☐</w:t>
            </w:r>
          </w:p>
        </w:tc>
      </w:tr>
      <w:tr>
        <w:trPr/>
        <w:tc>
          <w:tcPr>
            <w:cnfStyle w:val="001000010000"/>
            <w:tcW w:w="4385" w:type="dxa"/>
          </w:tcPr>
          <w:p w14:paraId="000000EB">
            <w:pPr>
              <w:spacing w:after="0"/>
              <w:rPr>
                <w:rFonts w:asciiTheme="majorHAnsi" w:hAnsiTheme="majorHAnsi"/>
                <w:sz w:val="20"/>
                <w:szCs w:val="20"/>
              </w:rPr>
            </w:pPr>
            <w:r>
              <w:rPr>
                <w:rFonts w:asciiTheme="majorHAnsi" w:hAnsiTheme="majorHAnsi"/>
                <w:sz w:val="20"/>
                <w:szCs w:val="20"/>
              </w:rPr>
              <w:t xml:space="preserve">Temp kiosk/termination point – provision and install </w:t>
            </w:r>
          </w:p>
        </w:tc>
        <w:tc>
          <w:tcPr>
            <w:cnfStyle w:val="000000010000"/>
            <w:tcW w:w="1701" w:type="dxa"/>
          </w:tcPr>
          <w:p w14:paraId="000000EC">
            <w:pPr>
              <w:spacing w:after="0"/>
              <w:rPr>
                <w:rFonts w:asciiTheme="majorHAnsi" w:hAnsiTheme="majorHAnsi"/>
              </w:rPr>
            </w:pPr>
          </w:p>
        </w:tc>
        <w:tc>
          <w:tcPr>
            <w:cnfStyle w:val="000000010000"/>
            <w:tcW w:w="1134" w:type="dxa"/>
          </w:tcPr>
          <w:p w14:paraId="000000ED">
            <w:pPr>
              <w:spacing w:after="0"/>
              <w:jc w:val="center"/>
              <w:rPr>
                <w:rFonts w:asciiTheme="majorHAnsi" w:hAnsiTheme="majorHAnsi"/>
              </w:rPr>
            </w:pPr>
            <w:r>
              <w:rPr>
                <w:rFonts w:asciiTheme="majorHAnsi" w:eastAsia="MS Gothic" w:hAnsiTheme="majorHAnsi"/>
              </w:rPr>
              <w:t>☐</w:t>
            </w:r>
          </w:p>
        </w:tc>
        <w:tc>
          <w:tcPr>
            <w:cnfStyle w:val="000000010000"/>
            <w:tcW w:w="1139" w:type="dxa"/>
          </w:tcPr>
          <w:p w14:paraId="000000EE">
            <w:pPr>
              <w:spacing w:after="0"/>
              <w:jc w:val="center"/>
              <w:rPr>
                <w:rFonts w:asciiTheme="majorHAnsi" w:hAnsiTheme="majorHAnsi"/>
              </w:rPr>
            </w:pPr>
            <w:r>
              <w:rPr>
                <w:rFonts w:asciiTheme="majorHAnsi" w:eastAsia="MS Gothic" w:hAnsiTheme="majorHAnsi"/>
              </w:rPr>
              <w:t>☐</w:t>
            </w:r>
          </w:p>
        </w:tc>
        <w:tc>
          <w:tcPr>
            <w:cnfStyle w:val="000000010000"/>
            <w:tcW w:w="657" w:type="dxa"/>
          </w:tcPr>
          <w:p w14:paraId="000000EF">
            <w:pPr>
              <w:spacing w:after="0"/>
              <w:jc w:val="center"/>
              <w:rPr>
                <w:rFonts w:asciiTheme="majorHAnsi" w:hAnsiTheme="majorHAnsi"/>
              </w:rPr>
            </w:pPr>
            <w:r>
              <w:rPr>
                <w:rFonts w:ascii="MS Gothic" w:eastAsia="MS Gothic" w:hAnsi="MS Gothic" w:hint="eastAsia"/>
              </w:rPr>
              <w:t>☐</w:t>
            </w:r>
          </w:p>
        </w:tc>
      </w:tr>
      <w:tr>
        <w:trPr/>
        <w:tc>
          <w:tcPr>
            <w:cnfStyle w:val="001000100000"/>
            <w:tcW w:w="4385" w:type="dxa"/>
          </w:tcPr>
          <w:p w14:paraId="000000F0">
            <w:pPr>
              <w:spacing w:after="0"/>
              <w:rPr>
                <w:rFonts w:asciiTheme="majorHAnsi" w:hAnsiTheme="majorHAnsi"/>
                <w:sz w:val="20"/>
                <w:szCs w:val="20"/>
              </w:rPr>
            </w:pPr>
            <w:r>
              <w:rPr>
                <w:rFonts w:asciiTheme="majorHAnsi" w:hAnsiTheme="majorHAnsi"/>
                <w:sz w:val="20"/>
                <w:szCs w:val="20"/>
              </w:rPr>
              <w:t>Interim LV supply (pre-substation energisation supply)</w:t>
            </w:r>
          </w:p>
        </w:tc>
        <w:tc>
          <w:tcPr>
            <w:cnfStyle w:val="000000100000"/>
            <w:tcW w:w="1701" w:type="dxa"/>
          </w:tcPr>
          <w:p w14:paraId="000000F1">
            <w:pPr>
              <w:spacing w:after="0"/>
              <w:rPr>
                <w:rFonts w:asciiTheme="majorHAnsi" w:hAnsiTheme="majorHAnsi"/>
              </w:rPr>
            </w:pPr>
          </w:p>
        </w:tc>
        <w:tc>
          <w:tcPr>
            <w:cnfStyle w:val="000000100000"/>
            <w:tcW w:w="1134" w:type="dxa"/>
          </w:tcPr>
          <w:p w14:paraId="000000F2">
            <w:pPr>
              <w:spacing w:after="0"/>
              <w:jc w:val="center"/>
              <w:rPr>
                <w:rFonts w:asciiTheme="majorHAnsi" w:hAnsiTheme="majorHAnsi"/>
              </w:rPr>
            </w:pPr>
            <w:r>
              <w:rPr>
                <w:rFonts w:asciiTheme="majorHAnsi" w:eastAsia="MS Gothic" w:hAnsiTheme="majorHAnsi"/>
              </w:rPr>
              <w:t>☐</w:t>
            </w:r>
          </w:p>
        </w:tc>
        <w:tc>
          <w:tcPr>
            <w:cnfStyle w:val="000000100000"/>
            <w:tcW w:w="1139" w:type="dxa"/>
          </w:tcPr>
          <w:p w14:paraId="000000F3">
            <w:pPr>
              <w:spacing w:after="0"/>
              <w:jc w:val="center"/>
              <w:rPr>
                <w:rFonts w:asciiTheme="majorHAnsi" w:hAnsiTheme="majorHAnsi"/>
              </w:rPr>
            </w:pPr>
            <w:r>
              <w:rPr>
                <w:rFonts w:asciiTheme="majorHAnsi" w:eastAsia="MS Gothic" w:hAnsiTheme="majorHAnsi"/>
              </w:rPr>
              <w:t>☐</w:t>
            </w:r>
          </w:p>
        </w:tc>
        <w:tc>
          <w:tcPr>
            <w:cnfStyle w:val="000000100000"/>
            <w:tcW w:w="657" w:type="dxa"/>
          </w:tcPr>
          <w:p w14:paraId="000000F4">
            <w:pPr>
              <w:spacing w:after="0"/>
              <w:jc w:val="center"/>
              <w:rPr>
                <w:rFonts w:asciiTheme="majorHAnsi" w:hAnsiTheme="majorHAnsi"/>
              </w:rPr>
            </w:pPr>
            <w:r>
              <w:rPr>
                <w:rFonts w:ascii="MS Gothic" w:eastAsia="MS Gothic" w:hAnsi="MS Gothic" w:hint="eastAsia"/>
              </w:rPr>
              <w:t>☐</w:t>
            </w:r>
          </w:p>
        </w:tc>
      </w:tr>
      <w:tr>
        <w:trPr/>
        <w:tc>
          <w:tcPr>
            <w:cnfStyle w:val="001000010000"/>
            <w:tcW w:w="4385" w:type="dxa"/>
          </w:tcPr>
          <w:p w14:paraId="000000F5">
            <w:pPr>
              <w:spacing w:after="0"/>
              <w:rPr>
                <w:rFonts w:asciiTheme="majorHAnsi" w:hAnsiTheme="majorHAnsi"/>
                <w:sz w:val="20"/>
                <w:szCs w:val="20"/>
              </w:rPr>
            </w:pPr>
            <w:r>
              <w:rPr>
                <w:rFonts w:asciiTheme="majorHAnsi" w:hAnsiTheme="majorHAnsi"/>
                <w:sz w:val="20"/>
                <w:szCs w:val="20"/>
              </w:rPr>
              <w:t xml:space="preserve">Pumping station supply </w:t>
            </w:r>
          </w:p>
        </w:tc>
        <w:tc>
          <w:tcPr>
            <w:cnfStyle w:val="000000010000"/>
            <w:tcW w:w="1701" w:type="dxa"/>
          </w:tcPr>
          <w:p w14:paraId="000000F6">
            <w:pPr>
              <w:spacing w:after="0"/>
              <w:rPr>
                <w:rFonts w:asciiTheme="majorHAnsi" w:hAnsiTheme="majorHAnsi"/>
              </w:rPr>
            </w:pPr>
          </w:p>
        </w:tc>
        <w:tc>
          <w:tcPr>
            <w:cnfStyle w:val="000000010000"/>
            <w:tcW w:w="1134" w:type="dxa"/>
          </w:tcPr>
          <w:p w14:paraId="000000F7">
            <w:pPr>
              <w:spacing w:after="0"/>
              <w:jc w:val="center"/>
              <w:rPr>
                <w:rFonts w:asciiTheme="majorHAnsi" w:hAnsiTheme="majorHAnsi"/>
              </w:rPr>
            </w:pPr>
            <w:r>
              <w:rPr>
                <w:rFonts w:asciiTheme="majorHAnsi" w:eastAsia="MS Gothic" w:hAnsiTheme="majorHAnsi"/>
              </w:rPr>
              <w:t>☐</w:t>
            </w:r>
          </w:p>
        </w:tc>
        <w:tc>
          <w:tcPr>
            <w:cnfStyle w:val="000000010000"/>
            <w:tcW w:w="1139" w:type="dxa"/>
          </w:tcPr>
          <w:p w14:paraId="000000F8">
            <w:pPr>
              <w:spacing w:after="0"/>
              <w:jc w:val="center"/>
              <w:rPr>
                <w:rFonts w:asciiTheme="majorHAnsi" w:hAnsiTheme="majorHAnsi"/>
              </w:rPr>
            </w:pPr>
            <w:r>
              <w:rPr>
                <w:rFonts w:asciiTheme="majorHAnsi" w:eastAsia="MS Gothic" w:hAnsiTheme="majorHAnsi"/>
              </w:rPr>
              <w:t>☐</w:t>
            </w:r>
          </w:p>
        </w:tc>
        <w:tc>
          <w:tcPr>
            <w:cnfStyle w:val="000000010000"/>
            <w:tcW w:w="657" w:type="dxa"/>
          </w:tcPr>
          <w:p w14:paraId="000000F9">
            <w:pPr>
              <w:spacing w:after="0"/>
              <w:jc w:val="center"/>
              <w:rPr>
                <w:rFonts w:asciiTheme="majorHAnsi" w:hAnsiTheme="majorHAnsi"/>
              </w:rPr>
            </w:pPr>
            <w:r>
              <w:rPr>
                <w:rFonts w:ascii="MS Gothic" w:eastAsia="MS Gothic" w:hAnsi="MS Gothic" w:hint="eastAsia"/>
              </w:rPr>
              <w:t>☐</w:t>
            </w:r>
          </w:p>
        </w:tc>
      </w:tr>
      <w:tr>
        <w:trPr/>
        <w:tc>
          <w:tcPr>
            <w:cnfStyle w:val="001000100000"/>
            <w:tcW w:w="4385" w:type="dxa"/>
          </w:tcPr>
          <w:p w14:paraId="000000FA">
            <w:pPr>
              <w:spacing w:after="0"/>
              <w:rPr>
                <w:rFonts w:asciiTheme="majorHAnsi" w:hAnsiTheme="majorHAnsi"/>
                <w:sz w:val="20"/>
                <w:szCs w:val="20"/>
              </w:rPr>
            </w:pPr>
            <w:r>
              <w:rPr>
                <w:rFonts w:asciiTheme="majorHAnsi" w:hAnsiTheme="majorHAnsi"/>
                <w:sz w:val="20"/>
                <w:szCs w:val="20"/>
              </w:rPr>
              <w:t>Multi occupancy supply install (MSDB, trunking and isolators)</w:t>
            </w:r>
          </w:p>
        </w:tc>
        <w:tc>
          <w:tcPr>
            <w:cnfStyle w:val="000000100000"/>
            <w:tcW w:w="1701" w:type="dxa"/>
          </w:tcPr>
          <w:p w14:paraId="000000FB">
            <w:pPr>
              <w:spacing w:after="0"/>
              <w:rPr>
                <w:rFonts w:asciiTheme="majorHAnsi" w:hAnsiTheme="majorHAnsi"/>
              </w:rPr>
            </w:pPr>
          </w:p>
        </w:tc>
        <w:tc>
          <w:tcPr>
            <w:cnfStyle w:val="000000100000"/>
            <w:tcW w:w="1134" w:type="dxa"/>
          </w:tcPr>
          <w:p w14:paraId="000000FC">
            <w:pPr>
              <w:spacing w:after="0"/>
              <w:jc w:val="center"/>
              <w:rPr>
                <w:rFonts w:asciiTheme="majorHAnsi" w:hAnsiTheme="majorHAnsi"/>
              </w:rPr>
            </w:pPr>
            <w:r>
              <w:rPr>
                <w:rFonts w:ascii="MS Gothic" w:eastAsia="MS Gothic" w:hAnsi="MS Gothic" w:hint="eastAsia"/>
              </w:rPr>
              <w:t>☐</w:t>
            </w:r>
          </w:p>
        </w:tc>
        <w:tc>
          <w:tcPr>
            <w:cnfStyle w:val="000000100000"/>
            <w:tcW w:w="1139" w:type="dxa"/>
          </w:tcPr>
          <w:p w14:paraId="000000FD">
            <w:pPr>
              <w:spacing w:after="0"/>
              <w:jc w:val="center"/>
              <w:rPr>
                <w:rFonts w:asciiTheme="majorHAnsi" w:hAnsiTheme="majorHAnsi"/>
              </w:rPr>
            </w:pPr>
            <w:r>
              <w:rPr>
                <w:rFonts w:asciiTheme="majorHAnsi" w:eastAsia="MS Gothic" w:hAnsiTheme="majorHAnsi"/>
              </w:rPr>
              <w:t>☐</w:t>
            </w:r>
          </w:p>
        </w:tc>
        <w:tc>
          <w:tcPr>
            <w:cnfStyle w:val="000000100000"/>
            <w:tcW w:w="657" w:type="dxa"/>
          </w:tcPr>
          <w:p w14:paraId="000000FE">
            <w:pPr>
              <w:spacing w:after="0"/>
              <w:jc w:val="center"/>
              <w:rPr>
                <w:rFonts w:asciiTheme="majorHAnsi" w:hAnsiTheme="majorHAnsi"/>
              </w:rPr>
            </w:pPr>
            <w:r>
              <w:rPr>
                <w:rFonts w:asciiTheme="majorHAnsi" w:eastAsia="MS Gothic" w:hAnsiTheme="majorHAnsi"/>
              </w:rPr>
              <w:t>☐</w:t>
            </w:r>
          </w:p>
        </w:tc>
      </w:tr>
      <w:tr>
        <w:trPr/>
        <w:tc>
          <w:tcPr>
            <w:cnfStyle w:val="001000010000"/>
            <w:tcW w:w="4385" w:type="dxa"/>
          </w:tcPr>
          <w:p w14:paraId="000000FF">
            <w:pPr>
              <w:spacing w:after="0"/>
              <w:rPr>
                <w:rFonts w:asciiTheme="majorHAnsi" w:hAnsiTheme="majorHAnsi"/>
                <w:sz w:val="20"/>
                <w:szCs w:val="20"/>
              </w:rPr>
            </w:pPr>
            <w:r>
              <w:rPr>
                <w:rFonts w:asciiTheme="majorHAnsi" w:hAnsiTheme="majorHAnsi"/>
                <w:sz w:val="20"/>
                <w:szCs w:val="20"/>
              </w:rPr>
              <w:t xml:space="preserve">EV Charging load allowance </w:t>
            </w:r>
          </w:p>
        </w:tc>
        <w:tc>
          <w:tcPr>
            <w:cnfStyle w:val="000000010000"/>
            <w:tcW w:w="1701" w:type="dxa"/>
          </w:tcPr>
          <w:p w14:paraId="00000100">
            <w:pPr>
              <w:spacing w:after="0"/>
              <w:rPr>
                <w:rFonts w:asciiTheme="majorHAnsi" w:hAnsiTheme="majorHAnsi"/>
              </w:rPr>
            </w:pPr>
          </w:p>
        </w:tc>
        <w:tc>
          <w:tcPr>
            <w:cnfStyle w:val="000000010000"/>
            <w:tcW w:w="1134" w:type="dxa"/>
          </w:tcPr>
          <w:p w14:paraId="00000101">
            <w:pPr>
              <w:spacing w:after="0"/>
              <w:jc w:val="center"/>
              <w:rPr>
                <w:rFonts w:asciiTheme="majorHAnsi" w:hAnsiTheme="majorHAnsi"/>
              </w:rPr>
            </w:pPr>
            <w:r>
              <w:rPr>
                <w:rFonts w:asciiTheme="majorHAnsi" w:eastAsia="MS Gothic" w:hAnsiTheme="majorHAnsi"/>
              </w:rPr>
              <w:t>☐</w:t>
            </w:r>
          </w:p>
        </w:tc>
        <w:tc>
          <w:tcPr>
            <w:cnfStyle w:val="000000010000"/>
            <w:tcW w:w="1139" w:type="dxa"/>
          </w:tcPr>
          <w:p w14:paraId="00000102">
            <w:pPr>
              <w:spacing w:after="0"/>
              <w:jc w:val="center"/>
              <w:rPr>
                <w:rFonts w:asciiTheme="majorHAnsi" w:hAnsiTheme="majorHAnsi"/>
              </w:rPr>
            </w:pPr>
            <w:r>
              <w:rPr>
                <w:rFonts w:ascii="MS Gothic" w:eastAsia="MS Gothic" w:hAnsi="MS Gothic" w:hint="eastAsia"/>
              </w:rPr>
              <w:t>☐</w:t>
            </w:r>
          </w:p>
        </w:tc>
        <w:tc>
          <w:tcPr>
            <w:cnfStyle w:val="000000010000"/>
            <w:tcW w:w="657" w:type="dxa"/>
          </w:tcPr>
          <w:p w14:paraId="00000103">
            <w:pPr>
              <w:spacing w:after="0"/>
              <w:jc w:val="center"/>
              <w:rPr>
                <w:rFonts w:asciiTheme="majorHAnsi" w:hAnsiTheme="majorHAnsi"/>
              </w:rPr>
            </w:pPr>
            <w:r>
              <w:rPr>
                <w:rFonts w:asciiTheme="majorHAnsi" w:eastAsia="MS Gothic" w:hAnsiTheme="majorHAnsi"/>
              </w:rPr>
              <w:t>☐</w:t>
            </w:r>
          </w:p>
        </w:tc>
      </w:tr>
      <w:tr>
        <w:trPr/>
        <w:tc>
          <w:tcPr>
            <w:cnfStyle w:val="001000100000"/>
            <w:tcW w:w="4385" w:type="dxa"/>
          </w:tcPr>
          <w:p w14:paraId="00000104">
            <w:pPr>
              <w:spacing w:after="0"/>
              <w:rPr>
                <w:rFonts w:asciiTheme="majorHAnsi" w:hAnsiTheme="majorHAnsi"/>
                <w:sz w:val="20"/>
                <w:szCs w:val="20"/>
              </w:rPr>
            </w:pPr>
            <w:r>
              <w:rPr>
                <w:rFonts w:asciiTheme="majorHAnsi" w:hAnsiTheme="majorHAnsi"/>
                <w:sz w:val="20"/>
                <w:szCs w:val="20"/>
              </w:rPr>
              <w:t>PV/generation device, allowance included in DNO application</w:t>
            </w:r>
          </w:p>
        </w:tc>
        <w:tc>
          <w:tcPr>
            <w:cnfStyle w:val="000000100000"/>
            <w:tcW w:w="1701" w:type="dxa"/>
          </w:tcPr>
          <w:p w14:paraId="00000105">
            <w:pPr>
              <w:spacing w:after="0"/>
              <w:rPr>
                <w:rFonts w:asciiTheme="majorHAnsi" w:hAnsiTheme="majorHAnsi"/>
              </w:rPr>
            </w:pPr>
          </w:p>
        </w:tc>
        <w:tc>
          <w:tcPr>
            <w:cnfStyle w:val="000000100000"/>
            <w:tcW w:w="1134" w:type="dxa"/>
          </w:tcPr>
          <w:p w14:paraId="00000106">
            <w:pPr>
              <w:spacing w:after="0"/>
              <w:jc w:val="center"/>
              <w:rPr>
                <w:rFonts w:asciiTheme="majorHAnsi" w:hAnsiTheme="majorHAnsi"/>
              </w:rPr>
            </w:pPr>
            <w:r>
              <w:rPr>
                <w:rFonts w:asciiTheme="majorHAnsi" w:eastAsia="MS Gothic" w:hAnsiTheme="majorHAnsi"/>
              </w:rPr>
              <w:t>☐</w:t>
            </w:r>
          </w:p>
        </w:tc>
        <w:tc>
          <w:tcPr>
            <w:cnfStyle w:val="000000100000"/>
            <w:tcW w:w="1139" w:type="dxa"/>
          </w:tcPr>
          <w:p w14:paraId="00000107">
            <w:pPr>
              <w:spacing w:after="0"/>
              <w:jc w:val="center"/>
              <w:rPr>
                <w:rFonts w:asciiTheme="majorHAnsi" w:hAnsiTheme="majorHAnsi"/>
              </w:rPr>
            </w:pPr>
            <w:r>
              <w:rPr>
                <w:rFonts w:ascii="MS Gothic" w:eastAsia="MS Gothic" w:hAnsi="MS Gothic" w:hint="eastAsia"/>
              </w:rPr>
              <w:t>☐</w:t>
            </w:r>
          </w:p>
        </w:tc>
        <w:tc>
          <w:tcPr>
            <w:cnfStyle w:val="000000100000"/>
            <w:tcW w:w="657" w:type="dxa"/>
          </w:tcPr>
          <w:p w14:paraId="00000108">
            <w:pPr>
              <w:spacing w:after="0"/>
              <w:jc w:val="center"/>
              <w:rPr>
                <w:rFonts w:asciiTheme="majorHAnsi" w:hAnsiTheme="majorHAnsi"/>
              </w:rPr>
            </w:pPr>
            <w:r>
              <w:rPr>
                <w:rFonts w:asciiTheme="majorHAnsi" w:eastAsia="MS Gothic" w:hAnsiTheme="majorHAnsi"/>
              </w:rPr>
              <w:t>☐</w:t>
            </w:r>
          </w:p>
        </w:tc>
      </w:tr>
      <w:tr>
        <w:trPr/>
        <w:tc>
          <w:tcPr>
            <w:cnfStyle w:val="001000010000"/>
            <w:tcW w:w="4385" w:type="dxa"/>
          </w:tcPr>
          <w:p w14:paraId="00000109">
            <w:pPr>
              <w:spacing w:after="0"/>
              <w:rPr>
                <w:rFonts w:asciiTheme="majorHAnsi" w:hAnsiTheme="majorHAnsi"/>
                <w:sz w:val="20"/>
                <w:szCs w:val="20"/>
              </w:rPr>
            </w:pPr>
            <w:r>
              <w:rPr>
                <w:rFonts w:asciiTheme="majorHAnsi" w:hAnsiTheme="majorHAnsi"/>
                <w:sz w:val="20"/>
                <w:szCs w:val="20"/>
              </w:rPr>
              <w:t>Electric recessed meter box provision</w:t>
            </w:r>
          </w:p>
        </w:tc>
        <w:tc>
          <w:tcPr>
            <w:cnfStyle w:val="000000010000"/>
            <w:tcW w:w="1701" w:type="dxa"/>
          </w:tcPr>
          <w:p w14:paraId="0000010A">
            <w:pPr>
              <w:spacing w:after="0"/>
              <w:rPr>
                <w:rFonts w:asciiTheme="majorHAnsi" w:hAnsiTheme="majorHAnsi"/>
              </w:rPr>
            </w:pPr>
          </w:p>
        </w:tc>
        <w:tc>
          <w:tcPr>
            <w:cnfStyle w:val="000000010000"/>
            <w:tcW w:w="1134" w:type="dxa"/>
          </w:tcPr>
          <w:p w14:paraId="0000010B">
            <w:pPr>
              <w:spacing w:after="0"/>
              <w:jc w:val="center"/>
              <w:rPr>
                <w:rFonts w:asciiTheme="majorHAnsi" w:hAnsiTheme="majorHAnsi"/>
              </w:rPr>
            </w:pPr>
            <w:r>
              <w:rPr>
                <w:rFonts w:asciiTheme="majorHAnsi" w:eastAsia="MS Gothic" w:hAnsiTheme="majorHAnsi"/>
              </w:rPr>
              <w:t>☐</w:t>
            </w:r>
          </w:p>
        </w:tc>
        <w:tc>
          <w:tcPr>
            <w:cnfStyle w:val="000000010000"/>
            <w:tcW w:w="1139" w:type="dxa"/>
          </w:tcPr>
          <w:p w14:paraId="0000010C">
            <w:pPr>
              <w:spacing w:after="0"/>
              <w:jc w:val="center"/>
              <w:rPr>
                <w:rFonts w:asciiTheme="majorHAnsi" w:hAnsiTheme="majorHAnsi"/>
              </w:rPr>
            </w:pPr>
            <w:r>
              <w:rPr>
                <w:rFonts w:ascii="MS Gothic" w:eastAsia="MS Gothic" w:hAnsi="MS Gothic" w:hint="eastAsia"/>
              </w:rPr>
              <w:t>☐</w:t>
            </w:r>
          </w:p>
        </w:tc>
        <w:tc>
          <w:tcPr>
            <w:cnfStyle w:val="000000010000"/>
            <w:tcW w:w="657" w:type="dxa"/>
          </w:tcPr>
          <w:p w14:paraId="0000010D">
            <w:pPr>
              <w:spacing w:after="0"/>
              <w:jc w:val="center"/>
              <w:rPr>
                <w:rFonts w:asciiTheme="majorHAnsi" w:hAnsiTheme="majorHAnsi"/>
              </w:rPr>
            </w:pPr>
            <w:r>
              <w:rPr>
                <w:rFonts w:asciiTheme="majorHAnsi" w:eastAsia="MS Gothic" w:hAnsiTheme="majorHAnsi"/>
              </w:rPr>
              <w:t>☐</w:t>
            </w:r>
          </w:p>
        </w:tc>
      </w:tr>
      <w:tr>
        <w:trPr/>
        <w:tc>
          <w:tcPr>
            <w:cnfStyle w:val="001000100000"/>
            <w:tcW w:w="4385" w:type="dxa"/>
          </w:tcPr>
          <w:p w14:paraId="0000010E">
            <w:pPr>
              <w:spacing w:after="0"/>
              <w:rPr>
                <w:rFonts w:asciiTheme="majorHAnsi" w:hAnsiTheme="majorHAnsi"/>
                <w:sz w:val="20"/>
                <w:szCs w:val="20"/>
              </w:rPr>
            </w:pPr>
            <w:r>
              <w:rPr>
                <w:rFonts w:asciiTheme="majorHAnsi" w:hAnsiTheme="majorHAnsi"/>
                <w:sz w:val="20"/>
                <w:szCs w:val="20"/>
              </w:rPr>
              <w:t>Electric plot service ducting provision</w:t>
            </w:r>
          </w:p>
        </w:tc>
        <w:tc>
          <w:tcPr>
            <w:cnfStyle w:val="000000100000"/>
            <w:tcW w:w="1701" w:type="dxa"/>
          </w:tcPr>
          <w:p w14:paraId="0000010F">
            <w:pPr>
              <w:spacing w:after="0"/>
              <w:rPr>
                <w:rFonts w:asciiTheme="majorHAnsi" w:hAnsiTheme="majorHAnsi"/>
              </w:rPr>
            </w:pPr>
          </w:p>
        </w:tc>
        <w:tc>
          <w:tcPr>
            <w:cnfStyle w:val="000000100000"/>
            <w:tcW w:w="1134" w:type="dxa"/>
          </w:tcPr>
          <w:p w14:paraId="00000110">
            <w:pPr>
              <w:spacing w:after="0"/>
              <w:jc w:val="center"/>
              <w:rPr>
                <w:rFonts w:asciiTheme="majorHAnsi" w:hAnsiTheme="majorHAnsi"/>
              </w:rPr>
            </w:pPr>
            <w:r>
              <w:rPr>
                <w:rFonts w:asciiTheme="majorHAnsi" w:eastAsia="MS Gothic" w:hAnsiTheme="majorHAnsi"/>
              </w:rPr>
              <w:t>☐</w:t>
            </w:r>
          </w:p>
        </w:tc>
        <w:tc>
          <w:tcPr>
            <w:cnfStyle w:val="000000100000"/>
            <w:tcW w:w="1139" w:type="dxa"/>
          </w:tcPr>
          <w:p w14:paraId="00000111">
            <w:pPr>
              <w:spacing w:after="0"/>
              <w:jc w:val="center"/>
              <w:rPr>
                <w:rFonts w:asciiTheme="majorHAnsi" w:hAnsiTheme="majorHAnsi"/>
              </w:rPr>
            </w:pPr>
            <w:r>
              <w:rPr>
                <w:rFonts w:ascii="MS Gothic" w:eastAsia="MS Gothic" w:hAnsi="MS Gothic" w:hint="eastAsia"/>
              </w:rPr>
              <w:t>☐</w:t>
            </w:r>
          </w:p>
        </w:tc>
        <w:tc>
          <w:tcPr>
            <w:cnfStyle w:val="000000100000"/>
            <w:tcW w:w="657" w:type="dxa"/>
          </w:tcPr>
          <w:p w14:paraId="00000112">
            <w:pPr>
              <w:spacing w:after="0"/>
              <w:jc w:val="center"/>
              <w:rPr>
                <w:rFonts w:asciiTheme="majorHAnsi" w:hAnsiTheme="majorHAnsi"/>
              </w:rPr>
            </w:pPr>
            <w:r>
              <w:rPr>
                <w:rFonts w:asciiTheme="majorHAnsi" w:eastAsia="MS Gothic" w:hAnsiTheme="majorHAnsi"/>
              </w:rPr>
              <w:t>☐</w:t>
            </w:r>
          </w:p>
        </w:tc>
      </w:tr>
      <w:tr>
        <w:trPr/>
        <w:tc>
          <w:tcPr>
            <w:cnfStyle w:val="001000010000"/>
            <w:tcW w:w="4385" w:type="dxa"/>
          </w:tcPr>
          <w:p w14:paraId="00000113">
            <w:pPr>
              <w:spacing w:after="0"/>
              <w:rPr>
                <w:rFonts w:asciiTheme="majorHAnsi" w:hAnsiTheme="majorHAnsi"/>
                <w:sz w:val="20"/>
                <w:szCs w:val="20"/>
              </w:rPr>
            </w:pPr>
            <w:r>
              <w:rPr>
                <w:rFonts w:asciiTheme="majorHAnsi" w:hAnsiTheme="majorHAnsi"/>
                <w:sz w:val="20"/>
                <w:szCs w:val="20"/>
              </w:rPr>
              <w:t>Hockey sticks and clips provision</w:t>
            </w:r>
          </w:p>
        </w:tc>
        <w:tc>
          <w:tcPr>
            <w:cnfStyle w:val="000000010000"/>
            <w:tcW w:w="1701" w:type="dxa"/>
          </w:tcPr>
          <w:p w14:paraId="00000114">
            <w:pPr>
              <w:spacing w:after="0"/>
              <w:rPr>
                <w:rFonts w:asciiTheme="majorHAnsi" w:hAnsiTheme="majorHAnsi"/>
              </w:rPr>
            </w:pPr>
          </w:p>
        </w:tc>
        <w:tc>
          <w:tcPr>
            <w:cnfStyle w:val="000000010000"/>
            <w:tcW w:w="1134" w:type="dxa"/>
          </w:tcPr>
          <w:p w14:paraId="00000115">
            <w:pPr>
              <w:spacing w:after="0"/>
              <w:jc w:val="center"/>
              <w:rPr>
                <w:rFonts w:asciiTheme="majorHAnsi" w:hAnsiTheme="majorHAnsi"/>
              </w:rPr>
            </w:pPr>
            <w:r>
              <w:rPr>
                <w:rFonts w:asciiTheme="majorHAnsi" w:eastAsia="MS Gothic" w:hAnsiTheme="majorHAnsi"/>
              </w:rPr>
              <w:t>☐</w:t>
            </w:r>
          </w:p>
        </w:tc>
        <w:tc>
          <w:tcPr>
            <w:cnfStyle w:val="000000010000"/>
            <w:tcW w:w="1139" w:type="dxa"/>
          </w:tcPr>
          <w:p w14:paraId="00000116">
            <w:pPr>
              <w:spacing w:after="0"/>
              <w:jc w:val="center"/>
              <w:rPr>
                <w:rFonts w:asciiTheme="majorHAnsi" w:hAnsiTheme="majorHAnsi"/>
              </w:rPr>
            </w:pPr>
            <w:r>
              <w:rPr>
                <w:rFonts w:ascii="MS Gothic" w:eastAsia="MS Gothic" w:hAnsi="MS Gothic" w:hint="eastAsia"/>
              </w:rPr>
              <w:t>☐</w:t>
            </w:r>
          </w:p>
        </w:tc>
        <w:tc>
          <w:tcPr>
            <w:cnfStyle w:val="000000010000"/>
            <w:tcW w:w="657" w:type="dxa"/>
          </w:tcPr>
          <w:p w14:paraId="00000117">
            <w:pPr>
              <w:spacing w:after="0"/>
              <w:jc w:val="center"/>
              <w:rPr>
                <w:rFonts w:asciiTheme="majorHAnsi" w:hAnsiTheme="majorHAnsi"/>
              </w:rPr>
            </w:pPr>
            <w:r>
              <w:rPr>
                <w:rFonts w:asciiTheme="majorHAnsi" w:eastAsia="MS Gothic" w:hAnsiTheme="majorHAnsi"/>
              </w:rPr>
              <w:t>☐</w:t>
            </w:r>
          </w:p>
        </w:tc>
      </w:tr>
      <w:tr>
        <w:trPr/>
        <w:tc>
          <w:tcPr>
            <w:cnfStyle w:val="001000100000"/>
            <w:tcW w:w="4385" w:type="dxa"/>
          </w:tcPr>
          <w:p w14:paraId="00000118">
            <w:pPr>
              <w:spacing w:after="0"/>
              <w:rPr>
                <w:rFonts w:asciiTheme="majorHAnsi" w:hAnsiTheme="majorHAnsi"/>
                <w:i/>
                <w:iCs/>
                <w:sz w:val="20"/>
                <w:szCs w:val="20"/>
              </w:rPr>
            </w:pPr>
            <w:r>
              <w:rPr>
                <w:rFonts w:asciiTheme="majorHAnsi" w:hAnsiTheme="majorHAnsi"/>
                <w:i/>
                <w:iCs/>
                <w:sz w:val="20"/>
                <w:szCs w:val="20"/>
              </w:rPr>
              <w:t xml:space="preserve">Please be aware that plot service provision is usually excluded by our competitors and amounts to over £150 of material per plot </w:t>
            </w:r>
          </w:p>
        </w:tc>
        <w:tc>
          <w:tcPr>
            <w:cnfStyle w:val="000000100000"/>
            <w:tcW w:w="1701" w:type="dxa"/>
          </w:tcPr>
          <w:p w14:paraId="00000119">
            <w:pPr>
              <w:spacing w:after="0"/>
              <w:rPr>
                <w:rFonts w:asciiTheme="majorHAnsi" w:hAnsiTheme="majorHAnsi"/>
              </w:rPr>
            </w:pPr>
          </w:p>
        </w:tc>
        <w:tc>
          <w:tcPr>
            <w:cnfStyle w:val="000000100000"/>
            <w:tcW w:w="1134" w:type="dxa"/>
          </w:tcPr>
          <w:p w14:paraId="0000011A">
            <w:pPr>
              <w:spacing w:after="0"/>
              <w:jc w:val="center"/>
              <w:rPr>
                <w:rFonts w:asciiTheme="majorHAnsi" w:hAnsiTheme="majorHAnsi"/>
              </w:rPr>
            </w:pPr>
            <w:r>
              <w:rPr>
                <w:rFonts w:ascii="MS Gothic" w:eastAsia="MS Gothic" w:hAnsi="MS Gothic" w:hint="eastAsia"/>
              </w:rPr>
              <w:t>☐</w:t>
            </w:r>
          </w:p>
        </w:tc>
        <w:tc>
          <w:tcPr>
            <w:cnfStyle w:val="000000100000"/>
            <w:tcW w:w="1139" w:type="dxa"/>
          </w:tcPr>
          <w:p w14:paraId="0000011B">
            <w:pPr>
              <w:spacing w:after="0"/>
              <w:jc w:val="center"/>
              <w:rPr>
                <w:rFonts w:asciiTheme="majorHAnsi" w:hAnsiTheme="majorHAnsi"/>
              </w:rPr>
            </w:pPr>
            <w:r>
              <w:rPr>
                <w:rFonts w:asciiTheme="majorHAnsi" w:eastAsia="MS Gothic" w:hAnsiTheme="majorHAnsi"/>
              </w:rPr>
              <w:t>☐</w:t>
            </w:r>
          </w:p>
        </w:tc>
        <w:tc>
          <w:tcPr>
            <w:cnfStyle w:val="000000100000"/>
            <w:tcW w:w="657" w:type="dxa"/>
          </w:tcPr>
          <w:p w14:paraId="0000011C">
            <w:pPr>
              <w:spacing w:after="0"/>
              <w:jc w:val="center"/>
              <w:rPr>
                <w:rFonts w:asciiTheme="majorHAnsi" w:hAnsiTheme="majorHAnsi"/>
              </w:rPr>
            </w:pPr>
            <w:r>
              <w:rPr>
                <w:rFonts w:asciiTheme="majorHAnsi" w:eastAsia="MS Gothic" w:hAnsiTheme="majorHAnsi"/>
              </w:rPr>
              <w:t>☐</w:t>
            </w:r>
          </w:p>
        </w:tc>
      </w:tr>
      <w:tr>
        <w:trPr/>
        <w:tc>
          <w:tcPr>
            <w:cnfStyle w:val="001000010000"/>
            <w:tcW w:w="9016" w:type="dxa"/>
            <w:gridSpan w:val="5"/>
          </w:tcPr>
          <w:p w14:paraId="0000011D">
            <w:pPr>
              <w:spacing w:after="0"/>
              <w:rPr>
                <w:rFonts w:asciiTheme="majorHAnsi" w:hAnsiTheme="majorHAnsi"/>
                <w:b/>
                <w:bCs/>
              </w:rPr>
            </w:pPr>
            <w:r>
              <w:rPr>
                <w:rFonts w:asciiTheme="majorHAnsi" w:hAnsiTheme="majorHAnsi"/>
                <w:b/>
                <w:bCs/>
                <w:color w:val="747474" w:themeColor="background2" w:themeShade="80"/>
              </w:rPr>
              <w:t xml:space="preserve">STREETLIGHTING </w:t>
            </w:r>
          </w:p>
        </w:tc>
      </w:tr>
      <w:tr>
        <w:trPr/>
        <w:tc>
          <w:tcPr>
            <w:cnfStyle w:val="001000100000"/>
            <w:tcW w:w="4385" w:type="dxa"/>
          </w:tcPr>
          <w:p w14:paraId="0000011E">
            <w:pPr>
              <w:spacing w:after="0"/>
              <w:rPr>
                <w:rFonts w:asciiTheme="majorHAnsi" w:hAnsiTheme="majorHAnsi"/>
                <w:sz w:val="20"/>
                <w:szCs w:val="20"/>
              </w:rPr>
            </w:pPr>
            <w:r>
              <w:rPr>
                <w:rFonts w:asciiTheme="majorHAnsi" w:hAnsiTheme="majorHAnsi"/>
                <w:sz w:val="20"/>
                <w:szCs w:val="20"/>
              </w:rPr>
              <w:t xml:space="preserve">Streetlighting </w:t>
            </w:r>
            <w:r>
              <w:rPr>
                <w:rFonts w:asciiTheme="majorHAnsi" w:hAnsiTheme="majorHAnsi"/>
                <w:b/>
                <w:bCs/>
                <w:sz w:val="20"/>
                <w:szCs w:val="20"/>
              </w:rPr>
              <w:t>Connections only</w:t>
            </w:r>
            <w:r>
              <w:rPr>
                <w:rFonts w:asciiTheme="majorHAnsi" w:hAnsiTheme="majorHAnsi"/>
                <w:sz w:val="20"/>
                <w:szCs w:val="20"/>
              </w:rPr>
              <w:t xml:space="preserve"> </w:t>
            </w:r>
          </w:p>
        </w:tc>
        <w:tc>
          <w:tcPr>
            <w:cnfStyle w:val="000000100000"/>
            <w:tcW w:w="1701" w:type="dxa"/>
          </w:tcPr>
          <w:p w14:paraId="0000011F">
            <w:pPr>
              <w:spacing w:after="0"/>
              <w:rPr>
                <w:rFonts w:asciiTheme="majorHAnsi" w:hAnsiTheme="majorHAnsi"/>
              </w:rPr>
            </w:pPr>
          </w:p>
        </w:tc>
        <w:tc>
          <w:tcPr>
            <w:cnfStyle w:val="000000100000"/>
            <w:tcW w:w="1134" w:type="dxa"/>
          </w:tcPr>
          <w:p w14:paraId="00000120">
            <w:pPr>
              <w:spacing w:after="0"/>
              <w:jc w:val="center"/>
              <w:rPr>
                <w:rFonts w:asciiTheme="majorHAnsi" w:hAnsiTheme="majorHAnsi"/>
              </w:rPr>
            </w:pPr>
            <w:r>
              <w:rPr>
                <w:rFonts w:asciiTheme="majorHAnsi" w:eastAsia="MS Gothic" w:hAnsiTheme="majorHAnsi"/>
              </w:rPr>
              <w:t>☐</w:t>
            </w:r>
          </w:p>
        </w:tc>
        <w:tc>
          <w:tcPr>
            <w:cnfStyle w:val="000000100000"/>
            <w:tcW w:w="1139" w:type="dxa"/>
          </w:tcPr>
          <w:p w14:paraId="00000121">
            <w:pPr>
              <w:spacing w:after="0"/>
              <w:jc w:val="center"/>
              <w:rPr>
                <w:rFonts w:asciiTheme="majorHAnsi" w:hAnsiTheme="majorHAnsi"/>
              </w:rPr>
            </w:pPr>
            <w:r>
              <w:rPr>
                <w:rFonts w:ascii="MS Gothic" w:eastAsia="MS Gothic" w:hAnsi="MS Gothic" w:hint="eastAsia"/>
              </w:rPr>
              <w:t>☐</w:t>
            </w:r>
          </w:p>
        </w:tc>
        <w:tc>
          <w:tcPr>
            <w:cnfStyle w:val="000000100000"/>
            <w:tcW w:w="657" w:type="dxa"/>
          </w:tcPr>
          <w:p w14:paraId="00000122">
            <w:pPr>
              <w:spacing w:after="0"/>
              <w:jc w:val="center"/>
              <w:rPr>
                <w:rFonts w:asciiTheme="majorHAnsi" w:hAnsiTheme="majorHAnsi"/>
              </w:rPr>
            </w:pPr>
            <w:r>
              <w:rPr>
                <w:rFonts w:asciiTheme="majorHAnsi" w:eastAsia="MS Gothic" w:hAnsiTheme="majorHAnsi"/>
              </w:rPr>
              <w:t>☐</w:t>
            </w:r>
          </w:p>
        </w:tc>
      </w:tr>
      <w:tr>
        <w:trPr/>
        <w:tc>
          <w:tcPr>
            <w:cnfStyle w:val="001000010000"/>
            <w:tcW w:w="9016" w:type="dxa"/>
            <w:gridSpan w:val="5"/>
          </w:tcPr>
          <w:p w14:paraId="00000123">
            <w:pPr>
              <w:spacing w:after="0"/>
              <w:rPr>
                <w:rFonts w:asciiTheme="majorHAnsi" w:hAnsiTheme="majorHAnsi"/>
                <w:b/>
                <w:bCs/>
              </w:rPr>
            </w:pPr>
            <w:r>
              <w:rPr>
                <w:rFonts w:asciiTheme="majorHAnsi" w:hAnsiTheme="majorHAnsi"/>
                <w:b/>
                <w:bCs/>
                <w:color w:val="747474" w:themeColor="background2" w:themeShade="80"/>
              </w:rPr>
              <w:t>TELECOMMS/FIBRE</w:t>
            </w:r>
          </w:p>
        </w:tc>
      </w:tr>
      <w:tr>
        <w:trPr/>
        <w:tc>
          <w:tcPr>
            <w:cnfStyle w:val="001000100000"/>
            <w:tcW w:w="4385" w:type="dxa"/>
          </w:tcPr>
          <w:p w14:paraId="00000124">
            <w:pPr>
              <w:spacing w:after="0"/>
              <w:rPr>
                <w:rFonts w:asciiTheme="majorHAnsi" w:hAnsiTheme="majorHAnsi"/>
                <w:sz w:val="20"/>
                <w:szCs w:val="20"/>
              </w:rPr>
            </w:pPr>
            <w:r>
              <w:rPr>
                <w:rFonts w:asciiTheme="majorHAnsi" w:hAnsiTheme="majorHAnsi"/>
                <w:sz w:val="20"/>
                <w:szCs w:val="20"/>
              </w:rPr>
              <w:t>BT/FIBRE Duct and Modular box install</w:t>
            </w:r>
          </w:p>
        </w:tc>
        <w:tc>
          <w:tcPr>
            <w:cnfStyle w:val="000000100000"/>
            <w:tcW w:w="1701" w:type="dxa"/>
          </w:tcPr>
          <w:p w14:paraId="00000125">
            <w:pPr>
              <w:spacing w:after="0"/>
              <w:rPr>
                <w:rFonts w:asciiTheme="majorHAnsi" w:hAnsiTheme="majorHAnsi"/>
              </w:rPr>
            </w:pPr>
          </w:p>
        </w:tc>
        <w:tc>
          <w:tcPr>
            <w:cnfStyle w:val="000000100000"/>
            <w:tcW w:w="1134" w:type="dxa"/>
          </w:tcPr>
          <w:p w14:paraId="00000126">
            <w:pPr>
              <w:spacing w:after="0"/>
              <w:jc w:val="center"/>
              <w:rPr>
                <w:rFonts w:asciiTheme="majorHAnsi" w:hAnsiTheme="majorHAnsi"/>
              </w:rPr>
            </w:pPr>
            <w:r>
              <w:rPr>
                <w:rFonts w:asciiTheme="majorHAnsi" w:eastAsia="MS Gothic" w:hAnsiTheme="majorHAnsi"/>
              </w:rPr>
              <w:t>☐</w:t>
            </w:r>
          </w:p>
        </w:tc>
        <w:tc>
          <w:tcPr>
            <w:cnfStyle w:val="000000100000"/>
            <w:tcW w:w="1139" w:type="dxa"/>
          </w:tcPr>
          <w:p w14:paraId="00000127">
            <w:pPr>
              <w:spacing w:after="0"/>
              <w:jc w:val="center"/>
              <w:rPr>
                <w:rFonts w:asciiTheme="majorHAnsi" w:hAnsiTheme="majorHAnsi"/>
              </w:rPr>
            </w:pPr>
            <w:r>
              <w:rPr>
                <w:rFonts w:asciiTheme="majorHAnsi" w:eastAsia="MS Gothic" w:hAnsiTheme="majorHAnsi"/>
              </w:rPr>
              <w:t>☐</w:t>
            </w:r>
          </w:p>
        </w:tc>
        <w:tc>
          <w:tcPr>
            <w:cnfStyle w:val="000000100000"/>
            <w:tcW w:w="657" w:type="dxa"/>
          </w:tcPr>
          <w:p w14:paraId="00000128">
            <w:pPr>
              <w:spacing w:after="0"/>
              <w:jc w:val="center"/>
              <w:rPr>
                <w:rFonts w:asciiTheme="majorHAnsi" w:hAnsiTheme="majorHAnsi"/>
              </w:rPr>
            </w:pPr>
            <w:r>
              <w:rPr>
                <w:rFonts w:ascii="MS Gothic" w:eastAsia="MS Gothic" w:hAnsi="MS Gothic" w:hint="eastAsia"/>
              </w:rPr>
              <w:t>☐</w:t>
            </w:r>
          </w:p>
        </w:tc>
      </w:tr>
      <w:tr>
        <w:trPr/>
        <w:tc>
          <w:tcPr>
            <w:cnfStyle w:val="001000010000"/>
            <w:tcW w:w="4385" w:type="dxa"/>
          </w:tcPr>
          <w:p w14:paraId="00000129">
            <w:pPr>
              <w:spacing w:after="0"/>
              <w:rPr>
                <w:rFonts w:asciiTheme="majorHAnsi" w:hAnsiTheme="majorHAnsi"/>
                <w:sz w:val="20"/>
                <w:szCs w:val="20"/>
              </w:rPr>
            </w:pPr>
            <w:r>
              <w:rPr>
                <w:rFonts w:asciiTheme="majorHAnsi" w:hAnsiTheme="majorHAnsi"/>
                <w:sz w:val="20"/>
                <w:szCs w:val="20"/>
              </w:rPr>
              <w:t>IFNL Fibre network full install</w:t>
            </w:r>
          </w:p>
        </w:tc>
        <w:tc>
          <w:tcPr>
            <w:cnfStyle w:val="000000010000"/>
            <w:tcW w:w="1701" w:type="dxa"/>
          </w:tcPr>
          <w:p w14:paraId="0000012A">
            <w:pPr>
              <w:spacing w:after="0"/>
              <w:rPr>
                <w:rFonts w:asciiTheme="majorHAnsi" w:hAnsiTheme="majorHAnsi"/>
              </w:rPr>
            </w:pPr>
          </w:p>
        </w:tc>
        <w:tc>
          <w:tcPr>
            <w:cnfStyle w:val="000000010000"/>
            <w:tcW w:w="1134" w:type="dxa"/>
          </w:tcPr>
          <w:p w14:paraId="0000012B">
            <w:pPr>
              <w:spacing w:after="0"/>
              <w:jc w:val="center"/>
              <w:rPr>
                <w:rFonts w:asciiTheme="majorHAnsi" w:hAnsiTheme="majorHAnsi"/>
              </w:rPr>
            </w:pPr>
            <w:r>
              <w:rPr>
                <w:rFonts w:asciiTheme="majorHAnsi" w:eastAsia="MS Gothic" w:hAnsiTheme="majorHAnsi"/>
              </w:rPr>
              <w:t>☐</w:t>
            </w:r>
          </w:p>
        </w:tc>
        <w:tc>
          <w:tcPr>
            <w:cnfStyle w:val="000000010000"/>
            <w:tcW w:w="1139" w:type="dxa"/>
          </w:tcPr>
          <w:p w14:paraId="0000012C">
            <w:pPr>
              <w:spacing w:after="0"/>
              <w:jc w:val="center"/>
              <w:rPr>
                <w:rFonts w:asciiTheme="majorHAnsi" w:hAnsiTheme="majorHAnsi"/>
              </w:rPr>
            </w:pPr>
            <w:r>
              <w:rPr>
                <w:rFonts w:asciiTheme="majorHAnsi" w:eastAsia="MS Gothic" w:hAnsiTheme="majorHAnsi"/>
              </w:rPr>
              <w:t>☐</w:t>
            </w:r>
          </w:p>
        </w:tc>
        <w:tc>
          <w:tcPr>
            <w:cnfStyle w:val="000000010000"/>
            <w:tcW w:w="657" w:type="dxa"/>
          </w:tcPr>
          <w:p w14:paraId="0000012D">
            <w:pPr>
              <w:spacing w:after="0"/>
              <w:rPr>
                <w:rFonts w:asciiTheme="majorHAnsi" w:hAnsiTheme="majorHAnsi"/>
              </w:rPr>
            </w:pPr>
            <w:r>
              <w:rPr>
                <w:rFonts w:ascii="MS Gothic" w:eastAsia="MS Gothic" w:hAnsi="MS Gothic" w:hint="eastAsia"/>
              </w:rPr>
              <w:t>☐</w:t>
            </w:r>
          </w:p>
        </w:tc>
      </w:tr>
    </w:tbl>
    <w:p w14:paraId="0000012E">
      <w:pPr>
        <w:spacing w:after="0"/>
        <w:rPr>
          <w:rFonts w:asciiTheme="majorHAnsi" w:hAnsiTheme="majorHAnsi"/>
        </w:rPr>
      </w:pPr>
      <w:r>
        <w:rPr>
          <w:rFonts w:asciiTheme="majorHAnsi" w:hAnsiTheme="majorHAnsi"/>
        </w:rPr>
        <w:t xml:space="preserve"> </w:t>
      </w:r>
    </w:p>
    <w:tbl>
      <w:tblPr>
        <w:tblStyle w:val="TableGrid"/>
        <w:tblW w:w="0" w:type="auto"/>
        <w:tblLook w:val="04A0"/>
      </w:tblPr>
      <w:tblGrid>
        <w:gridCol w:w="4099"/>
        <w:gridCol w:w="1981"/>
        <w:gridCol w:w="1132"/>
        <w:gridCol w:w="1148"/>
        <w:gridCol w:w="656"/>
      </w:tblGrid>
      <w:tr>
        <w:trPr/>
        <w:tc>
          <w:tcPr>
            <w:cnfStyle w:val="101000000000"/>
            <w:tcW w:w="4106" w:type="dxa"/>
          </w:tcPr>
          <w:p w14:paraId="0000012F">
            <w:pPr>
              <w:spacing w:after="0"/>
              <w:rPr>
                <w:rFonts w:asciiTheme="majorHAnsi" w:hAnsiTheme="majorHAnsi"/>
                <w:b/>
                <w:bCs/>
              </w:rPr>
            </w:pPr>
            <w:r>
              <w:rPr>
                <w:rFonts w:asciiTheme="majorHAnsi" w:hAnsiTheme="majorHAnsi"/>
                <w:b/>
                <w:bCs/>
              </w:rPr>
              <w:t>Activity</w:t>
            </w:r>
          </w:p>
        </w:tc>
        <w:tc>
          <w:tcPr>
            <w:cnfStyle w:val="100000000000"/>
            <w:tcW w:w="1985" w:type="dxa"/>
          </w:tcPr>
          <w:p w14:paraId="00000130">
            <w:pPr>
              <w:spacing w:after="0"/>
              <w:rPr>
                <w:rFonts w:asciiTheme="majorHAnsi" w:hAnsiTheme="majorHAnsi"/>
                <w:b/>
                <w:bCs/>
              </w:rPr>
            </w:pPr>
            <w:r>
              <w:rPr>
                <w:rFonts w:asciiTheme="majorHAnsi" w:hAnsiTheme="majorHAnsi"/>
                <w:b/>
                <w:bCs/>
              </w:rPr>
              <w:t>Comments</w:t>
            </w:r>
          </w:p>
        </w:tc>
        <w:tc>
          <w:tcPr>
            <w:cnfStyle w:val="100000000000"/>
            <w:tcW w:w="1134" w:type="dxa"/>
          </w:tcPr>
          <w:p w14:paraId="00000131">
            <w:pPr>
              <w:spacing w:after="0"/>
              <w:rPr>
                <w:rFonts w:asciiTheme="majorHAnsi" w:hAnsiTheme="majorHAnsi"/>
                <w:b/>
                <w:bCs/>
              </w:rPr>
            </w:pPr>
            <w:r>
              <w:rPr>
                <w:rFonts w:asciiTheme="majorHAnsi" w:hAnsiTheme="majorHAnsi"/>
                <w:b/>
                <w:bCs/>
              </w:rPr>
              <w:t>Included (by AU)</w:t>
            </w:r>
          </w:p>
        </w:tc>
        <w:tc>
          <w:tcPr>
            <w:cnfStyle w:val="100000000000"/>
            <w:tcW w:w="1134" w:type="dxa"/>
          </w:tcPr>
          <w:p w14:paraId="00000132">
            <w:pPr>
              <w:spacing w:after="0"/>
              <w:rPr>
                <w:rFonts w:asciiTheme="majorHAnsi" w:hAnsiTheme="majorHAnsi"/>
                <w:b/>
                <w:bCs/>
              </w:rPr>
            </w:pPr>
            <w:r>
              <w:rPr>
                <w:rFonts w:asciiTheme="majorHAnsi" w:hAnsiTheme="majorHAnsi"/>
                <w:b/>
                <w:bCs/>
              </w:rPr>
              <w:t>Excluded (by others)</w:t>
            </w:r>
          </w:p>
        </w:tc>
        <w:tc>
          <w:tcPr>
            <w:cnfStyle w:val="100000000000"/>
            <w:tcW w:w="657" w:type="dxa"/>
          </w:tcPr>
          <w:p w14:paraId="00000133">
            <w:pPr>
              <w:spacing w:after="0"/>
              <w:rPr>
                <w:rFonts w:asciiTheme="majorHAnsi" w:hAnsiTheme="majorHAnsi"/>
                <w:b/>
                <w:bCs/>
              </w:rPr>
            </w:pPr>
            <w:r>
              <w:rPr>
                <w:rFonts w:asciiTheme="majorHAnsi" w:hAnsiTheme="majorHAnsi"/>
                <w:b/>
                <w:bCs/>
              </w:rPr>
              <w:t>N/A</w:t>
            </w:r>
          </w:p>
        </w:tc>
      </w:tr>
      <w:tr>
        <w:trPr/>
        <w:tc>
          <w:tcPr>
            <w:cnfStyle w:val="001000100000"/>
            <w:tcW w:w="9016" w:type="dxa"/>
            <w:gridSpan w:val="5"/>
          </w:tcPr>
          <w:p w14:paraId="00000134">
            <w:pPr>
              <w:spacing w:after="0"/>
              <w:rPr>
                <w:rFonts w:asciiTheme="majorHAnsi" w:hAnsiTheme="majorHAnsi"/>
                <w:b/>
                <w:bCs/>
              </w:rPr>
            </w:pPr>
            <w:r>
              <w:rPr>
                <w:rFonts w:asciiTheme="majorHAnsi" w:hAnsiTheme="majorHAnsi"/>
                <w:b/>
                <w:bCs/>
                <w:color w:val="4ea72e" w:themeColor="accent6"/>
              </w:rPr>
              <w:t>GAS</w:t>
            </w:r>
          </w:p>
        </w:tc>
      </w:tr>
      <w:tr>
        <w:trPr/>
        <w:tc>
          <w:tcPr>
            <w:cnfStyle w:val="001000010000"/>
            <w:tcW w:w="4106" w:type="dxa"/>
          </w:tcPr>
          <w:p w14:paraId="00000135">
            <w:pPr>
              <w:spacing w:after="0"/>
              <w:rPr>
                <w:rFonts w:asciiTheme="majorHAnsi" w:hAnsiTheme="majorHAnsi"/>
              </w:rPr>
            </w:pPr>
            <w:r>
              <w:rPr>
                <w:rFonts w:asciiTheme="majorHAnsi" w:hAnsiTheme="majorHAnsi"/>
              </w:rPr>
              <w:t>Gas meter boxes (WALL MOUNTED)</w:t>
            </w:r>
          </w:p>
        </w:tc>
        <w:tc>
          <w:tcPr>
            <w:cnfStyle w:val="000000010000"/>
            <w:tcW w:w="1985" w:type="dxa"/>
          </w:tcPr>
          <w:p w14:paraId="00000136">
            <w:pPr>
              <w:spacing w:after="0"/>
              <w:rPr>
                <w:rFonts w:asciiTheme="majorHAnsi" w:hAnsiTheme="majorHAnsi"/>
              </w:rPr>
            </w:pPr>
          </w:p>
        </w:tc>
        <w:tc>
          <w:tcPr>
            <w:cnfStyle w:val="000000010000"/>
            <w:tcW w:w="1134" w:type="dxa"/>
          </w:tcPr>
          <w:p w14:paraId="00000137">
            <w:pPr>
              <w:spacing w:after="0"/>
              <w:rPr>
                <w:rFonts w:asciiTheme="majorHAnsi" w:hAnsiTheme="majorHAnsi"/>
              </w:rPr>
            </w:pPr>
            <w:r>
              <w:rPr>
                <w:rFonts w:ascii="MS Gothic" w:eastAsia="MS Gothic" w:hAnsi="MS Gothic" w:hint="eastAsia"/>
              </w:rPr>
              <w:t>☐</w:t>
            </w:r>
          </w:p>
        </w:tc>
        <w:tc>
          <w:tcPr>
            <w:cnfStyle w:val="000000010000"/>
            <w:tcW w:w="1134" w:type="dxa"/>
          </w:tcPr>
          <w:p w14:paraId="00000138">
            <w:pPr>
              <w:spacing w:after="0"/>
              <w:rPr>
                <w:rFonts w:asciiTheme="majorHAnsi" w:hAnsiTheme="majorHAnsi"/>
              </w:rPr>
            </w:pPr>
            <w:r>
              <w:rPr>
                <w:rFonts w:asciiTheme="majorHAnsi" w:eastAsia="MS Gothic" w:hAnsiTheme="majorHAnsi"/>
              </w:rPr>
              <w:t>☐</w:t>
            </w:r>
          </w:p>
        </w:tc>
        <w:tc>
          <w:tcPr>
            <w:cnfStyle w:val="000000010000"/>
            <w:tcW w:w="657" w:type="dxa"/>
          </w:tcPr>
          <w:p w14:paraId="00000139">
            <w:pPr>
              <w:spacing w:after="0"/>
              <w:rPr>
                <w:rFonts w:asciiTheme="majorHAnsi" w:hAnsiTheme="majorHAnsi"/>
              </w:rPr>
            </w:pPr>
            <w:r>
              <w:rPr>
                <w:rFonts w:ascii="MS Gothic" w:eastAsia="MS Gothic" w:hAnsi="MS Gothic" w:hint="eastAsia"/>
              </w:rPr>
              <w:t>☐</w:t>
            </w:r>
          </w:p>
        </w:tc>
      </w:tr>
      <w:tr>
        <w:trPr/>
        <w:tc>
          <w:tcPr>
            <w:cnfStyle w:val="001000100000"/>
            <w:tcW w:w="4106" w:type="dxa"/>
          </w:tcPr>
          <w:p w14:paraId="0000013A">
            <w:pPr>
              <w:spacing w:after="0"/>
              <w:rPr>
                <w:rFonts w:asciiTheme="majorHAnsi" w:hAnsiTheme="majorHAnsi"/>
              </w:rPr>
            </w:pPr>
            <w:r>
              <w:rPr>
                <w:rFonts w:asciiTheme="majorHAnsi" w:hAnsiTheme="majorHAnsi"/>
              </w:rPr>
              <w:t>Gas service pipe</w:t>
            </w:r>
          </w:p>
        </w:tc>
        <w:tc>
          <w:tcPr>
            <w:cnfStyle w:val="000000100000"/>
            <w:tcW w:w="1985" w:type="dxa"/>
          </w:tcPr>
          <w:p w14:paraId="0000013B">
            <w:pPr>
              <w:spacing w:after="0"/>
              <w:rPr>
                <w:rFonts w:asciiTheme="majorHAnsi" w:hAnsiTheme="majorHAnsi"/>
              </w:rPr>
            </w:pPr>
          </w:p>
        </w:tc>
        <w:tc>
          <w:tcPr>
            <w:cnfStyle w:val="000000100000"/>
            <w:tcW w:w="1134" w:type="dxa"/>
          </w:tcPr>
          <w:p w14:paraId="0000013C">
            <w:pPr>
              <w:spacing w:after="0"/>
              <w:rPr>
                <w:rFonts w:asciiTheme="majorHAnsi" w:hAnsiTheme="majorHAnsi"/>
              </w:rPr>
            </w:pPr>
            <w:r>
              <w:rPr>
                <w:rFonts w:ascii="MS Gothic" w:eastAsia="MS Gothic" w:hAnsi="MS Gothic" w:hint="eastAsia"/>
              </w:rPr>
              <w:t>☐</w:t>
            </w:r>
          </w:p>
        </w:tc>
        <w:tc>
          <w:tcPr>
            <w:cnfStyle w:val="000000100000"/>
            <w:tcW w:w="1134" w:type="dxa"/>
          </w:tcPr>
          <w:p w14:paraId="0000013D">
            <w:pPr>
              <w:spacing w:after="0"/>
              <w:rPr>
                <w:rFonts w:asciiTheme="majorHAnsi" w:hAnsiTheme="majorHAnsi"/>
              </w:rPr>
            </w:pPr>
            <w:r>
              <w:rPr>
                <w:rFonts w:asciiTheme="majorHAnsi" w:eastAsia="MS Gothic" w:hAnsiTheme="majorHAnsi"/>
              </w:rPr>
              <w:t>☐</w:t>
            </w:r>
          </w:p>
        </w:tc>
        <w:tc>
          <w:tcPr>
            <w:cnfStyle w:val="000000100000"/>
            <w:tcW w:w="657" w:type="dxa"/>
          </w:tcPr>
          <w:p w14:paraId="0000013E">
            <w:pPr>
              <w:spacing w:after="0"/>
              <w:rPr>
                <w:rFonts w:asciiTheme="majorHAnsi" w:hAnsiTheme="majorHAnsi"/>
              </w:rPr>
            </w:pPr>
            <w:r>
              <w:rPr>
                <w:rFonts w:ascii="MS Gothic" w:eastAsia="MS Gothic" w:hAnsi="MS Gothic" w:hint="eastAsia"/>
              </w:rPr>
              <w:t>☐</w:t>
            </w:r>
          </w:p>
        </w:tc>
      </w:tr>
      <w:tr>
        <w:trPr/>
        <w:tc>
          <w:tcPr>
            <w:cnfStyle w:val="001000010000"/>
            <w:tcW w:w="4106" w:type="dxa"/>
          </w:tcPr>
          <w:p w14:paraId="0000013F">
            <w:pPr>
              <w:spacing w:after="0"/>
              <w:rPr>
                <w:rFonts w:asciiTheme="majorHAnsi" w:hAnsiTheme="majorHAnsi"/>
              </w:rPr>
            </w:pPr>
            <w:r>
              <w:rPr>
                <w:rFonts w:asciiTheme="majorHAnsi" w:hAnsiTheme="majorHAnsi"/>
              </w:rPr>
              <w:t>Gas main pipe</w:t>
            </w:r>
          </w:p>
        </w:tc>
        <w:tc>
          <w:tcPr>
            <w:cnfStyle w:val="000000010000"/>
            <w:tcW w:w="1985" w:type="dxa"/>
          </w:tcPr>
          <w:p w14:paraId="00000140">
            <w:pPr>
              <w:spacing w:after="0"/>
              <w:rPr>
                <w:rFonts w:asciiTheme="majorHAnsi" w:hAnsiTheme="majorHAnsi"/>
              </w:rPr>
            </w:pPr>
          </w:p>
        </w:tc>
        <w:tc>
          <w:tcPr>
            <w:cnfStyle w:val="000000010000"/>
            <w:tcW w:w="1134" w:type="dxa"/>
          </w:tcPr>
          <w:p w14:paraId="00000141">
            <w:pPr>
              <w:spacing w:after="0"/>
              <w:rPr>
                <w:rFonts w:asciiTheme="majorHAnsi" w:hAnsiTheme="majorHAnsi"/>
              </w:rPr>
            </w:pPr>
            <w:r>
              <w:rPr>
                <w:rFonts w:ascii="MS Gothic" w:eastAsia="MS Gothic" w:hAnsi="MS Gothic" w:hint="eastAsia"/>
              </w:rPr>
              <w:t>☐</w:t>
            </w:r>
          </w:p>
        </w:tc>
        <w:tc>
          <w:tcPr>
            <w:cnfStyle w:val="000000010000"/>
            <w:tcW w:w="1134" w:type="dxa"/>
          </w:tcPr>
          <w:p w14:paraId="00000142">
            <w:pPr>
              <w:spacing w:after="0"/>
              <w:rPr>
                <w:rFonts w:asciiTheme="majorHAnsi" w:hAnsiTheme="majorHAnsi"/>
              </w:rPr>
            </w:pPr>
            <w:r>
              <w:rPr>
                <w:rFonts w:asciiTheme="majorHAnsi" w:eastAsia="MS Gothic" w:hAnsiTheme="majorHAnsi"/>
              </w:rPr>
              <w:t>☐</w:t>
            </w:r>
          </w:p>
        </w:tc>
        <w:tc>
          <w:tcPr>
            <w:cnfStyle w:val="000000010000"/>
            <w:tcW w:w="657" w:type="dxa"/>
          </w:tcPr>
          <w:p w14:paraId="00000143">
            <w:pPr>
              <w:spacing w:after="0"/>
              <w:rPr>
                <w:rFonts w:asciiTheme="majorHAnsi" w:hAnsiTheme="majorHAnsi"/>
              </w:rPr>
            </w:pPr>
            <w:r>
              <w:rPr>
                <w:rFonts w:ascii="MS Gothic" w:eastAsia="MS Gothic" w:hAnsi="MS Gothic" w:hint="eastAsia"/>
              </w:rPr>
              <w:t>☐</w:t>
            </w:r>
          </w:p>
        </w:tc>
      </w:tr>
      <w:tr>
        <w:trPr/>
        <w:tc>
          <w:tcPr>
            <w:cnfStyle w:val="001000100000"/>
            <w:tcW w:w="4106" w:type="dxa"/>
          </w:tcPr>
          <w:p w14:paraId="00000144">
            <w:pPr>
              <w:spacing w:after="0"/>
              <w:rPr>
                <w:rFonts w:asciiTheme="majorHAnsi" w:hAnsiTheme="majorHAnsi"/>
              </w:rPr>
            </w:pPr>
            <w:r>
              <w:rPr>
                <w:rFonts w:asciiTheme="majorHAnsi" w:hAnsiTheme="majorHAnsi"/>
              </w:rPr>
              <w:t>Gas meters (smart or dumb)</w:t>
            </w:r>
          </w:p>
        </w:tc>
        <w:tc>
          <w:tcPr>
            <w:cnfStyle w:val="000000100000"/>
            <w:tcW w:w="1985" w:type="dxa"/>
          </w:tcPr>
          <w:p w14:paraId="00000145">
            <w:pPr>
              <w:spacing w:after="0"/>
              <w:rPr>
                <w:rFonts w:asciiTheme="majorHAnsi" w:hAnsiTheme="majorHAnsi"/>
              </w:rPr>
            </w:pPr>
          </w:p>
        </w:tc>
        <w:tc>
          <w:tcPr>
            <w:cnfStyle w:val="000000100000"/>
            <w:tcW w:w="1134" w:type="dxa"/>
          </w:tcPr>
          <w:p w14:paraId="00000146">
            <w:pPr>
              <w:spacing w:after="0"/>
              <w:rPr>
                <w:rFonts w:asciiTheme="majorHAnsi" w:hAnsiTheme="majorHAnsi"/>
              </w:rPr>
            </w:pPr>
            <w:r>
              <w:rPr>
                <w:rFonts w:ascii="MS Gothic" w:eastAsia="MS Gothic" w:hAnsi="MS Gothic" w:hint="eastAsia"/>
              </w:rPr>
              <w:t>☐</w:t>
            </w:r>
          </w:p>
        </w:tc>
        <w:tc>
          <w:tcPr>
            <w:cnfStyle w:val="000000100000"/>
            <w:tcW w:w="1134" w:type="dxa"/>
          </w:tcPr>
          <w:p w14:paraId="00000147">
            <w:pPr>
              <w:spacing w:after="0"/>
              <w:rPr>
                <w:rFonts w:asciiTheme="majorHAnsi" w:hAnsiTheme="majorHAnsi"/>
              </w:rPr>
            </w:pPr>
            <w:r>
              <w:rPr>
                <w:rFonts w:asciiTheme="majorHAnsi" w:eastAsia="MS Gothic" w:hAnsiTheme="majorHAnsi"/>
              </w:rPr>
              <w:t>☐</w:t>
            </w:r>
          </w:p>
        </w:tc>
        <w:tc>
          <w:tcPr>
            <w:cnfStyle w:val="000000100000"/>
            <w:tcW w:w="657" w:type="dxa"/>
          </w:tcPr>
          <w:p w14:paraId="00000148">
            <w:pPr>
              <w:spacing w:after="0"/>
              <w:rPr>
                <w:rFonts w:asciiTheme="majorHAnsi" w:hAnsiTheme="majorHAnsi"/>
              </w:rPr>
            </w:pPr>
            <w:r>
              <w:rPr>
                <w:rFonts w:ascii="MS Gothic" w:eastAsia="MS Gothic" w:hAnsi="MS Gothic" w:hint="eastAsia"/>
              </w:rPr>
              <w:t>☐</w:t>
            </w:r>
          </w:p>
        </w:tc>
      </w:tr>
      <w:tr>
        <w:trPr/>
        <w:tc>
          <w:tcPr>
            <w:cnfStyle w:val="001000010000"/>
            <w:tcW w:w="4106" w:type="dxa"/>
          </w:tcPr>
          <w:p w14:paraId="00000149">
            <w:pPr>
              <w:spacing w:after="0"/>
              <w:rPr>
                <w:rFonts w:asciiTheme="majorHAnsi" w:hAnsiTheme="majorHAnsi"/>
              </w:rPr>
            </w:pPr>
            <w:r>
              <w:rPr>
                <w:rFonts w:asciiTheme="majorHAnsi" w:hAnsiTheme="majorHAnsi"/>
              </w:rPr>
              <w:t>Gas marker tape for on-site pipes (mains only)</w:t>
            </w:r>
          </w:p>
        </w:tc>
        <w:tc>
          <w:tcPr>
            <w:cnfStyle w:val="000000010000"/>
            <w:tcW w:w="1985" w:type="dxa"/>
          </w:tcPr>
          <w:p w14:paraId="0000014A">
            <w:pPr>
              <w:spacing w:after="0"/>
              <w:rPr>
                <w:rFonts w:asciiTheme="majorHAnsi" w:hAnsiTheme="majorHAnsi"/>
              </w:rPr>
            </w:pPr>
          </w:p>
        </w:tc>
        <w:tc>
          <w:tcPr>
            <w:cnfStyle w:val="000000010000"/>
            <w:tcW w:w="1134" w:type="dxa"/>
          </w:tcPr>
          <w:p w14:paraId="0000014B">
            <w:pPr>
              <w:spacing w:after="0"/>
              <w:rPr>
                <w:rFonts w:asciiTheme="majorHAnsi" w:hAnsiTheme="majorHAnsi"/>
              </w:rPr>
            </w:pPr>
            <w:r>
              <w:rPr>
                <w:rFonts w:ascii="MS Gothic" w:eastAsia="MS Gothic" w:hAnsi="MS Gothic" w:hint="eastAsia"/>
              </w:rPr>
              <w:t>☐</w:t>
            </w:r>
          </w:p>
        </w:tc>
        <w:tc>
          <w:tcPr>
            <w:cnfStyle w:val="000000010000"/>
            <w:tcW w:w="1134" w:type="dxa"/>
          </w:tcPr>
          <w:p w14:paraId="0000014C">
            <w:pPr>
              <w:spacing w:after="0"/>
              <w:rPr>
                <w:rFonts w:asciiTheme="majorHAnsi" w:hAnsiTheme="majorHAnsi"/>
              </w:rPr>
            </w:pPr>
            <w:r>
              <w:rPr>
                <w:rFonts w:asciiTheme="majorHAnsi" w:eastAsia="MS Gothic" w:hAnsiTheme="majorHAnsi"/>
              </w:rPr>
              <w:t>☐</w:t>
            </w:r>
          </w:p>
        </w:tc>
        <w:tc>
          <w:tcPr>
            <w:cnfStyle w:val="000000010000"/>
            <w:tcW w:w="657" w:type="dxa"/>
          </w:tcPr>
          <w:p w14:paraId="0000014D">
            <w:pPr>
              <w:spacing w:after="0"/>
              <w:rPr>
                <w:rFonts w:asciiTheme="majorHAnsi" w:hAnsiTheme="majorHAnsi"/>
              </w:rPr>
            </w:pPr>
            <w:r>
              <w:rPr>
                <w:rFonts w:ascii="MS Gothic" w:eastAsia="MS Gothic" w:hAnsi="MS Gothic" w:hint="eastAsia"/>
              </w:rPr>
              <w:t>☐</w:t>
            </w:r>
          </w:p>
        </w:tc>
      </w:tr>
      <w:tr>
        <w:trPr/>
        <w:tc>
          <w:tcPr>
            <w:cnfStyle w:val="001000100000"/>
            <w:tcW w:w="4106" w:type="dxa"/>
          </w:tcPr>
          <w:p w14:paraId="0000014E">
            <w:pPr>
              <w:spacing w:after="0"/>
              <w:rPr>
                <w:rFonts w:asciiTheme="majorHAnsi" w:hAnsiTheme="majorHAnsi"/>
              </w:rPr>
            </w:pPr>
            <w:r>
              <w:rPr>
                <w:rFonts w:asciiTheme="majorHAnsi" w:hAnsiTheme="majorHAnsi"/>
              </w:rPr>
              <w:t xml:space="preserve">Gas marker tape for off-site </w:t>
            </w:r>
            <w:r>
              <w:rPr>
                <w:rFonts w:asciiTheme="majorHAnsi" w:hAnsiTheme="majorHAnsi"/>
              </w:rPr>
              <w:t>pipes(</w:t>
            </w:r>
            <w:r>
              <w:rPr>
                <w:rFonts w:asciiTheme="majorHAnsi" w:hAnsiTheme="majorHAnsi"/>
              </w:rPr>
              <w:t>mains only)</w:t>
            </w:r>
          </w:p>
        </w:tc>
        <w:tc>
          <w:tcPr>
            <w:cnfStyle w:val="000000100000"/>
            <w:tcW w:w="1985" w:type="dxa"/>
          </w:tcPr>
          <w:p w14:paraId="0000014F">
            <w:pPr>
              <w:spacing w:after="0"/>
              <w:rPr>
                <w:rFonts w:asciiTheme="majorHAnsi" w:hAnsiTheme="majorHAnsi"/>
              </w:rPr>
            </w:pPr>
          </w:p>
        </w:tc>
        <w:tc>
          <w:tcPr>
            <w:cnfStyle w:val="000000100000"/>
            <w:tcW w:w="1134" w:type="dxa"/>
          </w:tcPr>
          <w:p w14:paraId="00000150">
            <w:pPr>
              <w:spacing w:after="0"/>
              <w:rPr>
                <w:rFonts w:asciiTheme="majorHAnsi" w:hAnsiTheme="majorHAnsi"/>
              </w:rPr>
            </w:pPr>
            <w:r>
              <w:rPr>
                <w:rFonts w:ascii="MS Gothic" w:eastAsia="MS Gothic" w:hAnsi="MS Gothic" w:hint="eastAsia"/>
              </w:rPr>
              <w:t>☐</w:t>
            </w:r>
          </w:p>
        </w:tc>
        <w:tc>
          <w:tcPr>
            <w:cnfStyle w:val="000000100000"/>
            <w:tcW w:w="1134" w:type="dxa"/>
          </w:tcPr>
          <w:p w14:paraId="00000151">
            <w:pPr>
              <w:spacing w:after="0"/>
              <w:rPr>
                <w:rFonts w:asciiTheme="majorHAnsi" w:hAnsiTheme="majorHAnsi"/>
              </w:rPr>
            </w:pPr>
            <w:r>
              <w:rPr>
                <w:rFonts w:asciiTheme="majorHAnsi" w:eastAsia="MS Gothic" w:hAnsiTheme="majorHAnsi"/>
              </w:rPr>
              <w:t>☐</w:t>
            </w:r>
          </w:p>
        </w:tc>
        <w:tc>
          <w:tcPr>
            <w:cnfStyle w:val="000000100000"/>
            <w:tcW w:w="657" w:type="dxa"/>
          </w:tcPr>
          <w:p w14:paraId="00000152">
            <w:pPr>
              <w:spacing w:after="0"/>
              <w:rPr>
                <w:rFonts w:asciiTheme="majorHAnsi" w:hAnsiTheme="majorHAnsi"/>
              </w:rPr>
            </w:pPr>
            <w:r>
              <w:rPr>
                <w:rFonts w:ascii="MS Gothic" w:eastAsia="MS Gothic" w:hAnsi="MS Gothic" w:hint="eastAsia"/>
              </w:rPr>
              <w:t>☐</w:t>
            </w:r>
          </w:p>
        </w:tc>
      </w:tr>
      <w:tr>
        <w:trPr/>
        <w:tc>
          <w:tcPr>
            <w:cnfStyle w:val="001000010000"/>
            <w:tcW w:w="4106" w:type="dxa"/>
          </w:tcPr>
          <w:p w14:paraId="00000153">
            <w:pPr>
              <w:spacing w:after="0"/>
              <w:rPr>
                <w:rFonts w:asciiTheme="majorHAnsi" w:hAnsiTheme="majorHAnsi"/>
                <w:b/>
                <w:bCs/>
              </w:rPr>
            </w:pPr>
            <w:r>
              <w:rPr>
                <w:rFonts w:asciiTheme="majorHAnsi" w:hAnsiTheme="majorHAnsi"/>
                <w:b/>
                <w:bCs/>
                <w:color w:val="be4d14" w:themeColor="accent2" w:themeShade="bf"/>
              </w:rPr>
              <w:t xml:space="preserve">GENERAL </w:t>
            </w:r>
          </w:p>
        </w:tc>
        <w:tc>
          <w:tcPr>
            <w:cnfStyle w:val="000000010000"/>
            <w:tcW w:w="1985" w:type="dxa"/>
          </w:tcPr>
          <w:p w14:paraId="00000154">
            <w:pPr>
              <w:spacing w:after="0"/>
              <w:rPr>
                <w:rFonts w:asciiTheme="majorHAnsi" w:hAnsiTheme="majorHAnsi"/>
              </w:rPr>
            </w:pPr>
          </w:p>
        </w:tc>
        <w:tc>
          <w:tcPr>
            <w:cnfStyle w:val="000000010000"/>
            <w:tcW w:w="1134" w:type="dxa"/>
          </w:tcPr>
          <w:p w14:paraId="00000155">
            <w:pPr>
              <w:spacing w:after="0"/>
              <w:rPr>
                <w:rFonts w:asciiTheme="majorHAnsi" w:hAnsiTheme="majorHAnsi"/>
              </w:rPr>
            </w:pPr>
          </w:p>
        </w:tc>
        <w:tc>
          <w:tcPr>
            <w:cnfStyle w:val="000000010000"/>
            <w:tcW w:w="1134" w:type="dxa"/>
          </w:tcPr>
          <w:p w14:paraId="00000156">
            <w:pPr>
              <w:spacing w:after="0"/>
              <w:rPr>
                <w:rFonts w:asciiTheme="majorHAnsi" w:hAnsiTheme="majorHAnsi"/>
              </w:rPr>
            </w:pPr>
          </w:p>
        </w:tc>
        <w:tc>
          <w:tcPr>
            <w:cnfStyle w:val="000000010000"/>
            <w:tcW w:w="657" w:type="dxa"/>
          </w:tcPr>
          <w:p w14:paraId="00000157">
            <w:pPr>
              <w:spacing w:after="0"/>
              <w:rPr>
                <w:rFonts w:asciiTheme="majorHAnsi" w:hAnsiTheme="majorHAnsi"/>
              </w:rPr>
            </w:pPr>
          </w:p>
        </w:tc>
      </w:tr>
      <w:tr>
        <w:trPr/>
        <w:tc>
          <w:tcPr>
            <w:cnfStyle w:val="001000100000"/>
            <w:tcW w:w="4106" w:type="dxa"/>
          </w:tcPr>
          <w:p w14:paraId="00000158">
            <w:pPr>
              <w:spacing w:after="0"/>
              <w:rPr>
                <w:rFonts w:asciiTheme="majorHAnsi" w:hAnsiTheme="majorHAnsi"/>
              </w:rPr>
            </w:pPr>
            <w:r>
              <w:rPr>
                <w:rFonts w:asciiTheme="majorHAnsi" w:hAnsiTheme="majorHAnsi"/>
              </w:rPr>
              <w:t>Temporary water supply (compound/sales etc)</w:t>
            </w:r>
          </w:p>
        </w:tc>
        <w:tc>
          <w:tcPr>
            <w:cnfStyle w:val="000000100000"/>
            <w:tcW w:w="1985" w:type="dxa"/>
          </w:tcPr>
          <w:p w14:paraId="00000159">
            <w:pPr>
              <w:spacing w:after="0"/>
              <w:rPr>
                <w:rFonts w:asciiTheme="majorHAnsi" w:hAnsiTheme="majorHAnsi"/>
              </w:rPr>
            </w:pPr>
          </w:p>
        </w:tc>
        <w:tc>
          <w:tcPr>
            <w:cnfStyle w:val="000000100000"/>
            <w:tcW w:w="1134" w:type="dxa"/>
          </w:tcPr>
          <w:p w14:paraId="0000015A">
            <w:pPr>
              <w:spacing w:after="0"/>
              <w:rPr>
                <w:rFonts w:asciiTheme="majorHAnsi" w:hAnsiTheme="majorHAnsi"/>
              </w:rPr>
            </w:pPr>
            <w:r>
              <w:rPr>
                <w:rFonts w:ascii="MS Gothic" w:eastAsia="MS Gothic" w:hAnsi="MS Gothic" w:hint="eastAsia"/>
              </w:rPr>
              <w:t>☐</w:t>
            </w:r>
          </w:p>
        </w:tc>
        <w:tc>
          <w:tcPr>
            <w:cnfStyle w:val="000000100000"/>
            <w:tcW w:w="1134" w:type="dxa"/>
          </w:tcPr>
          <w:p w14:paraId="0000015B">
            <w:pPr>
              <w:spacing w:after="0"/>
              <w:rPr>
                <w:rFonts w:asciiTheme="majorHAnsi" w:hAnsiTheme="majorHAnsi"/>
              </w:rPr>
            </w:pPr>
            <w:r>
              <w:rPr>
                <w:rFonts w:asciiTheme="majorHAnsi" w:eastAsia="MS Gothic" w:hAnsiTheme="majorHAnsi"/>
              </w:rPr>
              <w:t>☐</w:t>
            </w:r>
          </w:p>
        </w:tc>
        <w:tc>
          <w:tcPr>
            <w:cnfStyle w:val="000000100000"/>
            <w:tcW w:w="657" w:type="dxa"/>
          </w:tcPr>
          <w:p w14:paraId="0000015C">
            <w:pPr>
              <w:spacing w:after="0"/>
              <w:rPr>
                <w:rFonts w:asciiTheme="majorHAnsi" w:hAnsiTheme="majorHAnsi"/>
              </w:rPr>
            </w:pPr>
            <w:r>
              <w:rPr>
                <w:rFonts w:ascii="MS Gothic" w:eastAsia="MS Gothic" w:hAnsi="MS Gothic" w:hint="eastAsia"/>
              </w:rPr>
              <w:t>☐</w:t>
            </w:r>
          </w:p>
        </w:tc>
      </w:tr>
      <w:tr>
        <w:trPr/>
        <w:tc>
          <w:tcPr>
            <w:cnfStyle w:val="001000010000"/>
            <w:tcW w:w="4106" w:type="dxa"/>
          </w:tcPr>
          <w:p w14:paraId="0000015D">
            <w:pPr>
              <w:spacing w:after="0"/>
              <w:rPr>
                <w:rFonts w:asciiTheme="majorHAnsi" w:hAnsiTheme="majorHAnsi"/>
              </w:rPr>
            </w:pPr>
            <w:r>
              <w:rPr>
                <w:rFonts w:asciiTheme="majorHAnsi" w:hAnsiTheme="majorHAnsi"/>
              </w:rPr>
              <w:t>Temporary electric supply (1ph or 3ph, compound /sales etc)</w:t>
            </w:r>
          </w:p>
        </w:tc>
        <w:tc>
          <w:tcPr>
            <w:cnfStyle w:val="000000010000"/>
            <w:tcW w:w="1985" w:type="dxa"/>
          </w:tcPr>
          <w:p w14:paraId="0000015E">
            <w:pPr>
              <w:spacing w:after="0"/>
              <w:rPr>
                <w:rFonts w:asciiTheme="majorHAnsi" w:hAnsiTheme="majorHAnsi"/>
              </w:rPr>
            </w:pPr>
          </w:p>
        </w:tc>
        <w:tc>
          <w:tcPr>
            <w:cnfStyle w:val="000000010000"/>
            <w:tcW w:w="1134" w:type="dxa"/>
          </w:tcPr>
          <w:p w14:paraId="0000015F">
            <w:pPr>
              <w:spacing w:after="0"/>
              <w:rPr>
                <w:rFonts w:asciiTheme="majorHAnsi" w:hAnsiTheme="majorHAnsi"/>
              </w:rPr>
            </w:pPr>
            <w:r>
              <w:rPr>
                <w:rFonts w:ascii="MS Gothic" w:eastAsia="MS Gothic" w:hAnsi="MS Gothic" w:hint="eastAsia"/>
              </w:rPr>
              <w:t>☐</w:t>
            </w:r>
          </w:p>
        </w:tc>
        <w:tc>
          <w:tcPr>
            <w:cnfStyle w:val="000000010000"/>
            <w:tcW w:w="1134" w:type="dxa"/>
          </w:tcPr>
          <w:p w14:paraId="00000160">
            <w:pPr>
              <w:spacing w:after="0"/>
              <w:rPr>
                <w:rFonts w:asciiTheme="majorHAnsi" w:hAnsiTheme="majorHAnsi"/>
              </w:rPr>
            </w:pPr>
            <w:r>
              <w:rPr>
                <w:rFonts w:ascii="MS Gothic" w:eastAsia="MS Gothic" w:hAnsi="MS Gothic" w:hint="eastAsia"/>
              </w:rPr>
              <w:t>☐</w:t>
            </w:r>
          </w:p>
        </w:tc>
        <w:tc>
          <w:tcPr>
            <w:cnfStyle w:val="000000010000"/>
            <w:tcW w:w="657" w:type="dxa"/>
          </w:tcPr>
          <w:p w14:paraId="00000161">
            <w:pPr>
              <w:spacing w:after="0"/>
              <w:rPr>
                <w:rFonts w:asciiTheme="majorHAnsi" w:hAnsiTheme="majorHAnsi"/>
              </w:rPr>
            </w:pPr>
            <w:r>
              <w:rPr>
                <w:rFonts w:ascii="MS Gothic" w:eastAsia="MS Gothic" w:hAnsi="MS Gothic" w:hint="eastAsia"/>
              </w:rPr>
              <w:t>☐</w:t>
            </w:r>
          </w:p>
        </w:tc>
      </w:tr>
      <w:tr>
        <w:trPr/>
        <w:tc>
          <w:tcPr>
            <w:cnfStyle w:val="001000100000"/>
            <w:tcW w:w="4106" w:type="dxa"/>
          </w:tcPr>
          <w:p w14:paraId="00000162">
            <w:pPr>
              <w:spacing w:after="0"/>
              <w:rPr>
                <w:rFonts w:asciiTheme="majorHAnsi" w:hAnsiTheme="majorHAnsi"/>
              </w:rPr>
            </w:pPr>
            <w:r>
              <w:rPr>
                <w:rFonts w:asciiTheme="majorHAnsi" w:hAnsiTheme="majorHAnsi"/>
              </w:rPr>
              <w:t>Onsite mains excavation (including provisions)</w:t>
            </w:r>
          </w:p>
        </w:tc>
        <w:tc>
          <w:tcPr>
            <w:cnfStyle w:val="000000100000"/>
            <w:tcW w:w="1985" w:type="dxa"/>
          </w:tcPr>
          <w:p w14:paraId="00000163">
            <w:pPr>
              <w:spacing w:after="0"/>
              <w:rPr>
                <w:rFonts w:asciiTheme="majorHAnsi" w:hAnsiTheme="majorHAnsi"/>
              </w:rPr>
            </w:pPr>
          </w:p>
        </w:tc>
        <w:tc>
          <w:tcPr>
            <w:cnfStyle w:val="000000100000"/>
            <w:tcW w:w="1134" w:type="dxa"/>
          </w:tcPr>
          <w:p w14:paraId="00000164">
            <w:pPr>
              <w:spacing w:after="0"/>
              <w:rPr>
                <w:rFonts w:asciiTheme="majorHAnsi" w:hAnsiTheme="majorHAnsi"/>
              </w:rPr>
            </w:pPr>
            <w:r>
              <w:rPr>
                <w:rFonts w:ascii="MS Gothic" w:eastAsia="MS Gothic" w:hAnsi="MS Gothic" w:hint="eastAsia"/>
              </w:rPr>
              <w:t>☐</w:t>
            </w:r>
          </w:p>
        </w:tc>
        <w:tc>
          <w:tcPr>
            <w:cnfStyle w:val="000000100000"/>
            <w:tcW w:w="1134" w:type="dxa"/>
          </w:tcPr>
          <w:p w14:paraId="00000165">
            <w:pPr>
              <w:spacing w:after="0"/>
              <w:rPr>
                <w:rFonts w:asciiTheme="majorHAnsi" w:hAnsiTheme="majorHAnsi"/>
              </w:rPr>
            </w:pPr>
            <w:r>
              <w:rPr>
                <w:rFonts w:ascii="MS Gothic" w:eastAsia="MS Gothic" w:hAnsi="MS Gothic" w:hint="eastAsia"/>
              </w:rPr>
              <w:t>☐</w:t>
            </w:r>
          </w:p>
        </w:tc>
        <w:tc>
          <w:tcPr>
            <w:cnfStyle w:val="000000100000"/>
            <w:tcW w:w="657" w:type="dxa"/>
          </w:tcPr>
          <w:p w14:paraId="00000166">
            <w:pPr>
              <w:spacing w:after="0"/>
              <w:rPr>
                <w:rFonts w:asciiTheme="majorHAnsi" w:hAnsiTheme="majorHAnsi"/>
              </w:rPr>
            </w:pPr>
            <w:r>
              <w:rPr>
                <w:rFonts w:asciiTheme="majorHAnsi" w:eastAsia="MS Gothic" w:hAnsiTheme="majorHAnsi"/>
              </w:rPr>
              <w:t>☐</w:t>
            </w:r>
          </w:p>
        </w:tc>
      </w:tr>
      <w:tr>
        <w:trPr/>
        <w:tc>
          <w:tcPr>
            <w:cnfStyle w:val="001000010000"/>
            <w:tcW w:w="4106" w:type="dxa"/>
          </w:tcPr>
          <w:p w14:paraId="00000167">
            <w:pPr>
              <w:spacing w:after="0"/>
              <w:rPr>
                <w:rFonts w:asciiTheme="majorHAnsi" w:hAnsiTheme="majorHAnsi"/>
              </w:rPr>
            </w:pPr>
            <w:r>
              <w:rPr>
                <w:rFonts w:asciiTheme="majorHAnsi" w:hAnsiTheme="majorHAnsi"/>
              </w:rPr>
              <w:t xml:space="preserve">Onsite service connection bays </w:t>
            </w:r>
          </w:p>
        </w:tc>
        <w:tc>
          <w:tcPr>
            <w:cnfStyle w:val="000000010000"/>
            <w:tcW w:w="1985" w:type="dxa"/>
          </w:tcPr>
          <w:p w14:paraId="00000168">
            <w:pPr>
              <w:spacing w:after="0"/>
              <w:rPr>
                <w:rFonts w:asciiTheme="majorHAnsi" w:hAnsiTheme="majorHAnsi"/>
              </w:rPr>
            </w:pPr>
          </w:p>
        </w:tc>
        <w:tc>
          <w:tcPr>
            <w:cnfStyle w:val="000000010000"/>
            <w:tcW w:w="1134" w:type="dxa"/>
          </w:tcPr>
          <w:p w14:paraId="00000169">
            <w:pPr>
              <w:spacing w:after="0"/>
              <w:rPr>
                <w:rFonts w:asciiTheme="majorHAnsi" w:hAnsiTheme="majorHAnsi"/>
              </w:rPr>
            </w:pPr>
            <w:r>
              <w:rPr>
                <w:rFonts w:ascii="MS Gothic" w:eastAsia="MS Gothic" w:hAnsi="MS Gothic" w:hint="eastAsia"/>
              </w:rPr>
              <w:t>☐</w:t>
            </w:r>
          </w:p>
        </w:tc>
        <w:tc>
          <w:tcPr>
            <w:cnfStyle w:val="000000010000"/>
            <w:tcW w:w="1134" w:type="dxa"/>
          </w:tcPr>
          <w:p w14:paraId="0000016A">
            <w:pPr>
              <w:spacing w:after="0"/>
              <w:rPr>
                <w:rFonts w:asciiTheme="majorHAnsi" w:hAnsiTheme="majorHAnsi"/>
              </w:rPr>
            </w:pPr>
            <w:r>
              <w:rPr>
                <w:rFonts w:asciiTheme="majorHAnsi" w:eastAsia="MS Gothic" w:hAnsiTheme="majorHAnsi"/>
              </w:rPr>
              <w:t>☐</w:t>
            </w:r>
          </w:p>
        </w:tc>
        <w:tc>
          <w:tcPr>
            <w:cnfStyle w:val="000000010000"/>
            <w:tcW w:w="657" w:type="dxa"/>
          </w:tcPr>
          <w:p w14:paraId="0000016B">
            <w:pPr>
              <w:spacing w:after="0"/>
              <w:rPr>
                <w:rFonts w:asciiTheme="majorHAnsi" w:hAnsiTheme="majorHAnsi"/>
              </w:rPr>
            </w:pPr>
            <w:r>
              <w:rPr>
                <w:rFonts w:asciiTheme="majorHAnsi" w:eastAsia="MS Gothic" w:hAnsiTheme="majorHAnsi"/>
              </w:rPr>
              <w:t>☐</w:t>
            </w:r>
          </w:p>
        </w:tc>
      </w:tr>
      <w:tr>
        <w:trPr/>
        <w:tc>
          <w:tcPr>
            <w:cnfStyle w:val="001000100000"/>
            <w:tcW w:w="4106" w:type="dxa"/>
          </w:tcPr>
          <w:p w14:paraId="0000016C">
            <w:pPr>
              <w:spacing w:after="0"/>
              <w:rPr>
                <w:rFonts w:asciiTheme="majorHAnsi" w:hAnsiTheme="majorHAnsi"/>
              </w:rPr>
            </w:pPr>
            <w:r>
              <w:rPr>
                <w:rFonts w:asciiTheme="majorHAnsi" w:hAnsiTheme="majorHAnsi"/>
              </w:rPr>
              <w:t>Lay only n-site mains, including sand and tape</w:t>
            </w:r>
          </w:p>
        </w:tc>
        <w:tc>
          <w:tcPr>
            <w:cnfStyle w:val="000000100000"/>
            <w:tcW w:w="1985" w:type="dxa"/>
          </w:tcPr>
          <w:p w14:paraId="0000016D">
            <w:pPr>
              <w:spacing w:after="0"/>
              <w:rPr>
                <w:rFonts w:asciiTheme="majorHAnsi" w:hAnsiTheme="majorHAnsi"/>
              </w:rPr>
            </w:pPr>
          </w:p>
        </w:tc>
        <w:tc>
          <w:tcPr>
            <w:cnfStyle w:val="000000100000"/>
            <w:tcW w:w="1134" w:type="dxa"/>
          </w:tcPr>
          <w:p w14:paraId="0000016E">
            <w:pPr>
              <w:spacing w:after="0"/>
              <w:rPr>
                <w:rFonts w:asciiTheme="majorHAnsi" w:hAnsiTheme="majorHAnsi"/>
              </w:rPr>
            </w:pPr>
            <w:r>
              <w:rPr>
                <w:rFonts w:ascii="MS Gothic" w:eastAsia="MS Gothic" w:hAnsi="MS Gothic" w:hint="eastAsia"/>
              </w:rPr>
              <w:t>☐</w:t>
            </w:r>
          </w:p>
        </w:tc>
        <w:tc>
          <w:tcPr>
            <w:cnfStyle w:val="000000100000"/>
            <w:tcW w:w="1134" w:type="dxa"/>
          </w:tcPr>
          <w:p w14:paraId="0000016F">
            <w:pPr>
              <w:spacing w:after="0"/>
              <w:rPr>
                <w:rFonts w:asciiTheme="majorHAnsi" w:hAnsiTheme="majorHAnsi"/>
              </w:rPr>
            </w:pPr>
            <w:r>
              <w:rPr>
                <w:rFonts w:ascii="MS Gothic" w:eastAsia="MS Gothic" w:hAnsi="MS Gothic" w:hint="eastAsia"/>
              </w:rPr>
              <w:t>☐</w:t>
            </w:r>
          </w:p>
        </w:tc>
        <w:tc>
          <w:tcPr>
            <w:cnfStyle w:val="000000100000"/>
            <w:tcW w:w="657" w:type="dxa"/>
          </w:tcPr>
          <w:p w14:paraId="00000170">
            <w:pPr>
              <w:spacing w:after="0"/>
              <w:rPr>
                <w:rFonts w:asciiTheme="majorHAnsi" w:hAnsiTheme="majorHAnsi"/>
              </w:rPr>
            </w:pPr>
            <w:r>
              <w:rPr>
                <w:rFonts w:asciiTheme="majorHAnsi" w:eastAsia="MS Gothic" w:hAnsiTheme="majorHAnsi"/>
              </w:rPr>
              <w:t>☐</w:t>
            </w:r>
          </w:p>
        </w:tc>
      </w:tr>
      <w:tr>
        <w:trPr/>
        <w:tc>
          <w:tcPr>
            <w:cnfStyle w:val="001000010000"/>
            <w:tcW w:w="4106" w:type="dxa"/>
          </w:tcPr>
          <w:p w14:paraId="00000171">
            <w:pPr>
              <w:spacing w:after="0"/>
              <w:rPr>
                <w:rFonts w:asciiTheme="majorHAnsi" w:hAnsiTheme="majorHAnsi"/>
              </w:rPr>
            </w:pPr>
            <w:r>
              <w:rPr>
                <w:rFonts w:asciiTheme="majorHAnsi" w:hAnsiTheme="majorHAnsi"/>
              </w:rPr>
              <w:t>Site entrance diversions</w:t>
            </w:r>
          </w:p>
        </w:tc>
        <w:tc>
          <w:tcPr>
            <w:cnfStyle w:val="000000010000"/>
            <w:tcW w:w="1985" w:type="dxa"/>
          </w:tcPr>
          <w:p w14:paraId="00000172">
            <w:pPr>
              <w:spacing w:after="0"/>
              <w:rPr>
                <w:rFonts w:asciiTheme="majorHAnsi" w:hAnsiTheme="majorHAnsi"/>
              </w:rPr>
            </w:pPr>
          </w:p>
        </w:tc>
        <w:tc>
          <w:tcPr>
            <w:cnfStyle w:val="000000010000"/>
            <w:tcW w:w="1134" w:type="dxa"/>
          </w:tcPr>
          <w:p w14:paraId="00000173">
            <w:pPr>
              <w:spacing w:after="0"/>
              <w:rPr>
                <w:rFonts w:asciiTheme="majorHAnsi" w:hAnsiTheme="majorHAnsi"/>
              </w:rPr>
            </w:pPr>
            <w:r>
              <w:rPr>
                <w:rFonts w:ascii="MS Gothic" w:eastAsia="MS Gothic" w:hAnsi="MS Gothic" w:hint="eastAsia"/>
              </w:rPr>
              <w:t>☐</w:t>
            </w:r>
          </w:p>
        </w:tc>
        <w:tc>
          <w:tcPr>
            <w:cnfStyle w:val="000000010000"/>
            <w:tcW w:w="1134" w:type="dxa"/>
          </w:tcPr>
          <w:p w14:paraId="00000174">
            <w:pPr>
              <w:spacing w:after="0"/>
              <w:rPr>
                <w:rFonts w:asciiTheme="majorHAnsi" w:hAnsiTheme="majorHAnsi"/>
              </w:rPr>
            </w:pPr>
            <w:r>
              <w:rPr>
                <w:rFonts w:asciiTheme="majorHAnsi" w:eastAsia="MS Gothic" w:hAnsiTheme="majorHAnsi"/>
              </w:rPr>
              <w:t>☐</w:t>
            </w:r>
          </w:p>
        </w:tc>
        <w:tc>
          <w:tcPr>
            <w:cnfStyle w:val="000000010000"/>
            <w:tcW w:w="657" w:type="dxa"/>
          </w:tcPr>
          <w:p w14:paraId="00000175">
            <w:pPr>
              <w:spacing w:after="0"/>
              <w:rPr>
                <w:rFonts w:asciiTheme="majorHAnsi" w:hAnsiTheme="majorHAnsi"/>
              </w:rPr>
            </w:pPr>
            <w:r>
              <w:rPr>
                <w:rFonts w:asciiTheme="majorHAnsi" w:eastAsia="MS Gothic" w:hAnsiTheme="majorHAnsi"/>
              </w:rPr>
              <w:t>☐</w:t>
            </w:r>
          </w:p>
        </w:tc>
      </w:tr>
      <w:tr>
        <w:trPr/>
        <w:tc>
          <w:tcPr>
            <w:cnfStyle w:val="001000100000"/>
            <w:tcW w:w="4106" w:type="dxa"/>
          </w:tcPr>
          <w:p w14:paraId="00000176">
            <w:pPr>
              <w:spacing w:after="0"/>
              <w:rPr>
                <w:rFonts w:asciiTheme="majorHAnsi" w:hAnsiTheme="majorHAnsi"/>
              </w:rPr>
            </w:pPr>
            <w:r>
              <w:rPr>
                <w:rFonts w:asciiTheme="majorHAnsi" w:hAnsiTheme="majorHAnsi"/>
              </w:rPr>
              <w:t xml:space="preserve">Traffic management costs </w:t>
            </w:r>
          </w:p>
        </w:tc>
        <w:tc>
          <w:tcPr>
            <w:cnfStyle w:val="000000100000"/>
            <w:tcW w:w="1985" w:type="dxa"/>
          </w:tcPr>
          <w:p w14:paraId="00000177">
            <w:pPr>
              <w:spacing w:after="0"/>
              <w:rPr>
                <w:rFonts w:asciiTheme="majorHAnsi" w:hAnsiTheme="majorHAnsi"/>
              </w:rPr>
            </w:pPr>
          </w:p>
        </w:tc>
        <w:tc>
          <w:tcPr>
            <w:cnfStyle w:val="000000100000"/>
            <w:tcW w:w="1134" w:type="dxa"/>
          </w:tcPr>
          <w:p w14:paraId="00000178">
            <w:pPr>
              <w:spacing w:after="0"/>
              <w:rPr>
                <w:rFonts w:asciiTheme="majorHAnsi" w:hAnsiTheme="majorHAnsi"/>
              </w:rPr>
            </w:pPr>
            <w:r>
              <w:rPr>
                <w:rFonts w:ascii="MS Gothic" w:eastAsia="MS Gothic" w:hAnsi="MS Gothic" w:hint="eastAsia"/>
              </w:rPr>
              <w:t>☐</w:t>
            </w:r>
          </w:p>
        </w:tc>
        <w:tc>
          <w:tcPr>
            <w:cnfStyle w:val="000000100000"/>
            <w:tcW w:w="1134" w:type="dxa"/>
          </w:tcPr>
          <w:p w14:paraId="00000179">
            <w:pPr>
              <w:spacing w:after="0"/>
              <w:rPr>
                <w:rFonts w:asciiTheme="majorHAnsi" w:hAnsiTheme="majorHAnsi"/>
              </w:rPr>
            </w:pPr>
            <w:r>
              <w:rPr>
                <w:rFonts w:asciiTheme="majorHAnsi" w:eastAsia="MS Gothic" w:hAnsiTheme="majorHAnsi"/>
              </w:rPr>
              <w:t>☐</w:t>
            </w:r>
          </w:p>
        </w:tc>
        <w:tc>
          <w:tcPr>
            <w:cnfStyle w:val="000000100000"/>
            <w:tcW w:w="657" w:type="dxa"/>
          </w:tcPr>
          <w:p w14:paraId="0000017A">
            <w:pPr>
              <w:spacing w:after="0"/>
              <w:rPr>
                <w:rFonts w:asciiTheme="majorHAnsi" w:hAnsiTheme="majorHAnsi"/>
              </w:rPr>
            </w:pPr>
            <w:r>
              <w:rPr>
                <w:rFonts w:ascii="MS Gothic" w:eastAsia="MS Gothic" w:hAnsi="MS Gothic" w:hint="eastAsia"/>
              </w:rPr>
              <w:t>☐</w:t>
            </w:r>
          </w:p>
        </w:tc>
      </w:tr>
      <w:tr>
        <w:trPr/>
        <w:tc>
          <w:tcPr>
            <w:cnfStyle w:val="001000010000"/>
            <w:tcW w:w="4106" w:type="dxa"/>
          </w:tcPr>
          <w:p w14:paraId="0000017B">
            <w:pPr>
              <w:spacing w:after="0"/>
              <w:rPr>
                <w:rFonts w:asciiTheme="majorHAnsi" w:hAnsiTheme="majorHAnsi"/>
              </w:rPr>
            </w:pPr>
            <w:r>
              <w:rPr>
                <w:rFonts w:asciiTheme="majorHAnsi" w:hAnsiTheme="majorHAnsi"/>
              </w:rPr>
              <w:t xml:space="preserve">Streetworks notices for all off site works </w:t>
            </w:r>
          </w:p>
        </w:tc>
        <w:tc>
          <w:tcPr>
            <w:cnfStyle w:val="000000010000"/>
            <w:tcW w:w="1985" w:type="dxa"/>
          </w:tcPr>
          <w:p w14:paraId="0000017C">
            <w:pPr>
              <w:spacing w:after="0"/>
              <w:rPr>
                <w:rFonts w:asciiTheme="majorHAnsi" w:hAnsiTheme="majorHAnsi"/>
              </w:rPr>
            </w:pPr>
          </w:p>
        </w:tc>
        <w:tc>
          <w:tcPr>
            <w:cnfStyle w:val="000000010000"/>
            <w:tcW w:w="1134" w:type="dxa"/>
          </w:tcPr>
          <w:p w14:paraId="0000017D">
            <w:pPr>
              <w:spacing w:after="0"/>
              <w:rPr>
                <w:rFonts w:asciiTheme="majorHAnsi" w:hAnsiTheme="majorHAnsi"/>
              </w:rPr>
            </w:pPr>
            <w:r>
              <w:rPr>
                <w:rFonts w:ascii="MS Gothic" w:eastAsia="MS Gothic" w:hAnsi="MS Gothic" w:hint="eastAsia"/>
              </w:rPr>
              <w:t>☐</w:t>
            </w:r>
          </w:p>
        </w:tc>
        <w:tc>
          <w:tcPr>
            <w:cnfStyle w:val="000000010000"/>
            <w:tcW w:w="1134" w:type="dxa"/>
          </w:tcPr>
          <w:p w14:paraId="0000017E">
            <w:pPr>
              <w:spacing w:after="0"/>
              <w:rPr>
                <w:rFonts w:asciiTheme="majorHAnsi" w:hAnsiTheme="majorHAnsi"/>
              </w:rPr>
            </w:pPr>
            <w:r>
              <w:rPr>
                <w:rFonts w:asciiTheme="majorHAnsi" w:eastAsia="MS Gothic" w:hAnsiTheme="majorHAnsi"/>
              </w:rPr>
              <w:t>☐</w:t>
            </w:r>
          </w:p>
        </w:tc>
        <w:tc>
          <w:tcPr>
            <w:cnfStyle w:val="000000010000"/>
            <w:tcW w:w="657" w:type="dxa"/>
          </w:tcPr>
          <w:p w14:paraId="0000017F">
            <w:pPr>
              <w:spacing w:after="0"/>
              <w:rPr>
                <w:rFonts w:asciiTheme="majorHAnsi" w:hAnsiTheme="majorHAnsi"/>
              </w:rPr>
            </w:pPr>
            <w:r>
              <w:rPr>
                <w:rFonts w:asciiTheme="majorHAnsi" w:eastAsia="MS Gothic" w:hAnsiTheme="majorHAnsi"/>
              </w:rPr>
              <w:t>☐</w:t>
            </w:r>
          </w:p>
        </w:tc>
      </w:tr>
      <w:tr>
        <w:trPr/>
        <w:tc>
          <w:tcPr>
            <w:cnfStyle w:val="001000100000"/>
            <w:tcW w:w="4106" w:type="dxa"/>
          </w:tcPr>
          <w:p w14:paraId="00000180">
            <w:pPr>
              <w:spacing w:after="0"/>
              <w:rPr>
                <w:rFonts w:asciiTheme="majorHAnsi" w:hAnsiTheme="majorHAnsi"/>
              </w:rPr>
            </w:pPr>
            <w:r>
              <w:rPr>
                <w:rFonts w:asciiTheme="majorHAnsi" w:hAnsiTheme="majorHAnsi"/>
              </w:rPr>
              <w:t xml:space="preserve">Utility infrastructure design </w:t>
            </w:r>
          </w:p>
        </w:tc>
        <w:tc>
          <w:tcPr>
            <w:cnfStyle w:val="000000100000"/>
            <w:tcW w:w="1985" w:type="dxa"/>
          </w:tcPr>
          <w:p w14:paraId="00000181">
            <w:pPr>
              <w:spacing w:after="0"/>
              <w:rPr>
                <w:rFonts w:asciiTheme="majorHAnsi" w:hAnsiTheme="majorHAnsi"/>
              </w:rPr>
            </w:pPr>
          </w:p>
        </w:tc>
        <w:tc>
          <w:tcPr>
            <w:cnfStyle w:val="000000100000"/>
            <w:tcW w:w="1134" w:type="dxa"/>
          </w:tcPr>
          <w:p w14:paraId="00000182">
            <w:pPr>
              <w:spacing w:after="0"/>
              <w:rPr>
                <w:rFonts w:asciiTheme="majorHAnsi" w:hAnsiTheme="majorHAnsi"/>
              </w:rPr>
            </w:pPr>
            <w:r>
              <w:rPr>
                <w:rFonts w:ascii="MS Gothic" w:eastAsia="MS Gothic" w:hAnsi="MS Gothic" w:hint="eastAsia"/>
              </w:rPr>
              <w:t>☐</w:t>
            </w:r>
          </w:p>
        </w:tc>
        <w:tc>
          <w:tcPr>
            <w:cnfStyle w:val="000000100000"/>
            <w:tcW w:w="1134" w:type="dxa"/>
          </w:tcPr>
          <w:p w14:paraId="00000183">
            <w:pPr>
              <w:spacing w:after="0"/>
              <w:rPr>
                <w:rFonts w:asciiTheme="majorHAnsi" w:hAnsiTheme="majorHAnsi"/>
              </w:rPr>
            </w:pPr>
            <w:r>
              <w:rPr>
                <w:rFonts w:asciiTheme="majorHAnsi" w:eastAsia="MS Gothic" w:hAnsiTheme="majorHAnsi"/>
              </w:rPr>
              <w:t>☐</w:t>
            </w:r>
          </w:p>
        </w:tc>
        <w:tc>
          <w:tcPr>
            <w:cnfStyle w:val="000000100000"/>
            <w:tcW w:w="657" w:type="dxa"/>
          </w:tcPr>
          <w:p w14:paraId="00000184">
            <w:pPr>
              <w:spacing w:after="0"/>
              <w:rPr>
                <w:rFonts w:asciiTheme="majorHAnsi" w:hAnsiTheme="majorHAnsi"/>
              </w:rPr>
            </w:pPr>
            <w:r>
              <w:rPr>
                <w:rFonts w:asciiTheme="majorHAnsi" w:eastAsia="MS Gothic" w:hAnsiTheme="majorHAnsi"/>
              </w:rPr>
              <w:t>☐</w:t>
            </w:r>
          </w:p>
        </w:tc>
      </w:tr>
    </w:tbl>
    <w:p w14:paraId="00000185">
      <w:pPr>
        <w:spacing w:after="0"/>
        <w:rPr>
          <w:rFonts w:asciiTheme="majorHAnsi" w:hAnsiTheme="majorHAnsi"/>
        </w:rPr>
      </w:pPr>
    </w:p>
    <w:tbl>
      <w:tblPr>
        <w:tblStyle w:val="TableGrid"/>
        <w:tblW w:w="0" w:type="auto"/>
        <w:tblLook w:val="04A0"/>
      </w:tblPr>
      <w:tblGrid>
        <w:gridCol w:w="4110"/>
        <w:gridCol w:w="2001"/>
        <w:gridCol w:w="1112"/>
        <w:gridCol w:w="1148"/>
        <w:gridCol w:w="645"/>
      </w:tblGrid>
      <w:tr>
        <w:trPr/>
        <w:tc>
          <w:tcPr>
            <w:cnfStyle w:val="101000000000"/>
            <w:tcW w:w="4122" w:type="dxa"/>
          </w:tcPr>
          <w:p w14:paraId="00000186">
            <w:pPr>
              <w:spacing w:after="0"/>
              <w:rPr>
                <w:rFonts w:asciiTheme="majorHAnsi" w:hAnsiTheme="majorHAnsi"/>
                <w:b/>
                <w:bCs/>
              </w:rPr>
            </w:pPr>
            <w:r>
              <w:rPr>
                <w:rFonts w:asciiTheme="majorHAnsi" w:hAnsiTheme="majorHAnsi"/>
                <w:b/>
                <w:bCs/>
              </w:rPr>
              <w:t>Activity</w:t>
            </w:r>
          </w:p>
        </w:tc>
        <w:tc>
          <w:tcPr>
            <w:cnfStyle w:val="100000000000"/>
            <w:tcW w:w="2008" w:type="dxa"/>
          </w:tcPr>
          <w:p w14:paraId="00000187">
            <w:pPr>
              <w:spacing w:after="0"/>
              <w:rPr>
                <w:rFonts w:asciiTheme="majorHAnsi" w:hAnsiTheme="majorHAnsi"/>
                <w:b/>
                <w:bCs/>
              </w:rPr>
            </w:pPr>
            <w:r>
              <w:rPr>
                <w:rFonts w:asciiTheme="majorHAnsi" w:hAnsiTheme="majorHAnsi"/>
                <w:b/>
                <w:bCs/>
              </w:rPr>
              <w:t xml:space="preserve">Comments </w:t>
            </w:r>
          </w:p>
        </w:tc>
        <w:tc>
          <w:tcPr>
            <w:cnfStyle w:val="100000000000"/>
            <w:tcW w:w="1100" w:type="dxa"/>
          </w:tcPr>
          <w:p w14:paraId="00000188">
            <w:pPr>
              <w:spacing w:after="0"/>
              <w:rPr>
                <w:rFonts w:asciiTheme="majorHAnsi" w:hAnsiTheme="majorHAnsi"/>
                <w:b/>
                <w:bCs/>
              </w:rPr>
            </w:pPr>
            <w:r>
              <w:rPr>
                <w:rFonts w:asciiTheme="majorHAnsi" w:hAnsiTheme="majorHAnsi"/>
                <w:b/>
                <w:bCs/>
              </w:rPr>
              <w:t>Included (by AU)</w:t>
            </w:r>
          </w:p>
        </w:tc>
        <w:tc>
          <w:tcPr>
            <w:cnfStyle w:val="100000000000"/>
            <w:tcW w:w="1139" w:type="dxa"/>
          </w:tcPr>
          <w:p w14:paraId="00000189">
            <w:pPr>
              <w:spacing w:after="0"/>
              <w:rPr>
                <w:rFonts w:asciiTheme="majorHAnsi" w:hAnsiTheme="majorHAnsi"/>
                <w:b/>
                <w:bCs/>
              </w:rPr>
            </w:pPr>
            <w:r>
              <w:rPr>
                <w:rFonts w:asciiTheme="majorHAnsi" w:hAnsiTheme="majorHAnsi"/>
                <w:b/>
                <w:bCs/>
              </w:rPr>
              <w:t>Excluded (by others)</w:t>
            </w:r>
          </w:p>
        </w:tc>
        <w:tc>
          <w:tcPr>
            <w:cnfStyle w:val="100000000000"/>
            <w:tcW w:w="647" w:type="dxa"/>
          </w:tcPr>
          <w:p w14:paraId="0000018A">
            <w:pPr>
              <w:spacing w:after="0"/>
              <w:rPr>
                <w:rFonts w:asciiTheme="majorHAnsi" w:hAnsiTheme="majorHAnsi"/>
                <w:b/>
                <w:bCs/>
              </w:rPr>
            </w:pPr>
            <w:r>
              <w:rPr>
                <w:rFonts w:asciiTheme="majorHAnsi" w:hAnsiTheme="majorHAnsi"/>
                <w:b/>
                <w:bCs/>
              </w:rPr>
              <w:t>N/A</w:t>
            </w:r>
          </w:p>
        </w:tc>
      </w:tr>
      <w:tr>
        <w:trPr/>
        <w:tc>
          <w:tcPr>
            <w:cnfStyle w:val="001000100000"/>
            <w:tcW w:w="9016" w:type="dxa"/>
            <w:gridSpan w:val="5"/>
          </w:tcPr>
          <w:p w14:paraId="0000018B">
            <w:pPr>
              <w:spacing w:after="0"/>
              <w:rPr>
                <w:rFonts w:asciiTheme="majorHAnsi" w:hAnsiTheme="majorHAnsi"/>
                <w:b/>
                <w:bCs/>
              </w:rPr>
            </w:pPr>
            <w:r>
              <w:rPr>
                <w:rFonts w:asciiTheme="majorHAnsi" w:hAnsiTheme="majorHAnsi"/>
                <w:b/>
                <w:bCs/>
                <w:color w:val="747474" w:themeColor="background2" w:themeShade="80"/>
              </w:rPr>
              <w:t>MISCELLANEOUS</w:t>
            </w:r>
          </w:p>
        </w:tc>
      </w:tr>
      <w:tr>
        <w:trPr/>
        <w:tc>
          <w:tcPr>
            <w:cnfStyle w:val="001000010000"/>
            <w:tcW w:w="4122" w:type="dxa"/>
          </w:tcPr>
          <w:p w14:paraId="0000018C">
            <w:pPr>
              <w:spacing w:after="0"/>
              <w:rPr>
                <w:rFonts w:asciiTheme="majorHAnsi" w:hAnsiTheme="majorHAnsi"/>
              </w:rPr>
            </w:pPr>
            <w:r>
              <w:rPr>
                <w:rFonts w:asciiTheme="majorHAnsi" w:hAnsiTheme="majorHAnsi"/>
              </w:rPr>
              <w:t>Request and forwarding of MPAN numbers (electric)</w:t>
            </w:r>
          </w:p>
        </w:tc>
        <w:tc>
          <w:tcPr>
            <w:cnfStyle w:val="000000010000"/>
            <w:tcW w:w="2008" w:type="dxa"/>
          </w:tcPr>
          <w:p w14:paraId="0000018D">
            <w:pPr>
              <w:spacing w:after="0"/>
              <w:rPr>
                <w:rFonts w:asciiTheme="majorHAnsi" w:hAnsiTheme="majorHAnsi"/>
                <w:i/>
                <w:iCs/>
                <w:sz w:val="18"/>
                <w:szCs w:val="18"/>
              </w:rPr>
            </w:pPr>
            <w:r>
              <w:rPr>
                <w:rFonts w:asciiTheme="majorHAnsi" w:hAnsiTheme="majorHAnsi"/>
                <w:i/>
                <w:iCs/>
                <w:sz w:val="18"/>
                <w:szCs w:val="18"/>
              </w:rPr>
              <w:t xml:space="preserve">Electric meter management is often excluded by others </w:t>
            </w:r>
          </w:p>
        </w:tc>
        <w:tc>
          <w:tcPr>
            <w:cnfStyle w:val="000000010000"/>
            <w:tcW w:w="1100" w:type="dxa"/>
          </w:tcPr>
          <w:p w14:paraId="0000018E">
            <w:pPr>
              <w:spacing w:after="0"/>
              <w:rPr>
                <w:rFonts w:asciiTheme="majorHAnsi" w:hAnsiTheme="majorHAnsi"/>
              </w:rPr>
            </w:pPr>
            <w:r>
              <w:rPr>
                <w:rFonts w:ascii="MS Gothic" w:eastAsia="MS Gothic" w:hAnsi="MS Gothic" w:hint="eastAsia"/>
              </w:rPr>
              <w:t>☐</w:t>
            </w:r>
          </w:p>
        </w:tc>
        <w:tc>
          <w:tcPr>
            <w:cnfStyle w:val="000000010000"/>
            <w:tcW w:w="1139" w:type="dxa"/>
          </w:tcPr>
          <w:p w14:paraId="0000018F">
            <w:pPr>
              <w:spacing w:after="0"/>
              <w:rPr>
                <w:rFonts w:asciiTheme="majorHAnsi" w:hAnsiTheme="majorHAnsi"/>
              </w:rPr>
            </w:pPr>
            <w:r>
              <w:rPr>
                <w:rFonts w:asciiTheme="majorHAnsi" w:eastAsia="MS Gothic" w:hAnsiTheme="majorHAnsi"/>
              </w:rPr>
              <w:t>☐</w:t>
            </w:r>
          </w:p>
        </w:tc>
        <w:tc>
          <w:tcPr>
            <w:cnfStyle w:val="000000010000"/>
            <w:tcW w:w="647" w:type="dxa"/>
          </w:tcPr>
          <w:p w14:paraId="00000190">
            <w:pPr>
              <w:spacing w:after="0"/>
              <w:rPr>
                <w:rFonts w:asciiTheme="majorHAnsi" w:hAnsiTheme="majorHAnsi"/>
              </w:rPr>
            </w:pPr>
            <w:r>
              <w:rPr>
                <w:rFonts w:asciiTheme="majorHAnsi" w:eastAsia="MS Gothic" w:hAnsiTheme="majorHAnsi"/>
              </w:rPr>
              <w:t>☐</w:t>
            </w:r>
          </w:p>
        </w:tc>
      </w:tr>
      <w:tr>
        <w:trPr/>
        <w:tc>
          <w:tcPr>
            <w:cnfStyle w:val="001000100000"/>
            <w:tcW w:w="4122" w:type="dxa"/>
          </w:tcPr>
          <w:p w14:paraId="00000191">
            <w:pPr>
              <w:spacing w:after="0"/>
              <w:rPr>
                <w:rFonts w:asciiTheme="majorHAnsi" w:hAnsiTheme="majorHAnsi"/>
              </w:rPr>
            </w:pPr>
            <w:r>
              <w:rPr>
                <w:rFonts w:asciiTheme="majorHAnsi" w:hAnsiTheme="majorHAnsi"/>
              </w:rPr>
              <w:t xml:space="preserve">Onsite ducting plan available after acceptance – inclusive of drainage consideration. Offered on request </w:t>
            </w:r>
          </w:p>
        </w:tc>
        <w:tc>
          <w:tcPr>
            <w:cnfStyle w:val="000000100000"/>
            <w:tcW w:w="2008" w:type="dxa"/>
          </w:tcPr>
          <w:p w14:paraId="00000192">
            <w:pPr>
              <w:spacing w:after="0"/>
              <w:rPr>
                <w:rFonts w:asciiTheme="majorHAnsi" w:hAnsiTheme="majorHAnsi"/>
              </w:rPr>
            </w:pPr>
          </w:p>
        </w:tc>
        <w:tc>
          <w:tcPr>
            <w:cnfStyle w:val="000000100000"/>
            <w:tcW w:w="1100" w:type="dxa"/>
          </w:tcPr>
          <w:p w14:paraId="00000193">
            <w:pPr>
              <w:spacing w:after="0"/>
              <w:rPr>
                <w:rFonts w:asciiTheme="majorHAnsi" w:hAnsiTheme="majorHAnsi"/>
              </w:rPr>
            </w:pPr>
            <w:r>
              <w:rPr>
                <w:rFonts w:ascii="MS Gothic" w:eastAsia="MS Gothic" w:hAnsi="MS Gothic" w:hint="eastAsia"/>
              </w:rPr>
              <w:t>☐</w:t>
            </w:r>
          </w:p>
        </w:tc>
        <w:tc>
          <w:tcPr>
            <w:cnfStyle w:val="000000100000"/>
            <w:tcW w:w="1139" w:type="dxa"/>
          </w:tcPr>
          <w:p w14:paraId="00000194">
            <w:pPr>
              <w:spacing w:after="0"/>
              <w:rPr>
                <w:rFonts w:asciiTheme="majorHAnsi" w:hAnsiTheme="majorHAnsi"/>
              </w:rPr>
            </w:pPr>
            <w:r>
              <w:rPr>
                <w:rFonts w:asciiTheme="majorHAnsi" w:eastAsia="MS Gothic" w:hAnsiTheme="majorHAnsi"/>
              </w:rPr>
              <w:t>☐</w:t>
            </w:r>
          </w:p>
        </w:tc>
        <w:tc>
          <w:tcPr>
            <w:cnfStyle w:val="000000100000"/>
            <w:tcW w:w="647" w:type="dxa"/>
          </w:tcPr>
          <w:p w14:paraId="00000195">
            <w:pPr>
              <w:spacing w:after="0"/>
              <w:rPr>
                <w:rFonts w:asciiTheme="majorHAnsi" w:hAnsiTheme="majorHAnsi"/>
              </w:rPr>
            </w:pPr>
            <w:r>
              <w:rPr>
                <w:rFonts w:asciiTheme="majorHAnsi" w:eastAsia="MS Gothic" w:hAnsiTheme="majorHAnsi"/>
              </w:rPr>
              <w:t>☐</w:t>
            </w:r>
          </w:p>
        </w:tc>
      </w:tr>
      <w:tr>
        <w:trPr/>
        <w:tc>
          <w:tcPr>
            <w:cnfStyle w:val="001000010000"/>
            <w:tcW w:w="4122" w:type="dxa"/>
          </w:tcPr>
          <w:p w14:paraId="00000196">
            <w:pPr>
              <w:spacing w:after="0"/>
              <w:rPr>
                <w:rFonts w:asciiTheme="majorHAnsi" w:hAnsiTheme="majorHAnsi"/>
              </w:rPr>
            </w:pPr>
            <w:r>
              <w:rPr>
                <w:rFonts w:asciiTheme="majorHAnsi" w:hAnsiTheme="majorHAnsi"/>
              </w:rPr>
              <w:t xml:space="preserve">Testing and commissioning of all installed equipment </w:t>
            </w:r>
          </w:p>
        </w:tc>
        <w:tc>
          <w:tcPr>
            <w:cnfStyle w:val="000000010000"/>
            <w:tcW w:w="2008" w:type="dxa"/>
          </w:tcPr>
          <w:p w14:paraId="00000197">
            <w:pPr>
              <w:spacing w:after="0"/>
              <w:rPr>
                <w:rFonts w:asciiTheme="majorHAnsi" w:hAnsiTheme="majorHAnsi"/>
              </w:rPr>
            </w:pPr>
          </w:p>
        </w:tc>
        <w:tc>
          <w:tcPr>
            <w:cnfStyle w:val="000000010000"/>
            <w:tcW w:w="1100" w:type="dxa"/>
          </w:tcPr>
          <w:p w14:paraId="00000198">
            <w:pPr>
              <w:spacing w:after="0"/>
              <w:rPr>
                <w:rFonts w:asciiTheme="majorHAnsi" w:hAnsiTheme="majorHAnsi"/>
              </w:rPr>
            </w:pPr>
            <w:r>
              <w:rPr>
                <w:rFonts w:ascii="MS Gothic" w:eastAsia="MS Gothic" w:hAnsi="MS Gothic" w:hint="eastAsia"/>
              </w:rPr>
              <w:t>☐</w:t>
            </w:r>
          </w:p>
        </w:tc>
        <w:tc>
          <w:tcPr>
            <w:cnfStyle w:val="000000010000"/>
            <w:tcW w:w="1139" w:type="dxa"/>
          </w:tcPr>
          <w:p w14:paraId="00000199">
            <w:pPr>
              <w:spacing w:after="0"/>
              <w:rPr>
                <w:rFonts w:asciiTheme="majorHAnsi" w:hAnsiTheme="majorHAnsi"/>
              </w:rPr>
            </w:pPr>
            <w:r>
              <w:rPr>
                <w:rFonts w:asciiTheme="majorHAnsi" w:eastAsia="MS Gothic" w:hAnsiTheme="majorHAnsi"/>
              </w:rPr>
              <w:t>☐</w:t>
            </w:r>
          </w:p>
        </w:tc>
        <w:tc>
          <w:tcPr>
            <w:cnfStyle w:val="000000010000"/>
            <w:tcW w:w="647" w:type="dxa"/>
          </w:tcPr>
          <w:p w14:paraId="0000019A">
            <w:pPr>
              <w:spacing w:after="0"/>
              <w:rPr>
                <w:rFonts w:asciiTheme="majorHAnsi" w:hAnsiTheme="majorHAnsi"/>
              </w:rPr>
            </w:pPr>
            <w:r>
              <w:rPr>
                <w:rFonts w:asciiTheme="majorHAnsi" w:eastAsia="MS Gothic" w:hAnsiTheme="majorHAnsi"/>
              </w:rPr>
              <w:t>☐</w:t>
            </w:r>
          </w:p>
        </w:tc>
      </w:tr>
      <w:tr>
        <w:trPr/>
        <w:tc>
          <w:tcPr>
            <w:cnfStyle w:val="001000100000"/>
            <w:tcW w:w="4122" w:type="dxa"/>
          </w:tcPr>
          <w:p w14:paraId="0000019B">
            <w:pPr>
              <w:spacing w:after="0"/>
              <w:rPr>
                <w:rFonts w:asciiTheme="majorHAnsi" w:hAnsiTheme="majorHAnsi"/>
              </w:rPr>
            </w:pPr>
            <w:r>
              <w:rPr>
                <w:rFonts w:asciiTheme="majorHAnsi" w:hAnsiTheme="majorHAnsi"/>
              </w:rPr>
              <w:t xml:space="preserve">As laid records for installed networks – constantly updated </w:t>
            </w:r>
          </w:p>
        </w:tc>
        <w:tc>
          <w:tcPr>
            <w:cnfStyle w:val="000000100000"/>
            <w:tcW w:w="2008" w:type="dxa"/>
          </w:tcPr>
          <w:p w14:paraId="0000019C">
            <w:pPr>
              <w:spacing w:after="0"/>
              <w:rPr>
                <w:rFonts w:asciiTheme="majorHAnsi" w:hAnsiTheme="majorHAnsi"/>
              </w:rPr>
            </w:pPr>
          </w:p>
        </w:tc>
        <w:tc>
          <w:tcPr>
            <w:cnfStyle w:val="000000100000"/>
            <w:tcW w:w="1100" w:type="dxa"/>
          </w:tcPr>
          <w:p w14:paraId="0000019D">
            <w:pPr>
              <w:spacing w:after="0"/>
              <w:rPr>
                <w:rFonts w:asciiTheme="majorHAnsi" w:hAnsiTheme="majorHAnsi"/>
              </w:rPr>
            </w:pPr>
            <w:r>
              <w:rPr>
                <w:rFonts w:ascii="MS Gothic" w:eastAsia="MS Gothic" w:hAnsi="MS Gothic" w:hint="eastAsia"/>
              </w:rPr>
              <w:t>☐</w:t>
            </w:r>
          </w:p>
        </w:tc>
        <w:tc>
          <w:tcPr>
            <w:cnfStyle w:val="000000100000"/>
            <w:tcW w:w="1139" w:type="dxa"/>
          </w:tcPr>
          <w:p w14:paraId="0000019E">
            <w:pPr>
              <w:spacing w:after="0"/>
              <w:rPr>
                <w:rFonts w:asciiTheme="majorHAnsi" w:hAnsiTheme="majorHAnsi"/>
              </w:rPr>
            </w:pPr>
            <w:r>
              <w:rPr>
                <w:rFonts w:asciiTheme="majorHAnsi" w:eastAsia="MS Gothic" w:hAnsiTheme="majorHAnsi"/>
              </w:rPr>
              <w:t>☐</w:t>
            </w:r>
          </w:p>
        </w:tc>
        <w:tc>
          <w:tcPr>
            <w:cnfStyle w:val="000000100000"/>
            <w:tcW w:w="647" w:type="dxa"/>
          </w:tcPr>
          <w:p w14:paraId="0000019F">
            <w:pPr>
              <w:spacing w:after="0"/>
              <w:rPr>
                <w:rFonts w:asciiTheme="majorHAnsi" w:hAnsiTheme="majorHAnsi"/>
              </w:rPr>
            </w:pPr>
            <w:r>
              <w:rPr>
                <w:rFonts w:asciiTheme="majorHAnsi" w:eastAsia="MS Gothic" w:hAnsiTheme="majorHAnsi"/>
              </w:rPr>
              <w:t>☐</w:t>
            </w:r>
          </w:p>
        </w:tc>
      </w:tr>
    </w:tbl>
    <w:p w14:paraId="000001A0">
      <w:pPr>
        <w:rPr>
          <w:rFonts w:asciiTheme="majorHAnsi" w:hAnsiTheme="majorHAnsi"/>
        </w:rPr>
      </w:pPr>
    </w:p>
    <w:p w14:paraId="000001A1">
      <w:pPr>
        <w:rPr>
          <w:rFonts w:asciiTheme="majorHAnsi" w:hAnsiTheme="majorHAnsi"/>
        </w:rPr>
      </w:pPr>
    </w:p>
    <w:p w14:paraId="000001A2">
      <w:pPr>
        <w:rPr>
          <w:rFonts w:asciiTheme="majorHAnsi" w:hAnsiTheme="majorHAnsi"/>
        </w:rPr>
      </w:pPr>
    </w:p>
    <w:p w14:paraId="000001A3">
      <w:pPr>
        <w:rPr>
          <w:rFonts w:asciiTheme="majorHAnsi" w:hAnsiTheme="majorHAnsi"/>
        </w:rPr>
      </w:pPr>
    </w:p>
    <w:p w14:paraId="000001A4">
      <w:pPr>
        <w:rPr>
          <w:rFonts w:asciiTheme="majorHAnsi" w:hAnsiTheme="majorHAnsi"/>
          <w:b/>
          <w:bCs/>
        </w:rPr>
      </w:pPr>
      <w:r>
        <w:rPr>
          <w:rFonts w:asciiTheme="majorHAnsi" w:hAnsiTheme="majorHAnsi"/>
          <w:b/>
          <w:bCs/>
          <w:color w:val="4b92d9" w:themeColor="text2" w:themeTint="80"/>
        </w:rPr>
        <w:t xml:space="preserve">SITE SPECIFIC CLARIFICATIONS </w:t>
      </w:r>
      <w:r>
        <w:rPr>
          <w:rFonts w:asciiTheme="majorHAnsi" w:hAnsiTheme="majorHAnsi"/>
          <w:b/>
          <w:bCs/>
        </w:rPr>
        <w:tab/>
      </w:r>
      <w:r>
        <w:rPr>
          <w:rFonts w:asciiTheme="majorHAnsi" w:hAnsiTheme="majorHAnsi"/>
          <w:b/>
          <w:bCs/>
        </w:rPr>
        <w:tab/>
      </w:r>
    </w:p>
    <w:p w14:paraId="000001A5">
      <w:pPr>
        <w:pStyle w:val="ListParagraph"/>
        <w:numPr>
          <w:ilvl w:val="0"/>
          <w:numId w:val="1"/>
        </w:numPr>
        <w:rPr>
          <w:rFonts w:asciiTheme="majorHAnsi" w:hAnsiTheme="majorHAnsi"/>
        </w:rPr>
      </w:pPr>
      <w:r>
        <w:rPr>
          <w:rFonts w:asciiTheme="majorHAnsi" w:hAnsiTheme="majorHAnsi"/>
        </w:rPr>
        <w:t xml:space="preserve">Please note that unless stated, our tender price includes plat service material provision of; </w:t>
      </w:r>
      <w:r>
        <w:rPr>
          <w:rFonts w:asciiTheme="majorHAnsi" w:hAnsiTheme="majorHAnsi"/>
          <w:b/>
          <w:bCs/>
        </w:rPr>
        <w:t xml:space="preserve">electric meter boxes, </w:t>
      </w:r>
      <w:r>
        <w:rPr>
          <w:rFonts w:asciiTheme="majorHAnsi" w:hAnsiTheme="majorHAnsi"/>
          <w:b/>
          <w:bCs/>
        </w:rPr>
        <w:t>Atplas</w:t>
      </w:r>
      <w:r>
        <w:rPr>
          <w:rFonts w:asciiTheme="majorHAnsi" w:hAnsiTheme="majorHAnsi"/>
          <w:b/>
          <w:bCs/>
        </w:rPr>
        <w:t xml:space="preserve"> boxes, electric service ducting and hockey sticks. </w:t>
      </w:r>
      <w:r>
        <w:rPr>
          <w:rFonts w:asciiTheme="majorHAnsi" w:hAnsiTheme="majorHAnsi"/>
        </w:rPr>
        <w:t>Please</w:t>
      </w:r>
      <w:r>
        <w:rPr>
          <w:rFonts w:asciiTheme="majorHAnsi" w:hAnsiTheme="majorHAnsi"/>
          <w:b/>
          <w:bCs/>
        </w:rPr>
        <w:t xml:space="preserve"> </w:t>
      </w:r>
      <w:r>
        <w:rPr>
          <w:rFonts w:asciiTheme="majorHAnsi" w:hAnsiTheme="majorHAnsi"/>
        </w:rPr>
        <w:t>be</w:t>
      </w:r>
      <w:r>
        <w:rPr>
          <w:rFonts w:asciiTheme="majorHAnsi" w:hAnsiTheme="majorHAnsi"/>
        </w:rPr>
        <w:t xml:space="preserve"> </w:t>
      </w:r>
      <w:r>
        <w:rPr>
          <w:rFonts w:asciiTheme="majorHAnsi" w:hAnsiTheme="majorHAnsi"/>
        </w:rPr>
        <w:t>aware that</w:t>
      </w:r>
      <w:r>
        <w:rPr>
          <w:rFonts w:asciiTheme="majorHAnsi" w:hAnsiTheme="majorHAnsi"/>
          <w:b/>
          <w:bCs/>
        </w:rPr>
        <w:t xml:space="preserve"> </w:t>
      </w:r>
      <w:r>
        <w:rPr>
          <w:rFonts w:asciiTheme="majorHAnsi" w:hAnsiTheme="majorHAnsi"/>
        </w:rPr>
        <w:t xml:space="preserve">most of our competitors exclude all or some of these items, which amounts to approximately £150 per plot. We encourage you to consider this in your appraisal. Should you wish to provide this material yourselves, we can omit this and reduce our tender accordingly – Please see page 2. </w:t>
      </w:r>
    </w:p>
    <w:p w14:paraId="000001A6">
      <w:pPr>
        <w:pStyle w:val="ListParagraph"/>
        <w:numPr>
          <w:ilvl w:val="0"/>
          <w:numId w:val="1"/>
        </w:numPr>
        <w:rPr>
          <w:rFonts w:asciiTheme="majorHAnsi" w:hAnsiTheme="majorHAnsi"/>
        </w:rPr>
      </w:pPr>
      <w:r>
        <w:rPr>
          <w:rFonts w:asciiTheme="majorHAnsi" w:hAnsiTheme="majorHAnsi"/>
        </w:rPr>
        <w:t xml:space="preserve">We have assumed that the surface within the redline boundary provided by the client consists of unmade ground. Accordingly, it is understood that all excavation and backfilling within this area will be the responsibility of the client. </w:t>
      </w:r>
    </w:p>
    <w:p w14:paraId="000001A7">
      <w:pPr>
        <w:pStyle w:val="ListParagraph"/>
        <w:numPr>
          <w:ilvl w:val="0"/>
          <w:numId w:val="1"/>
        </w:numPr>
        <w:rPr>
          <w:rFonts w:asciiTheme="majorHAnsi" w:hAnsiTheme="majorHAnsi"/>
        </w:rPr>
      </w:pPr>
      <w:r>
        <w:rPr>
          <w:rFonts w:asciiTheme="majorHAnsi" w:hAnsiTheme="majorHAnsi"/>
        </w:rPr>
        <w:t xml:space="preserve">This tender is based upon the first connection being made in the area shown below via a single entrance. Should this deviate, please advise, as a review of the payment profile will be required </w:t>
      </w:r>
    </w:p>
    <w:p w14:paraId="000001A8">
      <w:pPr>
        <w:ind w:left="360"/>
        <w:rPr>
          <w:rFonts w:asciiTheme="majorHAnsi" w:hAnsiTheme="majorHAnsi"/>
        </w:rPr>
      </w:pPr>
    </w:p>
    <w:p w14:paraId="000001A9">
      <w:pPr>
        <w:ind w:left="360"/>
        <w:rPr>
          <w:rFonts w:asciiTheme="majorHAnsi" w:hAnsiTheme="majorHAnsi"/>
        </w:rPr>
      </w:pPr>
      <w:r>
        <w:rPr>
          <w:rFonts w:asciiTheme="majorHAnsi" w:hAnsiTheme="majorHAnsi"/>
          <w:highlight w:val="yellow"/>
        </w:rPr>
        <w:t>Add image/drawing</w:t>
      </w:r>
    </w:p>
    <w:p w14:paraId="000001AA">
      <w:pPr>
        <w:ind w:left="360"/>
        <w:rPr>
          <w:rFonts w:asciiTheme="majorHAnsi" w:hAnsiTheme="majorHAnsi"/>
        </w:rPr>
      </w:pPr>
    </w:p>
    <w:p w14:paraId="000001AB">
      <w:pPr>
        <w:rPr>
          <w:rFonts w:asciiTheme="majorHAnsi" w:hAnsiTheme="majorHAnsi"/>
        </w:rPr>
      </w:pPr>
    </w:p>
    <w:p w14:paraId="000001AC">
      <w:pPr>
        <w:rPr>
          <w:rFonts w:asciiTheme="majorHAnsi" w:hAnsiTheme="majorHAnsi"/>
        </w:rPr>
      </w:pPr>
    </w:p>
    <w:p w14:paraId="000001AD">
      <w:pPr>
        <w:rPr>
          <w:rFonts w:asciiTheme="majorHAnsi" w:hAnsiTheme="majorHAnsi"/>
        </w:rPr>
      </w:pPr>
    </w:p>
    <w:p w14:paraId="000001AE">
      <w:pPr>
        <w:rPr>
          <w:rFonts w:asciiTheme="majorHAnsi" w:hAnsiTheme="majorHAnsi"/>
        </w:rPr>
      </w:pPr>
    </w:p>
    <w:p w14:paraId="000001AF">
      <w:pPr>
        <w:rPr>
          <w:rFonts w:asciiTheme="majorHAnsi" w:hAnsiTheme="majorHAnsi"/>
        </w:rPr>
      </w:pPr>
    </w:p>
    <w:p w14:paraId="000001B0">
      <w:pPr>
        <w:rPr>
          <w:rFonts w:asciiTheme="majorHAnsi" w:hAnsiTheme="majorHAnsi"/>
        </w:rPr>
      </w:pPr>
    </w:p>
    <w:p w14:paraId="000001B1">
      <w:pPr>
        <w:rPr>
          <w:rFonts w:asciiTheme="majorHAnsi" w:hAnsiTheme="majorHAnsi"/>
        </w:rPr>
      </w:pPr>
    </w:p>
    <w:p w14:paraId="000001B2">
      <w:pPr>
        <w:rPr>
          <w:rFonts w:asciiTheme="majorHAnsi" w:hAnsiTheme="majorHAnsi"/>
        </w:rPr>
      </w:pPr>
    </w:p>
    <w:p w14:paraId="000001B3">
      <w:pPr>
        <w:rPr>
          <w:rFonts w:asciiTheme="majorHAnsi" w:hAnsiTheme="majorHAnsi"/>
        </w:rPr>
      </w:pPr>
    </w:p>
    <w:p w14:paraId="000001B4">
      <w:pPr>
        <w:rPr>
          <w:rFonts w:asciiTheme="majorHAnsi" w:hAnsiTheme="majorHAnsi"/>
        </w:rPr>
      </w:pPr>
    </w:p>
    <w:p w14:paraId="000001B5">
      <w:pPr>
        <w:rPr>
          <w:rFonts w:asciiTheme="majorHAnsi" w:hAnsiTheme="majorHAnsi"/>
        </w:rPr>
      </w:pPr>
    </w:p>
    <w:p w14:paraId="000001B6">
      <w:pPr>
        <w:rPr>
          <w:rFonts w:asciiTheme="majorHAnsi" w:hAnsiTheme="majorHAnsi"/>
        </w:rPr>
      </w:pPr>
    </w:p>
    <w:p w14:paraId="000001B7">
      <w:pPr>
        <w:rPr>
          <w:rFonts w:asciiTheme="majorHAnsi" w:hAnsiTheme="majorHAnsi"/>
        </w:rPr>
      </w:pPr>
    </w:p>
    <w:p w14:paraId="000001B8">
      <w:pPr>
        <w:rPr>
          <w:rFonts w:asciiTheme="majorHAnsi" w:hAnsiTheme="majorHAnsi"/>
        </w:rPr>
      </w:pPr>
    </w:p>
    <w:p w14:paraId="000001B9">
      <w:pPr>
        <w:rPr>
          <w:rFonts w:asciiTheme="majorHAnsi" w:hAnsiTheme="majorHAnsi"/>
        </w:rPr>
      </w:pPr>
    </w:p>
    <w:p w14:paraId="000001BA">
      <w:pPr>
        <w:rPr>
          <w:rFonts w:asciiTheme="majorHAnsi" w:hAnsiTheme="majorHAnsi"/>
        </w:rPr>
      </w:pPr>
    </w:p>
    <w:p w14:paraId="000001BB">
      <w:pPr>
        <w:rPr>
          <w:rFonts w:asciiTheme="majorHAnsi" w:hAnsiTheme="majorHAnsi"/>
        </w:rPr>
      </w:pPr>
    </w:p>
    <w:p w14:paraId="000001BC">
      <w:pPr>
        <w:rPr>
          <w:rFonts w:asciiTheme="majorHAnsi" w:hAnsiTheme="majorHAnsi"/>
        </w:rPr>
      </w:pPr>
    </w:p>
    <w:p w14:paraId="000001BD">
      <w:pPr>
        <w:rPr>
          <w:rFonts w:asciiTheme="majorHAnsi" w:hAnsiTheme="majorHAnsi"/>
        </w:rPr>
      </w:pPr>
    </w:p>
    <w:p w14:paraId="000001BE">
      <w:pPr>
        <w:rPr>
          <w:rFonts w:asciiTheme="majorHAnsi" w:hAnsiTheme="majorHAnsi"/>
          <w:b/>
          <w:bCs/>
          <w:color w:val="45b1e1" w:themeColor="accent1" w:themeTint="99"/>
        </w:rPr>
      </w:pPr>
      <w:r>
        <w:rPr>
          <w:rFonts w:asciiTheme="majorHAnsi" w:hAnsiTheme="majorHAnsi"/>
          <w:b/>
          <w:bCs/>
          <w:color w:val="45b1e1" w:themeColor="accent1" w:themeTint="99"/>
        </w:rPr>
        <w:t xml:space="preserve">Air Source Heat Pumps </w:t>
      </w:r>
    </w:p>
    <w:p w14:paraId="000001BF">
      <w:pPr>
        <w:rPr>
          <w:rFonts w:asciiTheme="majorHAnsi" w:hAnsiTheme="majorHAnsi"/>
        </w:rPr>
      </w:pPr>
      <w:r>
        <w:rPr>
          <w:rFonts w:asciiTheme="majorHAnsi" w:hAnsiTheme="majorHAnsi"/>
        </w:rPr>
        <w:t xml:space="preserve">This tender does </w:t>
      </w:r>
      <w:r>
        <w:rPr>
          <w:rFonts w:asciiTheme="majorHAnsi" w:hAnsiTheme="majorHAnsi"/>
          <w:highlight w:val="yellow"/>
        </w:rPr>
        <w:t>not</w:t>
      </w:r>
      <w:r>
        <w:rPr>
          <w:rFonts w:asciiTheme="majorHAnsi" w:hAnsiTheme="majorHAnsi"/>
        </w:rPr>
        <w:t xml:space="preserve"> include for the electric load provision to supply capacity for air source heat pumps</w:t>
      </w:r>
      <w:r>
        <w:rPr>
          <w:rFonts w:asciiTheme="majorHAnsi" w:hAnsiTheme="majorHAnsi"/>
        </w:rPr>
        <w:t xml:space="preserve"> </w:t>
      </w:r>
    </w:p>
    <w:tbl>
      <w:tblPr>
        <w:tblStyle w:val="TableGrid"/>
        <w:tblW w:w="0" w:type="auto"/>
        <w:tblLook w:val="04A0"/>
      </w:tblPr>
      <w:tblGrid>
        <w:gridCol w:w="4248"/>
        <w:gridCol w:w="2126"/>
      </w:tblGrid>
      <w:tr>
        <w:trPr/>
        <w:tc>
          <w:tcPr>
            <w:cnfStyle w:val="101000000000"/>
            <w:tcW w:w="4248" w:type="dxa"/>
          </w:tcPr>
          <w:p w14:paraId="000001C0">
            <w:pPr>
              <w:spacing w:after="0"/>
              <w:rPr>
                <w:rFonts w:asciiTheme="majorHAnsi" w:hAnsiTheme="majorHAnsi"/>
              </w:rPr>
            </w:pPr>
            <w:r>
              <w:rPr>
                <w:rFonts w:asciiTheme="majorHAnsi" w:hAnsiTheme="majorHAnsi"/>
              </w:rPr>
              <w:t xml:space="preserve">No. of plots with air source heat pump </w:t>
            </w:r>
          </w:p>
        </w:tc>
        <w:tc>
          <w:tcPr>
            <w:cnfStyle w:val="100000000000"/>
            <w:tcW w:w="2126" w:type="dxa"/>
          </w:tcPr>
          <w:p w14:paraId="000001C1">
            <w:pPr>
              <w:spacing w:after="0"/>
              <w:rPr>
                <w:rFonts w:asciiTheme="majorHAnsi" w:hAnsiTheme="majorHAnsi"/>
              </w:rPr>
            </w:pPr>
            <w:r>
              <w:rPr>
                <w:rFonts w:asciiTheme="majorHAnsi" w:hAnsiTheme="majorHAnsi"/>
                <w:highlight w:val="yellow"/>
              </w:rPr>
              <w:t>xxxx</w:t>
            </w:r>
          </w:p>
        </w:tc>
      </w:tr>
      <w:tr>
        <w:trPr/>
        <w:tc>
          <w:tcPr>
            <w:cnfStyle w:val="001000100000"/>
            <w:tcW w:w="4248" w:type="dxa"/>
          </w:tcPr>
          <w:p w14:paraId="000001C2">
            <w:pPr>
              <w:spacing w:after="0"/>
              <w:rPr>
                <w:rFonts w:asciiTheme="majorHAnsi" w:hAnsiTheme="majorHAnsi"/>
              </w:rPr>
            </w:pPr>
            <w:r>
              <w:rPr>
                <w:rFonts w:asciiTheme="majorHAnsi" w:hAnsiTheme="majorHAnsi"/>
              </w:rPr>
              <w:t>Plot numbers</w:t>
            </w:r>
          </w:p>
        </w:tc>
        <w:tc>
          <w:tcPr>
            <w:cnfStyle w:val="000000100000"/>
            <w:tcW w:w="2126" w:type="dxa"/>
          </w:tcPr>
          <w:p w14:paraId="000001C3">
            <w:pPr>
              <w:spacing w:after="0"/>
              <w:rPr>
                <w:rFonts w:asciiTheme="majorHAnsi" w:hAnsiTheme="majorHAnsi"/>
                <w:highlight w:val="yellow"/>
              </w:rPr>
            </w:pPr>
            <w:r>
              <w:rPr>
                <w:rFonts w:asciiTheme="majorHAnsi" w:hAnsiTheme="majorHAnsi"/>
                <w:highlight w:val="yellow"/>
              </w:rPr>
              <w:t>xxxx</w:t>
            </w:r>
          </w:p>
        </w:tc>
      </w:tr>
      <w:tr>
        <w:trPr/>
        <w:tc>
          <w:tcPr>
            <w:cnfStyle w:val="001000010000"/>
            <w:tcW w:w="4248" w:type="dxa"/>
          </w:tcPr>
          <w:p w14:paraId="000001C4">
            <w:pPr>
              <w:spacing w:after="0"/>
              <w:rPr>
                <w:rFonts w:asciiTheme="majorHAnsi" w:hAnsiTheme="majorHAnsi"/>
              </w:rPr>
            </w:pPr>
            <w:r>
              <w:rPr>
                <w:rFonts w:asciiTheme="majorHAnsi" w:hAnsiTheme="majorHAnsi"/>
              </w:rPr>
              <w:t>Data sheet provided</w:t>
            </w:r>
          </w:p>
        </w:tc>
        <w:tc>
          <w:tcPr>
            <w:cnfStyle w:val="000000010000"/>
            <w:tcW w:w="2126" w:type="dxa"/>
          </w:tcPr>
          <w:p w14:paraId="000001C5">
            <w:pPr>
              <w:spacing w:after="0"/>
              <w:rPr>
                <w:rFonts w:asciiTheme="majorHAnsi" w:hAnsiTheme="majorHAnsi"/>
                <w:highlight w:val="yellow"/>
              </w:rPr>
            </w:pPr>
            <w:r>
              <w:rPr>
                <w:rFonts w:asciiTheme="majorHAnsi" w:hAnsiTheme="majorHAnsi"/>
                <w:highlight w:val="yellow"/>
              </w:rPr>
              <w:t>xxxx</w:t>
            </w:r>
          </w:p>
        </w:tc>
      </w:tr>
      <w:tr>
        <w:trPr/>
        <w:tc>
          <w:tcPr>
            <w:cnfStyle w:val="001000100000"/>
            <w:tcW w:w="4248" w:type="dxa"/>
          </w:tcPr>
          <w:p w14:paraId="000001C6">
            <w:pPr>
              <w:spacing w:after="0"/>
              <w:rPr>
                <w:rFonts w:asciiTheme="majorHAnsi" w:hAnsiTheme="majorHAnsi"/>
              </w:rPr>
            </w:pPr>
            <w:r>
              <w:rPr>
                <w:rFonts w:asciiTheme="majorHAnsi" w:hAnsiTheme="majorHAnsi"/>
              </w:rPr>
              <w:t xml:space="preserve">Pump Model </w:t>
            </w:r>
          </w:p>
        </w:tc>
        <w:tc>
          <w:tcPr>
            <w:cnfStyle w:val="000000100000"/>
            <w:tcW w:w="2126" w:type="dxa"/>
          </w:tcPr>
          <w:p w14:paraId="000001C7">
            <w:pPr>
              <w:spacing w:after="0"/>
              <w:rPr>
                <w:rFonts w:asciiTheme="majorHAnsi" w:hAnsiTheme="majorHAnsi"/>
                <w:highlight w:val="yellow"/>
              </w:rPr>
            </w:pPr>
            <w:r>
              <w:rPr>
                <w:rFonts w:asciiTheme="majorHAnsi" w:hAnsiTheme="majorHAnsi"/>
                <w:highlight w:val="yellow"/>
              </w:rPr>
              <w:t>xxxx</w:t>
            </w:r>
          </w:p>
        </w:tc>
      </w:tr>
      <w:tr>
        <w:trPr/>
        <w:tc>
          <w:tcPr>
            <w:cnfStyle w:val="001000010000"/>
            <w:tcW w:w="4248" w:type="dxa"/>
          </w:tcPr>
          <w:p w14:paraId="000001C8">
            <w:pPr>
              <w:spacing w:after="0"/>
              <w:rPr>
                <w:rFonts w:asciiTheme="majorHAnsi" w:hAnsiTheme="majorHAnsi"/>
              </w:rPr>
            </w:pPr>
            <w:r>
              <w:rPr>
                <w:rFonts w:asciiTheme="majorHAnsi" w:hAnsiTheme="majorHAnsi"/>
              </w:rPr>
              <w:t xml:space="preserve">ASHP load allowance per plot </w:t>
            </w:r>
          </w:p>
        </w:tc>
        <w:tc>
          <w:tcPr>
            <w:cnfStyle w:val="000000010000"/>
            <w:tcW w:w="2126" w:type="dxa"/>
          </w:tcPr>
          <w:p w14:paraId="000001C9">
            <w:pPr>
              <w:spacing w:after="0"/>
              <w:rPr>
                <w:rFonts w:asciiTheme="majorHAnsi" w:hAnsiTheme="majorHAnsi"/>
                <w:highlight w:val="yellow"/>
              </w:rPr>
            </w:pPr>
            <w:r>
              <w:rPr>
                <w:rFonts w:asciiTheme="majorHAnsi" w:hAnsiTheme="majorHAnsi"/>
                <w:highlight w:val="yellow"/>
              </w:rPr>
              <w:t>xxxx</w:t>
            </w:r>
          </w:p>
        </w:tc>
      </w:tr>
    </w:tbl>
    <w:p w14:paraId="000001CA">
      <w:pPr>
        <w:rPr>
          <w:rFonts w:asciiTheme="majorHAnsi" w:hAnsiTheme="majorHAnsi"/>
        </w:rPr>
      </w:pPr>
    </w:p>
    <w:p w14:paraId="000001CB">
      <w:pPr>
        <w:rPr>
          <w:rFonts w:asciiTheme="majorHAnsi" w:hAnsiTheme="majorHAnsi"/>
          <w:b/>
          <w:bCs/>
        </w:rPr>
      </w:pPr>
      <w:r>
        <w:rPr>
          <w:rFonts w:asciiTheme="majorHAnsi" w:hAnsiTheme="majorHAnsi"/>
          <w:b/>
          <w:bCs/>
        </w:rPr>
        <w:t xml:space="preserve">NON-CONTESTABLE NETWORK CHARGES </w:t>
      </w:r>
    </w:p>
    <w:p w14:paraId="000001CC">
      <w:pPr>
        <w:rPr>
          <w:rFonts w:asciiTheme="majorHAnsi" w:hAnsiTheme="majorHAnsi"/>
        </w:rPr>
      </w:pPr>
      <w:r>
        <w:rPr>
          <w:rFonts w:asciiTheme="majorHAnsi" w:hAnsiTheme="majorHAnsi"/>
        </w:rPr>
        <w:t xml:space="preserve"> The below charges are included in our tender offer. These are paid by Air Utilities directly to the network operator/organisation. These are pass-through costs applicable to all ICP’s and should align.</w:t>
      </w:r>
    </w:p>
    <w:tbl>
      <w:tblPr>
        <w:tblStyle w:val="TableGrid"/>
        <w:tblW w:w="0" w:type="auto"/>
        <w:tblLook w:val="04A0"/>
      </w:tblPr>
      <w:tblGrid>
        <w:gridCol w:w="4248"/>
        <w:gridCol w:w="2126"/>
      </w:tblGrid>
      <w:tr>
        <w:trPr/>
        <w:tc>
          <w:tcPr>
            <w:cnfStyle w:val="101000000000"/>
            <w:tcW w:w="4248" w:type="dxa"/>
          </w:tcPr>
          <w:p w14:paraId="000001CD">
            <w:pPr>
              <w:spacing w:after="0"/>
              <w:rPr>
                <w:rFonts w:asciiTheme="majorHAnsi" w:hAnsiTheme="majorHAnsi"/>
                <w:b/>
                <w:bCs/>
              </w:rPr>
            </w:pPr>
            <w:r>
              <w:rPr>
                <w:rFonts w:asciiTheme="majorHAnsi" w:hAnsiTheme="majorHAnsi"/>
                <w:b/>
                <w:bCs/>
              </w:rPr>
              <w:t xml:space="preserve">Description of non-contestable charges </w:t>
            </w:r>
          </w:p>
        </w:tc>
        <w:tc>
          <w:tcPr>
            <w:cnfStyle w:val="100000000000"/>
            <w:tcW w:w="2126" w:type="dxa"/>
          </w:tcPr>
          <w:p w14:paraId="000001CE">
            <w:pPr>
              <w:spacing w:after="0"/>
              <w:rPr>
                <w:rFonts w:asciiTheme="majorHAnsi" w:hAnsiTheme="majorHAnsi"/>
                <w:b/>
                <w:bCs/>
              </w:rPr>
            </w:pPr>
            <w:r>
              <w:rPr>
                <w:rFonts w:asciiTheme="majorHAnsi" w:hAnsiTheme="majorHAnsi"/>
                <w:b/>
                <w:bCs/>
              </w:rPr>
              <w:t xml:space="preserve">Total Value </w:t>
            </w:r>
          </w:p>
        </w:tc>
      </w:tr>
      <w:tr>
        <w:trPr/>
        <w:tc>
          <w:tcPr>
            <w:cnfStyle w:val="001000100000"/>
            <w:tcW w:w="4248" w:type="dxa"/>
          </w:tcPr>
          <w:p w14:paraId="000001CF">
            <w:pPr>
              <w:spacing w:after="0"/>
              <w:rPr>
                <w:rFonts w:asciiTheme="majorHAnsi" w:hAnsiTheme="majorHAnsi"/>
              </w:rPr>
            </w:pPr>
            <w:r>
              <w:rPr>
                <w:rFonts w:asciiTheme="majorHAnsi" w:hAnsiTheme="majorHAnsi"/>
              </w:rPr>
              <w:t xml:space="preserve">Electric POC cost </w:t>
            </w:r>
          </w:p>
        </w:tc>
        <w:tc>
          <w:tcPr>
            <w:cnfStyle w:val="000000100000"/>
            <w:tcW w:w="2126" w:type="dxa"/>
          </w:tcPr>
          <w:p w14:paraId="000001D0">
            <w:pPr>
              <w:spacing w:after="0"/>
              <w:rPr>
                <w:rFonts w:asciiTheme="majorHAnsi" w:hAnsiTheme="majorHAnsi"/>
              </w:rPr>
            </w:pPr>
            <w:r>
              <w:rPr>
                <w:rFonts w:asciiTheme="majorHAnsi" w:hAnsiTheme="majorHAnsi"/>
                <w:highlight w:val="yellow"/>
              </w:rPr>
              <w:t>xxxx</w:t>
            </w:r>
          </w:p>
        </w:tc>
      </w:tr>
      <w:tr>
        <w:trPr/>
        <w:tc>
          <w:tcPr>
            <w:cnfStyle w:val="001000010000"/>
            <w:tcW w:w="4248" w:type="dxa"/>
          </w:tcPr>
          <w:p w14:paraId="000001D1">
            <w:pPr>
              <w:spacing w:after="0"/>
              <w:rPr>
                <w:rFonts w:asciiTheme="majorHAnsi" w:hAnsiTheme="majorHAnsi"/>
              </w:rPr>
            </w:pPr>
            <w:r>
              <w:rPr>
                <w:rFonts w:asciiTheme="majorHAnsi" w:hAnsiTheme="majorHAnsi"/>
              </w:rPr>
              <w:t xml:space="preserve">Water POC – incumbent connection charges </w:t>
            </w:r>
          </w:p>
        </w:tc>
        <w:tc>
          <w:tcPr>
            <w:cnfStyle w:val="000000010000"/>
            <w:tcW w:w="2126" w:type="dxa"/>
          </w:tcPr>
          <w:p w14:paraId="000001D2">
            <w:pPr>
              <w:spacing w:after="0"/>
              <w:rPr>
                <w:rFonts w:asciiTheme="majorHAnsi" w:hAnsiTheme="majorHAnsi"/>
              </w:rPr>
            </w:pPr>
            <w:r>
              <w:rPr>
                <w:rFonts w:asciiTheme="majorHAnsi" w:hAnsiTheme="majorHAnsi"/>
                <w:highlight w:val="yellow"/>
              </w:rPr>
              <w:t>xxxx</w:t>
            </w:r>
          </w:p>
        </w:tc>
      </w:tr>
      <w:tr>
        <w:trPr/>
        <w:tc>
          <w:tcPr>
            <w:cnfStyle w:val="001000100000"/>
            <w:tcW w:w="4248" w:type="dxa"/>
          </w:tcPr>
          <w:p w14:paraId="000001D3">
            <w:pPr>
              <w:spacing w:after="0"/>
              <w:rPr>
                <w:rFonts w:asciiTheme="majorHAnsi" w:hAnsiTheme="majorHAnsi"/>
              </w:rPr>
            </w:pPr>
            <w:r>
              <w:rPr>
                <w:rFonts w:asciiTheme="majorHAnsi" w:hAnsiTheme="majorHAnsi"/>
              </w:rPr>
              <w:t>Water infrastructure fees</w:t>
            </w:r>
          </w:p>
        </w:tc>
        <w:tc>
          <w:tcPr>
            <w:cnfStyle w:val="000000100000"/>
            <w:tcW w:w="2126" w:type="dxa"/>
          </w:tcPr>
          <w:p w14:paraId="000001D4">
            <w:pPr>
              <w:spacing w:after="0"/>
              <w:rPr>
                <w:rFonts w:asciiTheme="majorHAnsi" w:hAnsiTheme="majorHAnsi"/>
              </w:rPr>
            </w:pPr>
            <w:r>
              <w:rPr>
                <w:rFonts w:asciiTheme="majorHAnsi" w:hAnsiTheme="majorHAnsi"/>
                <w:highlight w:val="yellow"/>
              </w:rPr>
              <w:t>xxxx</w:t>
            </w:r>
          </w:p>
        </w:tc>
      </w:tr>
      <w:tr>
        <w:trPr/>
        <w:tc>
          <w:tcPr>
            <w:cnfStyle w:val="001000010000"/>
            <w:tcW w:w="4248" w:type="dxa"/>
          </w:tcPr>
          <w:p w14:paraId="000001D5">
            <w:pPr>
              <w:spacing w:after="0"/>
              <w:rPr>
                <w:rFonts w:asciiTheme="majorHAnsi" w:hAnsiTheme="majorHAnsi"/>
              </w:rPr>
            </w:pPr>
            <w:r>
              <w:rPr>
                <w:rFonts w:asciiTheme="majorHAnsi" w:hAnsiTheme="majorHAnsi"/>
              </w:rPr>
              <w:t>Waste water infrastructure fees</w:t>
            </w:r>
          </w:p>
        </w:tc>
        <w:tc>
          <w:tcPr>
            <w:cnfStyle w:val="000000010000"/>
            <w:tcW w:w="2126" w:type="dxa"/>
          </w:tcPr>
          <w:p w14:paraId="000001D6">
            <w:pPr>
              <w:spacing w:after="0"/>
              <w:rPr>
                <w:rFonts w:asciiTheme="majorHAnsi" w:hAnsiTheme="majorHAnsi"/>
              </w:rPr>
            </w:pPr>
            <w:r>
              <w:rPr>
                <w:rFonts w:asciiTheme="majorHAnsi" w:hAnsiTheme="majorHAnsi"/>
                <w:highlight w:val="yellow"/>
              </w:rPr>
              <w:t>xxxx</w:t>
            </w:r>
          </w:p>
        </w:tc>
      </w:tr>
      <w:tr>
        <w:trPr/>
        <w:tc>
          <w:tcPr>
            <w:cnfStyle w:val="001000100000"/>
            <w:tcW w:w="4248" w:type="dxa"/>
          </w:tcPr>
          <w:p w14:paraId="000001D7">
            <w:pPr>
              <w:spacing w:after="0"/>
              <w:rPr>
                <w:rFonts w:asciiTheme="majorHAnsi" w:hAnsiTheme="majorHAnsi"/>
              </w:rPr>
            </w:pPr>
            <w:r>
              <w:rPr>
                <w:rFonts w:asciiTheme="majorHAnsi" w:hAnsiTheme="majorHAnsi"/>
              </w:rPr>
              <w:t>Environmental component</w:t>
            </w:r>
          </w:p>
        </w:tc>
        <w:tc>
          <w:tcPr>
            <w:cnfStyle w:val="000000100000"/>
            <w:tcW w:w="2126" w:type="dxa"/>
          </w:tcPr>
          <w:p w14:paraId="000001D8">
            <w:pPr>
              <w:spacing w:after="0"/>
              <w:rPr>
                <w:rFonts w:asciiTheme="majorHAnsi" w:hAnsiTheme="majorHAnsi"/>
              </w:rPr>
            </w:pPr>
            <w:r>
              <w:rPr>
                <w:rFonts w:asciiTheme="majorHAnsi" w:hAnsiTheme="majorHAnsi"/>
                <w:highlight w:val="yellow"/>
              </w:rPr>
              <w:t>xxxx</w:t>
            </w:r>
          </w:p>
        </w:tc>
      </w:tr>
      <w:tr>
        <w:trPr/>
        <w:tc>
          <w:tcPr>
            <w:cnfStyle w:val="001000010000"/>
            <w:tcW w:w="4248" w:type="dxa"/>
          </w:tcPr>
          <w:p w14:paraId="000001D9">
            <w:pPr>
              <w:spacing w:after="0"/>
              <w:rPr>
                <w:rFonts w:asciiTheme="majorHAnsi" w:hAnsiTheme="majorHAnsi"/>
              </w:rPr>
            </w:pPr>
            <w:r>
              <w:rPr>
                <w:rFonts w:asciiTheme="majorHAnsi" w:hAnsiTheme="majorHAnsi"/>
              </w:rPr>
              <w:t xml:space="preserve">Meter administration charges </w:t>
            </w:r>
          </w:p>
        </w:tc>
        <w:tc>
          <w:tcPr>
            <w:cnfStyle w:val="000000010000"/>
            <w:tcW w:w="2126" w:type="dxa"/>
          </w:tcPr>
          <w:p w14:paraId="000001DA">
            <w:pPr>
              <w:spacing w:after="0"/>
              <w:rPr>
                <w:rFonts w:asciiTheme="majorHAnsi" w:hAnsiTheme="majorHAnsi"/>
              </w:rPr>
            </w:pPr>
            <w:r>
              <w:rPr>
                <w:rFonts w:asciiTheme="majorHAnsi" w:hAnsiTheme="majorHAnsi"/>
                <w:highlight w:val="yellow"/>
              </w:rPr>
              <w:t>xxxx</w:t>
            </w:r>
          </w:p>
        </w:tc>
      </w:tr>
      <w:tr>
        <w:trPr/>
        <w:tc>
          <w:tcPr>
            <w:cnfStyle w:val="001000100000"/>
            <w:tcW w:w="4248" w:type="dxa"/>
          </w:tcPr>
          <w:p w14:paraId="000001DB">
            <w:pPr>
              <w:spacing w:after="0"/>
              <w:rPr>
                <w:rFonts w:asciiTheme="majorHAnsi" w:hAnsiTheme="majorHAnsi"/>
              </w:rPr>
            </w:pPr>
            <w:r>
              <w:rPr>
                <w:rFonts w:asciiTheme="majorHAnsi" w:hAnsiTheme="majorHAnsi"/>
              </w:rPr>
              <w:t xml:space="preserve">Unted utilities approval fee </w:t>
            </w:r>
          </w:p>
        </w:tc>
        <w:tc>
          <w:tcPr>
            <w:cnfStyle w:val="000000100000"/>
            <w:tcW w:w="2126" w:type="dxa"/>
          </w:tcPr>
          <w:p w14:paraId="000001DC">
            <w:pPr>
              <w:spacing w:after="0"/>
              <w:rPr>
                <w:rFonts w:asciiTheme="majorHAnsi" w:hAnsiTheme="majorHAnsi"/>
              </w:rPr>
            </w:pPr>
            <w:r>
              <w:rPr>
                <w:rFonts w:asciiTheme="majorHAnsi" w:hAnsiTheme="majorHAnsi"/>
                <w:highlight w:val="yellow"/>
              </w:rPr>
              <w:t>xxxx</w:t>
            </w:r>
          </w:p>
        </w:tc>
      </w:tr>
      <w:tr>
        <w:trPr/>
        <w:tc>
          <w:tcPr>
            <w:cnfStyle w:val="001000010000"/>
            <w:tcW w:w="4248" w:type="dxa"/>
          </w:tcPr>
          <w:p w14:paraId="000001DD">
            <w:pPr>
              <w:spacing w:after="0"/>
              <w:rPr>
                <w:rFonts w:asciiTheme="majorHAnsi" w:hAnsiTheme="majorHAnsi"/>
              </w:rPr>
            </w:pPr>
            <w:r>
              <w:rPr>
                <w:rFonts w:asciiTheme="majorHAnsi" w:hAnsiTheme="majorHAnsi"/>
              </w:rPr>
              <w:t xml:space="preserve">Council charges </w:t>
            </w:r>
          </w:p>
        </w:tc>
        <w:tc>
          <w:tcPr>
            <w:cnfStyle w:val="000000010000"/>
            <w:tcW w:w="2126" w:type="dxa"/>
          </w:tcPr>
          <w:p w14:paraId="000001DE">
            <w:pPr>
              <w:spacing w:after="0"/>
              <w:rPr>
                <w:rFonts w:asciiTheme="majorHAnsi" w:hAnsiTheme="majorHAnsi"/>
                <w:highlight w:val="yellow"/>
              </w:rPr>
            </w:pPr>
            <w:r>
              <w:rPr>
                <w:rFonts w:asciiTheme="majorHAnsi" w:hAnsiTheme="majorHAnsi"/>
                <w:highlight w:val="yellow"/>
              </w:rPr>
              <w:t>xxxx</w:t>
            </w:r>
          </w:p>
        </w:tc>
      </w:tr>
    </w:tbl>
    <w:p w14:paraId="000001DF">
      <w:pPr>
        <w:rPr>
          <w:rFonts w:asciiTheme="majorHAnsi" w:hAnsiTheme="majorHAnsi"/>
        </w:rPr>
      </w:pPr>
    </w:p>
    <w:p w14:paraId="000001E0">
      <w:pPr>
        <w:rPr>
          <w:rFonts w:asciiTheme="majorHAnsi" w:hAnsiTheme="majorHAnsi"/>
          <w:b/>
          <w:bCs/>
        </w:rPr>
      </w:pPr>
      <w:r>
        <w:rPr>
          <w:rFonts w:asciiTheme="majorHAnsi" w:hAnsiTheme="majorHAnsi"/>
          <w:b/>
          <w:bCs/>
        </w:rPr>
        <w:t xml:space="preserve">DELIVERY STANDARDS </w:t>
      </w:r>
    </w:p>
    <w:tbl>
      <w:tblPr>
        <w:tblStyle w:val="TableGrid"/>
        <w:tblW w:w="0" w:type="auto"/>
        <w:tblLook w:val="04A0"/>
      </w:tblPr>
      <w:tblGrid>
        <w:gridCol w:w="3005"/>
        <w:gridCol w:w="1526"/>
        <w:gridCol w:w="4485"/>
      </w:tblGrid>
      <w:tr>
        <w:trPr/>
        <w:tc>
          <w:tcPr>
            <w:cnfStyle w:val="101000000000"/>
            <w:tcW w:w="3005" w:type="dxa"/>
          </w:tcPr>
          <w:p w14:paraId="000001E1">
            <w:pPr>
              <w:rPr>
                <w:rFonts w:asciiTheme="majorHAnsi" w:hAnsiTheme="majorHAnsi"/>
                <w:b/>
                <w:bCs/>
              </w:rPr>
            </w:pPr>
            <w:r>
              <w:rPr>
                <w:rFonts w:asciiTheme="majorHAnsi" w:hAnsiTheme="majorHAnsi"/>
                <w:b/>
                <w:bCs/>
              </w:rPr>
              <w:t>Description</w:t>
            </w:r>
          </w:p>
        </w:tc>
        <w:tc>
          <w:tcPr>
            <w:cnfStyle w:val="100000000000"/>
            <w:tcW w:w="1526" w:type="dxa"/>
          </w:tcPr>
          <w:p w14:paraId="000001E2">
            <w:pPr>
              <w:rPr>
                <w:rFonts w:asciiTheme="majorHAnsi" w:hAnsiTheme="majorHAnsi"/>
                <w:b/>
                <w:bCs/>
              </w:rPr>
            </w:pPr>
            <w:r>
              <w:rPr>
                <w:rFonts w:asciiTheme="majorHAnsi" w:hAnsiTheme="majorHAnsi"/>
                <w:b/>
                <w:bCs/>
              </w:rPr>
              <w:t xml:space="preserve">Timescale </w:t>
            </w:r>
          </w:p>
        </w:tc>
        <w:tc>
          <w:tcPr>
            <w:cnfStyle w:val="100000000000"/>
            <w:tcW w:w="4485" w:type="dxa"/>
          </w:tcPr>
          <w:p w14:paraId="000001E3">
            <w:pPr>
              <w:rPr>
                <w:rFonts w:asciiTheme="majorHAnsi" w:hAnsiTheme="majorHAnsi"/>
                <w:b/>
                <w:bCs/>
              </w:rPr>
            </w:pPr>
            <w:r>
              <w:rPr>
                <w:rFonts w:asciiTheme="majorHAnsi" w:hAnsiTheme="majorHAnsi"/>
                <w:b/>
                <w:bCs/>
              </w:rPr>
              <w:t xml:space="preserve">Comments </w:t>
            </w:r>
          </w:p>
        </w:tc>
      </w:tr>
      <w:tr>
        <w:trPr/>
        <w:tc>
          <w:tcPr>
            <w:cnfStyle w:val="001000100000"/>
            <w:tcW w:w="3005" w:type="dxa"/>
          </w:tcPr>
          <w:p w14:paraId="000001E4">
            <w:pPr>
              <w:rPr>
                <w:rFonts w:asciiTheme="majorHAnsi" w:hAnsiTheme="majorHAnsi"/>
              </w:rPr>
            </w:pPr>
            <w:r>
              <w:rPr>
                <w:rFonts w:asciiTheme="majorHAnsi" w:hAnsiTheme="majorHAnsi"/>
              </w:rPr>
              <w:t>Service Call off (via call off sheet</w:t>
            </w:r>
          </w:p>
        </w:tc>
        <w:tc>
          <w:tcPr>
            <w:cnfStyle w:val="000000100000"/>
            <w:tcW w:w="1526" w:type="dxa"/>
          </w:tcPr>
          <w:p w14:paraId="000001E5">
            <w:pPr>
              <w:rPr>
                <w:rFonts w:asciiTheme="majorHAnsi" w:hAnsiTheme="majorHAnsi"/>
              </w:rPr>
            </w:pPr>
            <w:r>
              <w:rPr>
                <w:rFonts w:asciiTheme="majorHAnsi" w:hAnsiTheme="majorHAnsi"/>
                <w:highlight w:val="yellow"/>
              </w:rPr>
              <w:t>xx</w:t>
            </w:r>
            <w:r>
              <w:rPr>
                <w:rFonts w:asciiTheme="majorHAnsi" w:hAnsiTheme="majorHAnsi"/>
              </w:rPr>
              <w:t xml:space="preserve"> </w:t>
            </w:r>
            <w:r>
              <w:rPr>
                <w:rFonts w:asciiTheme="majorHAnsi" w:hAnsiTheme="majorHAnsi"/>
              </w:rPr>
              <w:t xml:space="preserve">days </w:t>
            </w:r>
          </w:p>
        </w:tc>
        <w:tc>
          <w:tcPr>
            <w:cnfStyle w:val="000000100000"/>
            <w:tcW w:w="4485" w:type="dxa"/>
          </w:tcPr>
          <w:p w14:paraId="000001E6">
            <w:pPr>
              <w:rPr>
                <w:rFonts w:asciiTheme="majorHAnsi" w:hAnsiTheme="majorHAnsi"/>
                <w:i/>
                <w:iCs/>
              </w:rPr>
            </w:pPr>
            <w:r>
              <w:rPr>
                <w:rFonts w:asciiTheme="majorHAnsi" w:hAnsiTheme="majorHAnsi"/>
                <w:i/>
                <w:iCs/>
              </w:rPr>
              <w:t xml:space="preserve">Subject to any highway notice required – if required </w:t>
            </w:r>
          </w:p>
        </w:tc>
      </w:tr>
      <w:tr>
        <w:trPr/>
        <w:tc>
          <w:tcPr>
            <w:cnfStyle w:val="001000010000"/>
            <w:tcW w:w="3005" w:type="dxa"/>
          </w:tcPr>
          <w:p w14:paraId="000001E7">
            <w:pPr>
              <w:rPr>
                <w:rFonts w:asciiTheme="majorHAnsi" w:hAnsiTheme="majorHAnsi"/>
              </w:rPr>
            </w:pPr>
            <w:r>
              <w:rPr>
                <w:rFonts w:asciiTheme="majorHAnsi" w:hAnsiTheme="majorHAnsi"/>
              </w:rPr>
              <w:t>Mains call off (via call off sheet)</w:t>
            </w:r>
          </w:p>
        </w:tc>
        <w:tc>
          <w:tcPr>
            <w:cnfStyle w:val="000000010000"/>
            <w:tcW w:w="1526" w:type="dxa"/>
          </w:tcPr>
          <w:p w14:paraId="000001E8">
            <w:pPr>
              <w:rPr>
                <w:rFonts w:asciiTheme="majorHAnsi" w:hAnsiTheme="majorHAnsi"/>
              </w:rPr>
            </w:pPr>
            <w:r>
              <w:rPr>
                <w:rFonts w:asciiTheme="majorHAnsi" w:hAnsiTheme="majorHAnsi"/>
                <w:highlight w:val="yellow"/>
              </w:rPr>
              <w:t>xx</w:t>
            </w:r>
            <w:r>
              <w:rPr>
                <w:rFonts w:asciiTheme="majorHAnsi" w:hAnsiTheme="majorHAnsi"/>
              </w:rPr>
              <w:t xml:space="preserve"> Weeks </w:t>
            </w:r>
          </w:p>
        </w:tc>
        <w:tc>
          <w:tcPr>
            <w:cnfStyle w:val="000000010000"/>
            <w:tcW w:w="4485" w:type="dxa"/>
          </w:tcPr>
          <w:p w14:paraId="000001E9">
            <w:pPr>
              <w:rPr>
                <w:rFonts w:asciiTheme="majorHAnsi" w:hAnsiTheme="majorHAnsi"/>
                <w:i/>
                <w:iCs/>
              </w:rPr>
            </w:pPr>
            <w:r>
              <w:rPr>
                <w:rFonts w:asciiTheme="majorHAnsi" w:hAnsiTheme="majorHAnsi"/>
                <w:i/>
                <w:iCs/>
              </w:rPr>
              <w:t>Subject to any highway notices, resource availability at the time</w:t>
            </w:r>
          </w:p>
        </w:tc>
      </w:tr>
      <w:tr>
        <w:trPr/>
        <w:tc>
          <w:tcPr>
            <w:cnfStyle w:val="001000100000"/>
            <w:tcW w:w="3005" w:type="dxa"/>
          </w:tcPr>
          <w:p w14:paraId="000001EA">
            <w:pPr>
              <w:rPr>
                <w:rFonts w:asciiTheme="majorHAnsi" w:hAnsiTheme="majorHAnsi"/>
              </w:rPr>
            </w:pPr>
            <w:r>
              <w:rPr>
                <w:rFonts w:asciiTheme="majorHAnsi" w:hAnsiTheme="majorHAnsi"/>
              </w:rPr>
              <w:t>Mobilisation to site after contract award – design approval and pre-start preparation</w:t>
            </w:r>
          </w:p>
        </w:tc>
        <w:tc>
          <w:tcPr>
            <w:cnfStyle w:val="000000100000"/>
            <w:tcW w:w="1526" w:type="dxa"/>
          </w:tcPr>
          <w:p w14:paraId="000001EB">
            <w:pPr>
              <w:rPr>
                <w:rFonts w:asciiTheme="majorHAnsi" w:hAnsiTheme="majorHAnsi"/>
              </w:rPr>
            </w:pPr>
            <w:r>
              <w:rPr>
                <w:rFonts w:asciiTheme="majorHAnsi" w:hAnsiTheme="majorHAnsi"/>
                <w:highlight w:val="yellow"/>
              </w:rPr>
              <w:t>xx</w:t>
            </w:r>
            <w:r>
              <w:rPr>
                <w:rFonts w:asciiTheme="majorHAnsi" w:hAnsiTheme="majorHAnsi"/>
              </w:rPr>
              <w:t xml:space="preserve"> weeks</w:t>
            </w:r>
          </w:p>
        </w:tc>
        <w:tc>
          <w:tcPr>
            <w:cnfStyle w:val="000000100000"/>
            <w:tcW w:w="4485" w:type="dxa"/>
          </w:tcPr>
          <w:p w14:paraId="000001EC">
            <w:pPr>
              <w:rPr>
                <w:rFonts w:asciiTheme="majorHAnsi" w:hAnsiTheme="majorHAnsi"/>
                <w:i/>
                <w:iCs/>
              </w:rPr>
            </w:pPr>
            <w:r>
              <w:rPr>
                <w:rFonts w:asciiTheme="majorHAnsi" w:hAnsiTheme="majorHAnsi"/>
                <w:i/>
                <w:iCs/>
              </w:rPr>
              <w:t>Subject to receipt of all required information and conditional upon full settlement of initial payment. This process duration is wholly dependent on the collaborative effort between Air Utilities and the customer. WE strongly advise acceptance of this tender is made at the earliest opportunity to avoid unknown delays etc.</w:t>
            </w:r>
          </w:p>
        </w:tc>
      </w:tr>
      <w:tr>
        <w:trPr/>
        <w:tc>
          <w:tcPr>
            <w:cnfStyle w:val="001000010000"/>
            <w:tcW w:w="3005" w:type="dxa"/>
          </w:tcPr>
          <w:p w14:paraId="000001ED">
            <w:pPr>
              <w:rPr>
                <w:rFonts w:asciiTheme="majorHAnsi" w:hAnsiTheme="majorHAnsi"/>
              </w:rPr>
            </w:pPr>
            <w:r>
              <w:rPr>
                <w:rFonts w:asciiTheme="majorHAnsi" w:hAnsiTheme="majorHAnsi"/>
              </w:rPr>
              <w:t xml:space="preserve">Draft duct layouts </w:t>
            </w:r>
          </w:p>
        </w:tc>
        <w:tc>
          <w:tcPr>
            <w:cnfStyle w:val="000000010000"/>
            <w:tcW w:w="1526" w:type="dxa"/>
          </w:tcPr>
          <w:p w14:paraId="000001EE">
            <w:pPr>
              <w:rPr>
                <w:rFonts w:asciiTheme="majorHAnsi" w:hAnsiTheme="majorHAnsi"/>
              </w:rPr>
            </w:pPr>
            <w:r>
              <w:rPr>
                <w:rFonts w:asciiTheme="majorHAnsi" w:hAnsiTheme="majorHAnsi"/>
                <w:highlight w:val="yellow"/>
              </w:rPr>
              <w:t>xx</w:t>
            </w:r>
            <w:r>
              <w:rPr>
                <w:rFonts w:asciiTheme="majorHAnsi" w:hAnsiTheme="majorHAnsi"/>
              </w:rPr>
              <w:t xml:space="preserve"> weeks </w:t>
            </w:r>
          </w:p>
        </w:tc>
        <w:tc>
          <w:tcPr>
            <w:cnfStyle w:val="000000010000"/>
            <w:tcW w:w="4485" w:type="dxa"/>
          </w:tcPr>
          <w:p w14:paraId="000001EF">
            <w:pPr>
              <w:rPr>
                <w:rFonts w:asciiTheme="majorHAnsi" w:hAnsiTheme="majorHAnsi"/>
                <w:i/>
                <w:iCs/>
              </w:rPr>
            </w:pPr>
            <w:r>
              <w:rPr>
                <w:rFonts w:asciiTheme="majorHAnsi" w:hAnsiTheme="majorHAnsi"/>
                <w:i/>
                <w:iCs/>
              </w:rPr>
              <w:t xml:space="preserve">Draft – based on unapproved designs, to assist ground works </w:t>
            </w:r>
          </w:p>
        </w:tc>
      </w:tr>
    </w:tbl>
    <w:p w14:paraId="000001F0">
      <w:pPr>
        <w:rPr>
          <w:rFonts w:asciiTheme="majorHAnsi" w:hAnsiTheme="majorHAnsi"/>
          <w:b/>
          <w:bCs/>
        </w:rPr>
      </w:pPr>
    </w:p>
    <w:p w14:paraId="000001F1">
      <w:pPr>
        <w:rPr>
          <w:rFonts w:asciiTheme="majorHAnsi" w:hAnsiTheme="majorHAnsi"/>
          <w:b/>
          <w:bCs/>
        </w:rPr>
      </w:pPr>
    </w:p>
    <w:p w14:paraId="000001F2">
      <w:pPr>
        <w:spacing w:after="168" w:line="265" w:lineRule="auto"/>
        <w:ind w:left="724" w:right="205" w:hanging="5"/>
        <w:rPr>
          <w:rFonts w:asciiTheme="majorHAnsi" w:hAnsiTheme="majorHAnsi"/>
          <w:sz w:val="18"/>
          <w:szCs w:val="18"/>
        </w:rPr>
      </w:pPr>
      <w:r>
        <w:rPr>
          <w:rFonts w:asciiTheme="majorHAnsi" w:hAnsiTheme="majorHAnsi"/>
          <w:b/>
          <w:sz w:val="18"/>
          <w:szCs w:val="18"/>
        </w:rPr>
        <w:t xml:space="preserve">Design Period </w:t>
      </w:r>
      <w:r>
        <w:rPr>
          <w:rFonts w:asciiTheme="majorHAnsi" w:hAnsiTheme="majorHAnsi"/>
          <w:sz w:val="18"/>
          <w:szCs w:val="18"/>
        </w:rPr>
        <w:t xml:space="preserve">– AU require 8-10 weeks from receipt of the required documentation and upfront payment to mobilisation to site.  </w:t>
      </w:r>
    </w:p>
    <w:p w14:paraId="000001F3">
      <w:pPr>
        <w:spacing w:after="171" w:line="265" w:lineRule="auto"/>
        <w:ind w:left="724" w:hanging="5"/>
        <w:rPr>
          <w:rFonts w:asciiTheme="majorHAnsi" w:hAnsiTheme="majorHAnsi"/>
          <w:sz w:val="18"/>
          <w:szCs w:val="18"/>
        </w:rPr>
      </w:pPr>
      <w:r>
        <w:rPr>
          <w:rFonts w:asciiTheme="majorHAnsi" w:hAnsiTheme="majorHAnsi"/>
          <w:b/>
          <w:sz w:val="18"/>
          <w:szCs w:val="18"/>
        </w:rPr>
        <w:t xml:space="preserve">Non-contestable works </w:t>
      </w:r>
      <w:r>
        <w:rPr>
          <w:rFonts w:asciiTheme="majorHAnsi" w:hAnsiTheme="majorHAnsi"/>
          <w:sz w:val="18"/>
          <w:szCs w:val="18"/>
        </w:rPr>
        <w:t xml:space="preserve">– These works are completed by the host company and the timescales if required have been confirmed under the scope of works.  </w:t>
      </w:r>
    </w:p>
    <w:p w14:paraId="000001F4">
      <w:pPr>
        <w:spacing w:after="168" w:line="265" w:lineRule="auto"/>
        <w:ind w:left="724" w:right="205" w:hanging="5"/>
        <w:rPr>
          <w:rFonts w:asciiTheme="majorHAnsi" w:hAnsiTheme="majorHAnsi"/>
          <w:sz w:val="18"/>
          <w:szCs w:val="18"/>
        </w:rPr>
      </w:pPr>
      <w:r>
        <w:rPr>
          <w:rFonts w:asciiTheme="majorHAnsi" w:hAnsiTheme="majorHAnsi"/>
          <w:b/>
          <w:sz w:val="18"/>
          <w:szCs w:val="18"/>
        </w:rPr>
        <w:t xml:space="preserve">Substations </w:t>
      </w:r>
      <w:r>
        <w:rPr>
          <w:rFonts w:asciiTheme="majorHAnsi" w:hAnsiTheme="majorHAnsi"/>
          <w:sz w:val="18"/>
          <w:szCs w:val="18"/>
        </w:rPr>
        <w:t xml:space="preserve">– Substations can have a lead time of up to 18 weeks from date of order to delivery. The order will only be placed once AU receive the upfront payment deposit and acceptance form. Timescales from delivery to energisation can vary depending on the type of substation, construction, testing commissioning and the DNO energisation timescales.  </w:t>
      </w:r>
    </w:p>
    <w:p w14:paraId="000001F5">
      <w:pPr>
        <w:spacing w:after="179" w:line="265" w:lineRule="auto"/>
        <w:ind w:left="724" w:right="205" w:hanging="5"/>
        <w:rPr>
          <w:rFonts w:asciiTheme="majorHAnsi" w:hAnsiTheme="majorHAnsi"/>
          <w:sz w:val="18"/>
          <w:szCs w:val="18"/>
        </w:rPr>
      </w:pPr>
      <w:r>
        <w:rPr>
          <w:rFonts w:asciiTheme="majorHAnsi" w:hAnsiTheme="majorHAnsi"/>
          <w:b/>
          <w:sz w:val="18"/>
          <w:szCs w:val="18"/>
        </w:rPr>
        <w:t xml:space="preserve">Approvals </w:t>
      </w:r>
      <w:r>
        <w:rPr>
          <w:rFonts w:asciiTheme="majorHAnsi" w:hAnsiTheme="majorHAnsi"/>
          <w:sz w:val="18"/>
          <w:szCs w:val="18"/>
        </w:rPr>
        <w:t xml:space="preserve">– No works can commence on site until approval has been given by the adopting company.  </w:t>
      </w:r>
    </w:p>
    <w:p w14:paraId="000001F6">
      <w:pPr>
        <w:spacing w:after="171" w:line="265" w:lineRule="auto"/>
        <w:ind w:left="724" w:right="205" w:hanging="5"/>
        <w:rPr>
          <w:rFonts w:asciiTheme="majorHAnsi" w:hAnsiTheme="majorHAnsi"/>
          <w:sz w:val="18"/>
          <w:szCs w:val="18"/>
        </w:rPr>
      </w:pPr>
      <w:r>
        <w:rPr>
          <w:rFonts w:asciiTheme="majorHAnsi" w:hAnsiTheme="majorHAnsi"/>
          <w:b/>
          <w:sz w:val="18"/>
          <w:szCs w:val="18"/>
        </w:rPr>
        <w:t xml:space="preserve">Street works Notices </w:t>
      </w:r>
      <w:r>
        <w:rPr>
          <w:rFonts w:asciiTheme="majorHAnsi" w:hAnsiTheme="majorHAnsi"/>
          <w:sz w:val="18"/>
          <w:szCs w:val="18"/>
        </w:rPr>
        <w:t xml:space="preserve">– Proposals for works in the highway must be submitted to local councils for approval before works can be programmed and commence. Subject to the type, length and difficulty of the works the notice period may be anywhere from 10 days to 3 months+.  </w:t>
      </w:r>
    </w:p>
    <w:p w14:paraId="000001F7">
      <w:pPr>
        <w:spacing w:after="171" w:line="265" w:lineRule="auto"/>
        <w:ind w:left="724" w:right="205" w:hanging="5"/>
        <w:rPr>
          <w:rFonts w:asciiTheme="majorHAnsi" w:hAnsiTheme="majorHAnsi"/>
          <w:sz w:val="18"/>
          <w:szCs w:val="18"/>
        </w:rPr>
      </w:pPr>
      <w:r>
        <w:rPr>
          <w:rFonts w:asciiTheme="majorHAnsi" w:hAnsiTheme="majorHAnsi"/>
          <w:b/>
          <w:sz w:val="18"/>
          <w:szCs w:val="18"/>
        </w:rPr>
        <w:t xml:space="preserve">Diversion/Reinforcement works </w:t>
      </w:r>
      <w:r>
        <w:rPr>
          <w:rFonts w:asciiTheme="majorHAnsi" w:hAnsiTheme="majorHAnsi"/>
          <w:sz w:val="18"/>
          <w:szCs w:val="18"/>
        </w:rPr>
        <w:t xml:space="preserve">– Some diversion/reinforcement works must be completed by the host company, timescales are not always provided, please refer to the scope of works for each utility for indication of timescales.  </w:t>
      </w:r>
    </w:p>
    <w:p w14:paraId="000001F8">
      <w:pPr>
        <w:spacing w:after="171" w:line="265" w:lineRule="auto"/>
        <w:ind w:left="724" w:right="205" w:hanging="5"/>
        <w:rPr>
          <w:rFonts w:asciiTheme="majorHAnsi" w:hAnsiTheme="majorHAnsi"/>
          <w:sz w:val="18"/>
          <w:szCs w:val="18"/>
        </w:rPr>
      </w:pPr>
      <w:r>
        <w:rPr>
          <w:rFonts w:asciiTheme="majorHAnsi" w:hAnsiTheme="majorHAnsi"/>
          <w:b/>
          <w:sz w:val="18"/>
          <w:szCs w:val="18"/>
        </w:rPr>
        <w:t xml:space="preserve">Mains installation </w:t>
      </w:r>
      <w:r>
        <w:rPr>
          <w:rFonts w:asciiTheme="majorHAnsi" w:hAnsiTheme="majorHAnsi"/>
          <w:sz w:val="18"/>
          <w:szCs w:val="18"/>
        </w:rPr>
        <w:t xml:space="preserve">– 6 weeks from receipt of correctly completed request form  </w:t>
      </w:r>
    </w:p>
    <w:p w14:paraId="000001F9">
      <w:pPr>
        <w:spacing w:after="166" w:line="265" w:lineRule="auto"/>
        <w:ind w:left="724" w:right="205" w:hanging="5"/>
        <w:rPr>
          <w:rFonts w:asciiTheme="majorHAnsi" w:hAnsiTheme="majorHAnsi"/>
          <w:sz w:val="18"/>
          <w:szCs w:val="18"/>
        </w:rPr>
      </w:pPr>
      <w:r>
        <w:rPr>
          <w:rFonts w:asciiTheme="majorHAnsi" w:hAnsiTheme="majorHAnsi"/>
          <w:b/>
          <w:sz w:val="18"/>
          <w:szCs w:val="18"/>
        </w:rPr>
        <w:t xml:space="preserve">Service connections off new mains installed by AU </w:t>
      </w:r>
      <w:r>
        <w:rPr>
          <w:rFonts w:asciiTheme="majorHAnsi" w:hAnsiTheme="majorHAnsi"/>
          <w:sz w:val="18"/>
          <w:szCs w:val="18"/>
        </w:rPr>
        <w:t xml:space="preserve">– 4 weeks from receipt of correctly completed request form, any water certification must be submitted with the service request.  </w:t>
      </w:r>
    </w:p>
    <w:p w14:paraId="000001FA">
      <w:pPr>
        <w:spacing w:after="173" w:line="265" w:lineRule="auto"/>
        <w:ind w:left="724" w:right="205" w:hanging="5"/>
        <w:rPr>
          <w:rFonts w:asciiTheme="majorHAnsi" w:hAnsiTheme="majorHAnsi"/>
          <w:sz w:val="18"/>
          <w:szCs w:val="18"/>
        </w:rPr>
      </w:pPr>
      <w:r>
        <w:rPr>
          <w:rFonts w:asciiTheme="majorHAnsi" w:hAnsiTheme="majorHAnsi"/>
          <w:b/>
          <w:sz w:val="18"/>
          <w:szCs w:val="18"/>
        </w:rPr>
        <w:t xml:space="preserve">Service connections off existing mains – </w:t>
      </w:r>
      <w:r>
        <w:rPr>
          <w:rFonts w:asciiTheme="majorHAnsi" w:hAnsiTheme="majorHAnsi"/>
          <w:sz w:val="18"/>
          <w:szCs w:val="18"/>
        </w:rPr>
        <w:t xml:space="preserve">Timescales vary depending on utility and area of works, please refer to scope of works or contact AU representative for confirmation.  </w:t>
      </w:r>
    </w:p>
    <w:p w14:paraId="000001FB">
      <w:pPr>
        <w:spacing w:after="166" w:line="265" w:lineRule="auto"/>
        <w:ind w:left="724" w:right="205" w:hanging="5"/>
        <w:rPr>
          <w:rFonts w:asciiTheme="majorHAnsi" w:hAnsiTheme="majorHAnsi"/>
          <w:sz w:val="18"/>
          <w:szCs w:val="18"/>
        </w:rPr>
      </w:pPr>
      <w:r>
        <w:rPr>
          <w:rFonts w:asciiTheme="majorHAnsi" w:hAnsiTheme="majorHAnsi"/>
          <w:b/>
          <w:sz w:val="18"/>
          <w:szCs w:val="18"/>
        </w:rPr>
        <w:t>Material deliveries to site</w:t>
      </w:r>
      <w:r>
        <w:rPr>
          <w:rFonts w:asciiTheme="majorHAnsi" w:hAnsiTheme="majorHAnsi"/>
          <w:sz w:val="18"/>
          <w:szCs w:val="18"/>
        </w:rPr>
        <w:t xml:space="preserve">s– Usually within 5 working days from receipt of correctly completed materials request form.  </w:t>
      </w:r>
    </w:p>
    <w:p w14:paraId="000001FC">
      <w:pPr>
        <w:spacing w:after="172" w:line="265" w:lineRule="auto"/>
        <w:ind w:left="724" w:right="205" w:hanging="5"/>
        <w:rPr>
          <w:rFonts w:asciiTheme="majorHAnsi" w:hAnsiTheme="majorHAnsi"/>
          <w:sz w:val="18"/>
          <w:szCs w:val="18"/>
        </w:rPr>
      </w:pPr>
      <w:r>
        <w:rPr>
          <w:rFonts w:asciiTheme="majorHAnsi" w:hAnsiTheme="majorHAnsi"/>
          <w:b/>
          <w:sz w:val="18"/>
          <w:szCs w:val="18"/>
        </w:rPr>
        <w:t xml:space="preserve">Electric and gas meters </w:t>
      </w:r>
      <w:r>
        <w:rPr>
          <w:rFonts w:asciiTheme="majorHAnsi" w:hAnsiTheme="majorHAnsi"/>
          <w:sz w:val="18"/>
          <w:szCs w:val="18"/>
        </w:rPr>
        <w:t xml:space="preserve">– Timescales vary depending on customers nominated supplier.  </w:t>
      </w:r>
    </w:p>
    <w:p w14:paraId="000001FD">
      <w:pPr>
        <w:spacing w:after="277" w:line="265" w:lineRule="auto"/>
        <w:ind w:left="724" w:right="205" w:hanging="5"/>
        <w:rPr>
          <w:rFonts w:asciiTheme="majorHAnsi" w:hAnsiTheme="majorHAnsi"/>
          <w:sz w:val="18"/>
          <w:szCs w:val="18"/>
        </w:rPr>
      </w:pPr>
      <w:r>
        <w:rPr>
          <w:rFonts w:asciiTheme="majorHAnsi" w:hAnsiTheme="majorHAnsi"/>
          <w:b/>
          <w:sz w:val="18"/>
          <w:szCs w:val="18"/>
        </w:rPr>
        <w:t xml:space="preserve">Disconnections </w:t>
      </w:r>
      <w:r>
        <w:rPr>
          <w:rFonts w:asciiTheme="majorHAnsi" w:hAnsiTheme="majorHAnsi"/>
          <w:sz w:val="18"/>
          <w:szCs w:val="18"/>
        </w:rPr>
        <w:t xml:space="preserve">– Vary depending on utility and area, please contact AU for more information.  </w:t>
      </w:r>
    </w:p>
    <w:p w14:paraId="000001FE">
      <w:pPr>
        <w:rPr>
          <w:rFonts w:asciiTheme="majorHAnsi" w:hAnsiTheme="majorHAnsi"/>
          <w:b/>
          <w:bCs/>
        </w:rPr>
      </w:pPr>
    </w:p>
    <w:p w14:paraId="000001FF">
      <w:pPr>
        <w:rPr>
          <w:rFonts w:asciiTheme="majorHAnsi" w:hAnsiTheme="majorHAnsi"/>
          <w:b/>
          <w:bCs/>
        </w:rPr>
      </w:pPr>
    </w:p>
    <w:p w14:paraId="00000200">
      <w:pPr>
        <w:rPr>
          <w:rFonts w:asciiTheme="majorHAnsi" w:hAnsiTheme="majorHAnsi"/>
          <w:b/>
          <w:bCs/>
        </w:rPr>
      </w:pPr>
    </w:p>
    <w:p w14:paraId="00000201">
      <w:pPr>
        <w:rPr>
          <w:rFonts w:asciiTheme="majorHAnsi" w:hAnsiTheme="majorHAnsi"/>
          <w:b/>
          <w:bCs/>
        </w:rPr>
      </w:pPr>
    </w:p>
    <w:p w14:paraId="00000202">
      <w:pPr>
        <w:rPr>
          <w:rFonts w:asciiTheme="majorHAnsi" w:hAnsiTheme="majorHAnsi"/>
          <w:b/>
          <w:bCs/>
        </w:rPr>
      </w:pPr>
    </w:p>
    <w:p w14:paraId="00000203">
      <w:pPr>
        <w:rPr>
          <w:rFonts w:asciiTheme="majorHAnsi" w:hAnsiTheme="majorHAnsi"/>
          <w:b/>
          <w:bCs/>
        </w:rPr>
      </w:pPr>
    </w:p>
    <w:p w14:paraId="00000204">
      <w:pPr>
        <w:rPr>
          <w:rFonts w:asciiTheme="majorHAnsi" w:hAnsiTheme="majorHAnsi"/>
          <w:b/>
          <w:bCs/>
        </w:rPr>
      </w:pPr>
    </w:p>
    <w:p w14:paraId="00000205">
      <w:pPr>
        <w:rPr>
          <w:rFonts w:asciiTheme="majorHAnsi" w:hAnsiTheme="majorHAnsi"/>
          <w:b/>
          <w:bCs/>
        </w:rPr>
      </w:pPr>
    </w:p>
    <w:p w14:paraId="00000206">
      <w:pPr>
        <w:rPr>
          <w:rFonts w:asciiTheme="majorHAnsi" w:hAnsiTheme="majorHAnsi"/>
          <w:b/>
          <w:bCs/>
        </w:rPr>
      </w:pPr>
    </w:p>
    <w:p w14:paraId="00000207">
      <w:pPr>
        <w:rPr>
          <w:rFonts w:asciiTheme="majorHAnsi" w:hAnsiTheme="majorHAnsi"/>
          <w:b/>
          <w:bCs/>
        </w:rPr>
      </w:pPr>
    </w:p>
    <w:p w14:paraId="00000208">
      <w:pPr>
        <w:rPr>
          <w:rFonts w:asciiTheme="majorHAnsi" w:hAnsiTheme="majorHAnsi"/>
          <w:b/>
          <w:bCs/>
        </w:rPr>
      </w:pPr>
    </w:p>
    <w:p w14:paraId="00000209">
      <w:pPr>
        <w:rPr>
          <w:rFonts w:asciiTheme="majorHAnsi" w:hAnsiTheme="majorHAnsi"/>
          <w:b/>
          <w:bCs/>
        </w:rPr>
      </w:pPr>
    </w:p>
    <w:p w14:paraId="0000020A">
      <w:pPr>
        <w:rPr>
          <w:rFonts w:asciiTheme="majorHAnsi" w:hAnsiTheme="majorHAnsi"/>
          <w:b/>
          <w:bCs/>
        </w:rPr>
      </w:pPr>
    </w:p>
    <w:p w14:paraId="0000020B">
      <w:pPr>
        <w:rPr>
          <w:rFonts w:asciiTheme="majorHAnsi" w:hAnsiTheme="majorHAnsi"/>
          <w:b/>
          <w:bCs/>
          <w:color w:val="4b92d9" w:themeColor="text2" w:themeTint="80"/>
        </w:rPr>
      </w:pPr>
      <w:r>
        <w:rPr>
          <w:rFonts w:asciiTheme="majorHAnsi" w:hAnsiTheme="majorHAnsi"/>
          <w:b/>
          <w:bCs/>
          <w:color w:val="4b92d9" w:themeColor="text2" w:themeTint="80"/>
        </w:rPr>
        <w:t xml:space="preserve">OFF SITE WORKS </w:t>
      </w:r>
    </w:p>
    <w:p w14:paraId="0000020C">
      <w:pPr>
        <w:rPr>
          <w:rFonts w:asciiTheme="majorHAnsi" w:hAnsiTheme="majorHAnsi"/>
          <w:b/>
          <w:bCs/>
        </w:rPr>
      </w:pPr>
      <w:r>
        <w:rPr>
          <w:rFonts w:asciiTheme="majorHAnsi" w:hAnsiTheme="majorHAnsi"/>
          <w:b/>
          <w:bCs/>
        </w:rPr>
        <w:t xml:space="preserve">Connection points on the existing networks </w:t>
      </w:r>
      <w:r>
        <w:rPr>
          <w:rFonts w:asciiTheme="majorHAnsi" w:hAnsiTheme="majorHAnsi"/>
          <w:b/>
          <w:bCs/>
        </w:rPr>
        <w:tab/>
      </w:r>
    </w:p>
    <w:p w14:paraId="0000020D">
      <w:pPr>
        <w:rPr>
          <w:rFonts w:asciiTheme="majorHAnsi" w:hAnsiTheme="majorHAnsi"/>
        </w:rPr>
      </w:pPr>
      <w:r>
        <w:rPr>
          <w:rFonts w:asciiTheme="majorHAnsi" w:hAnsiTheme="majorHAnsi"/>
        </w:rPr>
        <w:t xml:space="preserve">The below diagram indicates the connection point to the existing network which forms part of our tender. </w:t>
      </w:r>
    </w:p>
    <w:p w14:paraId="0000020E">
      <w:pPr>
        <w:rPr>
          <w:rFonts w:asciiTheme="majorHAnsi" w:hAnsiTheme="majorHAnsi"/>
        </w:rPr>
      </w:pPr>
    </w:p>
    <w:p w14:paraId="0000020F">
      <w:pPr>
        <w:rPr>
          <w:rFonts w:asciiTheme="majorHAnsi" w:hAnsiTheme="majorHAnsi"/>
        </w:rPr>
      </w:pPr>
      <w:r>
        <w:rPr>
          <w:rFonts w:asciiTheme="majorHAnsi" w:hAnsiTheme="majorHAnsi"/>
          <w:highlight w:val="yellow"/>
        </w:rPr>
        <w:t>Add image/drawing</w:t>
      </w:r>
    </w:p>
    <w:p w14:paraId="00000210">
      <w:pPr>
        <w:rPr>
          <w:rFonts w:asciiTheme="majorHAnsi" w:hAnsiTheme="majorHAnsi"/>
        </w:rPr>
      </w:pPr>
    </w:p>
    <w:p w14:paraId="00000211">
      <w:pPr>
        <w:rPr>
          <w:rFonts w:asciiTheme="majorHAnsi" w:hAnsiTheme="majorHAnsi"/>
        </w:rPr>
      </w:pPr>
    </w:p>
    <w:p w14:paraId="00000212">
      <w:pPr>
        <w:rPr>
          <w:rFonts w:asciiTheme="majorHAnsi" w:hAnsiTheme="majorHAnsi"/>
        </w:rPr>
      </w:pPr>
    </w:p>
    <w:p w14:paraId="00000213">
      <w:pPr>
        <w:rPr>
          <w:rFonts w:asciiTheme="majorHAnsi" w:hAnsiTheme="majorHAnsi"/>
        </w:rPr>
      </w:pPr>
    </w:p>
    <w:p w14:paraId="00000214">
      <w:pPr>
        <w:rPr>
          <w:rFonts w:asciiTheme="majorHAnsi" w:hAnsiTheme="majorHAnsi"/>
        </w:rPr>
      </w:pPr>
    </w:p>
    <w:p w14:paraId="00000215">
      <w:pPr>
        <w:rPr>
          <w:rFonts w:asciiTheme="majorHAnsi" w:hAnsiTheme="majorHAnsi"/>
        </w:rPr>
      </w:pPr>
    </w:p>
    <w:p w14:paraId="00000216">
      <w:pPr>
        <w:rPr>
          <w:rFonts w:asciiTheme="majorHAnsi" w:hAnsiTheme="majorHAnsi"/>
        </w:rPr>
      </w:pPr>
    </w:p>
    <w:p w14:paraId="00000217">
      <w:pPr>
        <w:rPr>
          <w:rFonts w:asciiTheme="majorHAnsi" w:hAnsiTheme="majorHAnsi"/>
        </w:rPr>
      </w:pPr>
    </w:p>
    <w:p w14:paraId="00000218">
      <w:pPr>
        <w:rPr>
          <w:rFonts w:asciiTheme="majorHAnsi" w:hAnsiTheme="majorHAnsi"/>
        </w:rPr>
      </w:pPr>
    </w:p>
    <w:p w14:paraId="00000219">
      <w:pPr>
        <w:rPr>
          <w:rFonts w:asciiTheme="majorHAnsi" w:hAnsiTheme="majorHAnsi"/>
        </w:rPr>
      </w:pPr>
    </w:p>
    <w:p w14:paraId="0000021A">
      <w:pPr>
        <w:rPr>
          <w:rFonts w:asciiTheme="majorHAnsi" w:hAnsiTheme="majorHAnsi"/>
        </w:rPr>
      </w:pPr>
    </w:p>
    <w:p w14:paraId="0000021B">
      <w:pPr>
        <w:rPr>
          <w:rFonts w:asciiTheme="majorHAnsi" w:hAnsiTheme="majorHAnsi"/>
        </w:rPr>
      </w:pPr>
    </w:p>
    <w:p w14:paraId="0000021C">
      <w:pPr>
        <w:rPr>
          <w:rFonts w:asciiTheme="majorHAnsi" w:hAnsiTheme="majorHAnsi"/>
        </w:rPr>
      </w:pPr>
    </w:p>
    <w:p w14:paraId="0000021D">
      <w:pPr>
        <w:rPr>
          <w:rFonts w:asciiTheme="majorHAnsi" w:hAnsiTheme="majorHAnsi"/>
        </w:rPr>
      </w:pPr>
    </w:p>
    <w:p w14:paraId="0000021E">
      <w:pPr>
        <w:rPr>
          <w:rFonts w:asciiTheme="majorHAnsi" w:hAnsiTheme="majorHAnsi"/>
        </w:rPr>
      </w:pPr>
    </w:p>
    <w:p w14:paraId="0000021F">
      <w:pPr>
        <w:rPr>
          <w:rFonts w:asciiTheme="majorHAnsi" w:hAnsiTheme="majorHAnsi"/>
        </w:rPr>
      </w:pPr>
    </w:p>
    <w:p w14:paraId="00000220">
      <w:pPr>
        <w:rPr>
          <w:rFonts w:asciiTheme="majorHAnsi" w:hAnsiTheme="majorHAnsi"/>
        </w:rPr>
      </w:pPr>
    </w:p>
    <w:p w14:paraId="00000221">
      <w:pPr>
        <w:rPr>
          <w:rFonts w:asciiTheme="majorHAnsi" w:hAnsiTheme="majorHAnsi"/>
        </w:rPr>
      </w:pPr>
    </w:p>
    <w:p w14:paraId="00000222">
      <w:pPr>
        <w:rPr>
          <w:rFonts w:asciiTheme="majorHAnsi" w:hAnsiTheme="majorHAnsi"/>
        </w:rPr>
      </w:pPr>
    </w:p>
    <w:p w14:paraId="00000223">
      <w:pPr>
        <w:rPr>
          <w:rFonts w:asciiTheme="majorHAnsi" w:hAnsiTheme="majorHAnsi"/>
        </w:rPr>
      </w:pPr>
    </w:p>
    <w:p w14:paraId="00000224">
      <w:pPr>
        <w:rPr>
          <w:rFonts w:asciiTheme="majorHAnsi" w:hAnsiTheme="majorHAnsi"/>
        </w:rPr>
      </w:pPr>
    </w:p>
    <w:p w14:paraId="00000225">
      <w:pPr>
        <w:rPr>
          <w:rFonts w:asciiTheme="majorHAnsi" w:hAnsiTheme="majorHAnsi"/>
        </w:rPr>
      </w:pPr>
    </w:p>
    <w:p w14:paraId="00000226">
      <w:pPr>
        <w:rPr>
          <w:rFonts w:asciiTheme="majorHAnsi" w:hAnsiTheme="majorHAnsi"/>
        </w:rPr>
      </w:pPr>
    </w:p>
    <w:p w14:paraId="00000227">
      <w:pPr>
        <w:rPr>
          <w:rFonts w:asciiTheme="majorHAnsi" w:hAnsiTheme="majorHAnsi"/>
        </w:rPr>
      </w:pPr>
    </w:p>
    <w:p w14:paraId="00000228">
      <w:pPr>
        <w:rPr>
          <w:rFonts w:asciiTheme="majorHAnsi" w:hAnsiTheme="majorHAnsi"/>
        </w:rPr>
      </w:pPr>
    </w:p>
    <w:p w14:paraId="00000229">
      <w:pPr>
        <w:rPr>
          <w:rFonts w:asciiTheme="majorHAnsi" w:hAnsiTheme="majorHAnsi"/>
          <w:b/>
          <w:bCs/>
          <w:color w:val="4b92d9" w:themeColor="text2" w:themeTint="80"/>
        </w:rPr>
      </w:pPr>
      <w:r>
        <w:rPr>
          <w:rFonts w:asciiTheme="majorHAnsi" w:hAnsiTheme="majorHAnsi"/>
          <w:b/>
          <w:bCs/>
          <w:color w:val="4b92d9" w:themeColor="text2" w:themeTint="80"/>
        </w:rPr>
        <w:t xml:space="preserve">Point of connection documentation </w:t>
      </w:r>
    </w:p>
    <w:p w14:paraId="0000022A">
      <w:pPr>
        <w:rPr>
          <w:rFonts w:asciiTheme="majorHAnsi" w:hAnsiTheme="majorHAnsi"/>
        </w:rPr>
      </w:pPr>
      <w:r>
        <w:rPr>
          <w:rFonts w:asciiTheme="majorHAnsi" w:hAnsiTheme="majorHAnsi"/>
        </w:rPr>
        <w:t xml:space="preserve">Full details of offsite and POC works are in the below table </w:t>
      </w:r>
    </w:p>
    <w:tbl>
      <w:tblPr>
        <w:tblStyle w:val="TableGrid"/>
        <w:tblW w:w="0" w:type="auto"/>
        <w:tblLook w:val="04A0"/>
      </w:tblPr>
      <w:tblGrid>
        <w:gridCol w:w="3005"/>
        <w:gridCol w:w="3005"/>
        <w:gridCol w:w="3006"/>
      </w:tblGrid>
      <w:tr>
        <w:trPr/>
        <w:tc>
          <w:tcPr>
            <w:cnfStyle w:val="101000000000"/>
            <w:tcW w:w="3005" w:type="dxa"/>
          </w:tcPr>
          <w:p w14:paraId="0000022B">
            <w:pPr>
              <w:jc w:val="center"/>
              <w:rPr>
                <w:rFonts w:asciiTheme="majorHAnsi" w:hAnsiTheme="majorHAnsi"/>
                <w:b/>
                <w:bCs/>
              </w:rPr>
            </w:pPr>
            <w:r>
              <w:rPr>
                <w:rFonts w:asciiTheme="majorHAnsi" w:hAnsiTheme="majorHAnsi"/>
                <w:b/>
                <w:bCs/>
              </w:rPr>
              <w:t>Document</w:t>
            </w:r>
          </w:p>
        </w:tc>
        <w:tc>
          <w:tcPr>
            <w:cnfStyle w:val="100000000000"/>
            <w:tcW w:w="3005" w:type="dxa"/>
          </w:tcPr>
          <w:p w14:paraId="0000022C">
            <w:pPr>
              <w:jc w:val="center"/>
              <w:rPr>
                <w:rFonts w:asciiTheme="majorHAnsi" w:hAnsiTheme="majorHAnsi"/>
                <w:b/>
                <w:bCs/>
              </w:rPr>
            </w:pPr>
            <w:r>
              <w:rPr>
                <w:rFonts w:asciiTheme="majorHAnsi" w:hAnsiTheme="majorHAnsi"/>
                <w:b/>
                <w:bCs/>
              </w:rPr>
              <w:t>Document reference</w:t>
            </w:r>
          </w:p>
        </w:tc>
        <w:tc>
          <w:tcPr>
            <w:cnfStyle w:val="100000000000"/>
            <w:tcW w:w="3006" w:type="dxa"/>
          </w:tcPr>
          <w:p w14:paraId="0000022D">
            <w:pPr>
              <w:jc w:val="center"/>
              <w:rPr>
                <w:rFonts w:asciiTheme="majorHAnsi" w:hAnsiTheme="majorHAnsi"/>
                <w:b/>
                <w:bCs/>
              </w:rPr>
            </w:pPr>
            <w:r>
              <w:rPr>
                <w:rFonts w:asciiTheme="majorHAnsi" w:hAnsiTheme="majorHAnsi"/>
                <w:b/>
                <w:bCs/>
              </w:rPr>
              <w:t>Expiry date</w:t>
            </w:r>
          </w:p>
        </w:tc>
      </w:tr>
      <w:tr>
        <w:trPr/>
        <w:tc>
          <w:tcPr>
            <w:cnfStyle w:val="001000100000"/>
            <w:tcW w:w="3005" w:type="dxa"/>
          </w:tcPr>
          <w:p w14:paraId="0000022E">
            <w:pPr>
              <w:jc w:val="center"/>
              <w:rPr>
                <w:rFonts w:asciiTheme="majorHAnsi" w:hAnsiTheme="majorHAnsi"/>
              </w:rPr>
            </w:pPr>
            <w:r>
              <w:rPr>
                <w:rFonts w:asciiTheme="majorHAnsi" w:hAnsiTheme="majorHAnsi"/>
              </w:rPr>
              <w:t>Water POC</w:t>
            </w:r>
          </w:p>
        </w:tc>
        <w:tc>
          <w:tcPr>
            <w:cnfStyle w:val="000000100000"/>
            <w:tcW w:w="3005" w:type="dxa"/>
          </w:tcPr>
          <w:p w14:paraId="0000022F">
            <w:pPr>
              <w:jc w:val="center"/>
              <w:rPr>
                <w:rFonts w:asciiTheme="majorHAnsi" w:hAnsiTheme="majorHAnsi"/>
              </w:rPr>
            </w:pPr>
            <w:r>
              <w:rPr>
                <w:rFonts w:asciiTheme="majorHAnsi" w:hAnsiTheme="majorHAnsi"/>
                <w:highlight w:val="yellow"/>
              </w:rPr>
              <w:t>xxxx</w:t>
            </w:r>
            <w:r>
              <w:rPr>
                <w:rFonts w:asciiTheme="majorHAnsi" w:hAnsiTheme="majorHAnsi"/>
              </w:rPr>
              <w:t xml:space="preserve"> </w:t>
            </w:r>
          </w:p>
        </w:tc>
        <w:tc>
          <w:tcPr>
            <w:cnfStyle w:val="000000100000"/>
            <w:tcW w:w="3006" w:type="dxa"/>
          </w:tcPr>
          <w:p w14:paraId="00000230">
            <w:pPr>
              <w:jc w:val="center"/>
              <w:rPr>
                <w:rFonts w:asciiTheme="majorHAnsi" w:hAnsiTheme="majorHAnsi"/>
              </w:rPr>
            </w:pPr>
            <w:r>
              <w:rPr>
                <w:rFonts w:asciiTheme="majorHAnsi" w:hAnsiTheme="majorHAnsi"/>
                <w:highlight w:val="yellow"/>
              </w:rPr>
              <w:t>xxxx</w:t>
            </w:r>
            <w:r>
              <w:rPr>
                <w:rFonts w:asciiTheme="majorHAnsi" w:hAnsiTheme="majorHAnsi"/>
              </w:rPr>
              <w:t xml:space="preserve"> </w:t>
            </w:r>
          </w:p>
        </w:tc>
      </w:tr>
      <w:tr>
        <w:trPr/>
        <w:tc>
          <w:tcPr>
            <w:cnfStyle w:val="001000010000"/>
            <w:tcW w:w="3005" w:type="dxa"/>
          </w:tcPr>
          <w:p w14:paraId="00000231">
            <w:pPr>
              <w:jc w:val="center"/>
              <w:rPr>
                <w:rFonts w:asciiTheme="majorHAnsi" w:hAnsiTheme="majorHAnsi"/>
              </w:rPr>
            </w:pPr>
            <w:r>
              <w:rPr>
                <w:rFonts w:asciiTheme="majorHAnsi" w:hAnsiTheme="majorHAnsi"/>
              </w:rPr>
              <w:t>Mains electric POC</w:t>
            </w:r>
          </w:p>
        </w:tc>
        <w:tc>
          <w:tcPr>
            <w:cnfStyle w:val="000000010000"/>
            <w:tcW w:w="3005" w:type="dxa"/>
          </w:tcPr>
          <w:p w14:paraId="00000232">
            <w:pPr>
              <w:jc w:val="center"/>
              <w:rPr>
                <w:rFonts w:asciiTheme="majorHAnsi" w:hAnsiTheme="majorHAnsi"/>
              </w:rPr>
            </w:pPr>
            <w:r>
              <w:rPr>
                <w:rFonts w:asciiTheme="majorHAnsi" w:hAnsiTheme="majorHAnsi"/>
                <w:highlight w:val="yellow"/>
              </w:rPr>
              <w:t>xxxx</w:t>
            </w:r>
          </w:p>
        </w:tc>
        <w:tc>
          <w:tcPr>
            <w:cnfStyle w:val="000000010000"/>
            <w:tcW w:w="3006" w:type="dxa"/>
          </w:tcPr>
          <w:p w14:paraId="00000233">
            <w:pPr>
              <w:jc w:val="center"/>
              <w:rPr>
                <w:rFonts w:asciiTheme="majorHAnsi" w:hAnsiTheme="majorHAnsi"/>
              </w:rPr>
            </w:pPr>
            <w:r>
              <w:rPr>
                <w:rFonts w:asciiTheme="majorHAnsi" w:hAnsiTheme="majorHAnsi"/>
                <w:highlight w:val="yellow"/>
              </w:rPr>
              <w:t>xxxx</w:t>
            </w:r>
            <w:r>
              <w:rPr>
                <w:rFonts w:asciiTheme="majorHAnsi" w:hAnsiTheme="majorHAnsi"/>
              </w:rPr>
              <w:t xml:space="preserve"> </w:t>
            </w:r>
          </w:p>
        </w:tc>
      </w:tr>
    </w:tbl>
    <w:p w14:paraId="00000234">
      <w:pPr>
        <w:rPr>
          <w:rFonts w:asciiTheme="majorHAnsi" w:hAnsiTheme="majorHAnsi"/>
        </w:rPr>
      </w:pPr>
    </w:p>
    <w:p w14:paraId="00000235">
      <w:pPr>
        <w:rPr>
          <w:rFonts w:asciiTheme="majorHAnsi" w:hAnsiTheme="majorHAnsi"/>
        </w:rPr>
      </w:pPr>
    </w:p>
    <w:p w14:paraId="00000236">
      <w:pPr>
        <w:rPr>
          <w:rFonts w:asciiTheme="majorHAnsi" w:hAnsiTheme="majorHAnsi"/>
          <w:sz w:val="32"/>
          <w:szCs w:val="32"/>
        </w:rPr>
      </w:pPr>
      <w:r>
        <w:rPr>
          <w:rFonts w:asciiTheme="majorHAnsi" w:hAnsiTheme="majorHAnsi"/>
          <w:b/>
          <w:bCs/>
          <w:color w:val="4b92d9" w:themeColor="text2" w:themeTint="80"/>
          <w:sz w:val="32"/>
          <w:szCs w:val="32"/>
        </w:rPr>
        <w:t>SECTION 2 – CONSTRUCTION ASSUMPTIONS</w:t>
      </w:r>
      <w:r>
        <w:rPr>
          <w:rFonts w:asciiTheme="majorHAnsi" w:hAnsiTheme="majorHAnsi"/>
          <w:sz w:val="32"/>
          <w:szCs w:val="32"/>
        </w:rPr>
        <w:t xml:space="preserve"> </w:t>
      </w:r>
    </w:p>
    <w:p w14:paraId="00000237">
      <w:pPr>
        <w:rPr>
          <w:rFonts w:asciiTheme="majorHAnsi" w:hAnsiTheme="majorHAnsi"/>
        </w:rPr>
      </w:pPr>
      <w:r>
        <w:rPr>
          <w:rFonts w:asciiTheme="majorHAnsi" w:hAnsiTheme="majorHAnsi"/>
        </w:rPr>
        <w:t xml:space="preserve">The tender price is based upon the following assumptions </w:t>
      </w:r>
    </w:p>
    <w:p w14:paraId="00000238">
      <w:pPr>
        <w:rPr>
          <w:rFonts w:asciiTheme="majorHAnsi" w:hAnsiTheme="majorHAnsi"/>
          <w:b/>
          <w:bCs/>
        </w:rPr>
      </w:pPr>
      <w:r>
        <w:rPr>
          <w:rFonts w:asciiTheme="majorHAnsi" w:hAnsiTheme="majorHAnsi"/>
          <w:b/>
          <w:bCs/>
        </w:rPr>
        <w:t xml:space="preserve">Site specific </w:t>
      </w:r>
    </w:p>
    <w:p w14:paraId="00000239">
      <w:pPr>
        <w:numPr>
          <w:ilvl w:val="0"/>
          <w:numId w:val="3"/>
        </w:numPr>
        <w:spacing w:after="96" w:line="265" w:lineRule="auto"/>
        <w:ind w:right="205" w:hanging="365"/>
        <w:jc w:val="both"/>
        <w:rPr>
          <w:rFonts w:asciiTheme="majorHAnsi" w:hAnsiTheme="majorHAnsi"/>
          <w:sz w:val="18"/>
          <w:szCs w:val="18"/>
        </w:rPr>
      </w:pPr>
      <w:r>
        <w:rPr>
          <w:rFonts w:asciiTheme="majorHAnsi" w:hAnsiTheme="majorHAnsi"/>
          <w:sz w:val="18"/>
          <w:szCs w:val="18"/>
        </w:rPr>
        <w:t xml:space="preserve">Mains will be installed in 3 visit any additional visits may be charged as a variation to contract. Additional mains visits will be charged between £900 and £1,500 subject to mains sizes (MU3). </w:t>
      </w:r>
    </w:p>
    <w:p w14:paraId="0000023A">
      <w:pPr>
        <w:numPr>
          <w:ilvl w:val="0"/>
          <w:numId w:val="3"/>
        </w:numPr>
        <w:spacing w:after="75" w:line="265" w:lineRule="auto"/>
        <w:ind w:right="205" w:hanging="365"/>
        <w:jc w:val="both"/>
        <w:rPr>
          <w:rFonts w:asciiTheme="majorHAnsi" w:hAnsiTheme="majorHAnsi"/>
          <w:sz w:val="18"/>
          <w:szCs w:val="18"/>
        </w:rPr>
      </w:pPr>
      <w:r>
        <w:rPr>
          <w:rFonts w:asciiTheme="majorHAnsi" w:hAnsiTheme="majorHAnsi"/>
          <w:sz w:val="18"/>
          <w:szCs w:val="18"/>
        </w:rPr>
        <w:t xml:space="preserve">On site mains wall hole and bend to be completed by customer. </w:t>
      </w:r>
    </w:p>
    <w:p w14:paraId="0000023B">
      <w:pPr>
        <w:numPr>
          <w:ilvl w:val="0"/>
          <w:numId w:val="3"/>
        </w:numPr>
        <w:spacing w:after="47" w:line="265" w:lineRule="auto"/>
        <w:ind w:right="205" w:hanging="365"/>
        <w:jc w:val="both"/>
        <w:rPr>
          <w:rFonts w:asciiTheme="majorHAnsi" w:hAnsiTheme="majorHAnsi"/>
          <w:sz w:val="18"/>
          <w:szCs w:val="18"/>
        </w:rPr>
      </w:pPr>
      <w:r>
        <w:rPr>
          <w:rFonts w:asciiTheme="majorHAnsi" w:hAnsiTheme="majorHAnsi"/>
          <w:sz w:val="18"/>
          <w:szCs w:val="18"/>
        </w:rPr>
        <w:t xml:space="preserve">All mains’ excavations to be sanded by AU. </w:t>
      </w:r>
    </w:p>
    <w:p w14:paraId="0000023C">
      <w:pPr>
        <w:numPr>
          <w:ilvl w:val="0"/>
          <w:numId w:val="3"/>
        </w:numPr>
        <w:spacing w:after="75" w:line="265" w:lineRule="auto"/>
        <w:ind w:right="205" w:hanging="365"/>
        <w:jc w:val="both"/>
        <w:rPr>
          <w:rFonts w:asciiTheme="majorHAnsi" w:hAnsiTheme="majorHAnsi"/>
          <w:sz w:val="18"/>
          <w:szCs w:val="18"/>
        </w:rPr>
      </w:pPr>
      <w:r>
        <w:rPr>
          <w:rFonts w:asciiTheme="majorHAnsi" w:hAnsiTheme="majorHAnsi"/>
          <w:sz w:val="18"/>
          <w:szCs w:val="18"/>
        </w:rPr>
        <w:t xml:space="preserve">Off-site mains excavations to be completed by AU, the off-site route for the new mains has been costed as Footpath, if sufficient space for new utility installation is unavailable then a variation will be issued for any change in surface type or route. </w:t>
      </w:r>
    </w:p>
    <w:p w14:paraId="0000023D">
      <w:pPr>
        <w:numPr>
          <w:ilvl w:val="0"/>
          <w:numId w:val="3"/>
        </w:numPr>
        <w:spacing w:after="7" w:line="265" w:lineRule="auto"/>
        <w:ind w:right="205" w:hanging="365"/>
        <w:jc w:val="both"/>
        <w:rPr>
          <w:rFonts w:asciiTheme="majorHAnsi" w:hAnsiTheme="majorHAnsi"/>
        </w:rPr>
      </w:pPr>
      <w:r>
        <w:rPr>
          <w:rFonts w:asciiTheme="majorHAnsi" w:hAnsiTheme="majorHAnsi"/>
          <w:sz w:val="18"/>
          <w:szCs w:val="18"/>
        </w:rPr>
        <w:t xml:space="preserve">Excavation of service connection pits and road crossing ducts for service connections by AU. </w:t>
      </w:r>
    </w:p>
    <w:p w14:paraId="0000023E">
      <w:pPr>
        <w:spacing w:after="7" w:line="265" w:lineRule="auto"/>
        <w:ind w:right="205"/>
        <w:jc w:val="both"/>
        <w:rPr>
          <w:rFonts w:asciiTheme="majorHAnsi" w:hAnsiTheme="majorHAnsi"/>
          <w:sz w:val="18"/>
          <w:szCs w:val="18"/>
        </w:rPr>
      </w:pPr>
    </w:p>
    <w:p w14:paraId="0000023F">
      <w:pPr>
        <w:spacing w:after="7" w:line="265" w:lineRule="auto"/>
        <w:ind w:right="205"/>
        <w:jc w:val="both"/>
        <w:rPr>
          <w:rFonts w:asciiTheme="majorHAnsi" w:hAnsiTheme="majorHAnsi"/>
          <w:sz w:val="18"/>
          <w:szCs w:val="18"/>
        </w:rPr>
      </w:pPr>
    </w:p>
    <w:p w14:paraId="00000240">
      <w:pPr>
        <w:spacing w:after="7" w:line="265" w:lineRule="auto"/>
        <w:ind w:right="205"/>
        <w:jc w:val="both"/>
        <w:rPr>
          <w:rFonts w:asciiTheme="majorHAnsi" w:hAnsiTheme="majorHAnsi"/>
          <w:sz w:val="18"/>
          <w:szCs w:val="18"/>
        </w:rPr>
      </w:pPr>
    </w:p>
    <w:p w14:paraId="00000241">
      <w:pPr>
        <w:spacing w:after="7" w:line="265" w:lineRule="auto"/>
        <w:ind w:right="205"/>
        <w:jc w:val="both"/>
        <w:rPr>
          <w:rFonts w:asciiTheme="majorHAnsi" w:hAnsiTheme="majorHAnsi"/>
          <w:b/>
          <w:bCs/>
        </w:rPr>
      </w:pPr>
      <w:r>
        <w:rPr>
          <w:rFonts w:asciiTheme="majorHAnsi" w:hAnsiTheme="majorHAnsi"/>
          <w:b/>
          <w:bCs/>
        </w:rPr>
        <w:t xml:space="preserve">General terms and conditions </w:t>
      </w:r>
    </w:p>
    <w:p w14:paraId="00000242">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Open cut method has been costed for installation of new mains, where this is not achievable a variation may be required. </w:t>
      </w:r>
    </w:p>
    <w:p w14:paraId="00000243">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We have allowed for offsite reinstatement to our trench line only, no allowance has been made for any additional reinstatement that may be required to the highway/footway. </w:t>
      </w:r>
    </w:p>
    <w:p w14:paraId="00000244">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No allowance has been made for excavation in concrete, rock or any other hard material that requires the use of a breaker on or off site, unless otherwise stated in the scope of works. </w:t>
      </w:r>
    </w:p>
    <w:p w14:paraId="00000245">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All work on site is assumed to be in unmade ground, defined by the red edge boundary line drawing if provided, unless otherwise indicated within the quote. No allowance has been made for the provision or compaction of imported materials or carrying out interim / final reinstatement on site. </w:t>
      </w:r>
    </w:p>
    <w:p w14:paraId="00000246">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Where site mains excavations are to be backfilled by AU, we have allowed for backfilling with suitable excavated material only, no allowance has been made for any clean imported backfill or compaction. </w:t>
      </w:r>
    </w:p>
    <w:p w14:paraId="00000247">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Where any element of excavating of trenches/joint bays, backfilling of mains trenches and/or service joint bays is done by others, or AU are to lay onsite mains only, it is assumed that backfilling will be completed within 24 hours of mains install or immediately in wet weather. Barriers are also to be supplied and placed by others as required on site where AU are not doing all civil works. Surplus spoil and materials will be removed and re-used/disposed by the developer. AU can tip directly into a dumper if provided by the customer. </w:t>
      </w:r>
    </w:p>
    <w:p w14:paraId="00000248">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Site entrance diversions, unless stated in the scope of works have been excluded from this quotation. It is the customers responsibility to determine requirements for any diversions and arrange directly with the DNO prior to works commencement. AU can include contestable diversion works within our quotation at the customer’s request. </w:t>
      </w:r>
    </w:p>
    <w:p w14:paraId="00000249">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Unless stated in the site-specific conditions and assumptions, the provision of sand and backfill of service connections will be provided/completed by the customer. </w:t>
      </w:r>
    </w:p>
    <w:p w14:paraId="0000024A">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No allowance has been made non-standard off-site road construction or surface type including but not limited to reinforced concrete, granite setts, anti-skid, York stone etc. Any such works will be treated as a variation to contract unless specifically stated in the site-specific conditions and assumptions. </w:t>
      </w:r>
    </w:p>
    <w:p w14:paraId="0000024B">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All excavation has been based upon depths of cover required under NJUG 7, however should this not be achievable then AU reserve the right to issue a variation to cover any additional costs. </w:t>
      </w:r>
    </w:p>
    <w:p w14:paraId="0000024C">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Unless specified within the quote, we have assumed that there are no live Section 58 Notices in place, and we have excluded all associated costs. Should Section 58 notices be applicable any additional direct and indirect costs will be treated as a variation to contract. </w:t>
      </w:r>
    </w:p>
    <w:p w14:paraId="0000024D">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Additional mains connections will be charged between £2,000 and £2,500 (MU3) subject to mains sizes/materials, this excludes any design amendments should they be required. </w:t>
      </w:r>
    </w:p>
    <w:p w14:paraId="0000024E">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On site mains excavation and installation has been based on unimpeded access to areas of works or excavated trenches. Any delays may be charged as a variation to contract. </w:t>
      </w:r>
    </w:p>
    <w:p w14:paraId="0000024F">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We have assumed clear, reasonable and safe access to offload new plant and equipment using a Hiab, we have not allowed for any plates to facilitate the off-loading. </w:t>
      </w:r>
    </w:p>
    <w:p w14:paraId="00000250">
      <w:pPr>
        <w:ind w:right="73"/>
        <w:rPr>
          <w:rFonts w:asciiTheme="majorHAnsi" w:hAnsiTheme="majorHAnsi"/>
          <w:sz w:val="18"/>
          <w:szCs w:val="18"/>
        </w:rPr>
      </w:pPr>
    </w:p>
    <w:p w14:paraId="00000251">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If AU teams are standing due to delays caused by the customer or third parties, then a daywork of £900.00 will be charged for each day. </w:t>
      </w:r>
    </w:p>
    <w:p w14:paraId="00000252">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Our cost allows for standard traffic management (2-way lights up to 30mph only), unless otherwise stated in the scope of works. We have not included for any local authority specific requirements such as out of hours working, lane closures, specialist traffic managements (manually operated lights, road closures etc). </w:t>
      </w:r>
    </w:p>
    <w:p w14:paraId="00000253">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Any section 50 charges included in this quotation are based on information currently held and may change between tender and actual site start date, or at the local authority’s discretion. AU reserve the right to amend any section 50 costs should they differ from what has been allowed within this tender. </w:t>
      </w:r>
    </w:p>
    <w:p w14:paraId="00000254">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Unless otherwise stated in the site-specific conditions and assumptions, we have assumed that 4 service connections will be available per visit. Services not called off or connected will be charged at the rate of £200 per plot not connected. </w:t>
      </w:r>
    </w:p>
    <w:p w14:paraId="00000255">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Any spoil arising from offsite works will be removed and disposed of by AU. Due to </w:t>
      </w:r>
      <w:r>
        <w:rPr>
          <w:rFonts w:asciiTheme="majorHAnsi" w:hAnsiTheme="majorHAnsi"/>
          <w:sz w:val="18"/>
          <w:szCs w:val="18"/>
        </w:rPr>
        <w:t>off site</w:t>
      </w:r>
      <w:r>
        <w:rPr>
          <w:rFonts w:asciiTheme="majorHAnsi" w:hAnsiTheme="majorHAnsi"/>
          <w:sz w:val="18"/>
          <w:szCs w:val="18"/>
        </w:rPr>
        <w:t xml:space="preserve"> restrictions AU may require a designated area on site to tip off site excavated materials until such time they can be collected. </w:t>
      </w:r>
    </w:p>
    <w:p w14:paraId="00000256">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Working hours have been costed between 8.00am and 5.00pm Monday to Friday, no allowance has been made for any overtime or weekend working. </w:t>
      </w:r>
    </w:p>
    <w:p w14:paraId="00000257">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It is the customers responsibility to provide a line and level for all utility installations, by means of an installed kerb race. The customer must sign the AU line and level disclaimer form and is responsible for the correct positioning of new apparatus, any utilities found to be installed incorrectly is the responsibility of the customer and variations may be required to cover the cost of rectification. </w:t>
      </w:r>
    </w:p>
    <w:p w14:paraId="00000258">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Any damage to AU installed apparatus requiring remedial works will be fully charged to the customer. </w:t>
      </w:r>
    </w:p>
    <w:p w14:paraId="00000259">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All road crossing ducts for mains and services to be provided and installed by the customer (unless stated in the scope of works). These must be installed to the correct specification by the customer. </w:t>
      </w:r>
    </w:p>
    <w:p w14:paraId="0000025A">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Should existing mains shown on record plans not be in the location or depth shown and AU incur additional costs to locate and expose, we reserve the right to recover any reasonable additional costs. </w:t>
      </w:r>
    </w:p>
    <w:p w14:paraId="0000025B">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Any increase in non-contestable costs from those stated in this quotation will be treated as a variation. </w:t>
      </w:r>
    </w:p>
    <w:p w14:paraId="0000025C">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This quotation is based on the information provided with your enquiry, as such any alteration to the provided information resulting in the requirement for a design alteration will incur a design fee of £250 per redesign. Please also note that any such changes could have an impact on the project price and asset value which will be assessed and advised as required. </w:t>
      </w:r>
    </w:p>
    <w:p w14:paraId="0000025D">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Where point of connection applications </w:t>
      </w:r>
      <w:r>
        <w:rPr>
          <w:rFonts w:asciiTheme="majorHAnsi" w:hAnsiTheme="majorHAnsi"/>
          <w:sz w:val="18"/>
          <w:szCs w:val="18"/>
        </w:rPr>
        <w:t>have</w:t>
      </w:r>
      <w:r>
        <w:rPr>
          <w:rFonts w:asciiTheme="majorHAnsi" w:hAnsiTheme="majorHAnsi"/>
          <w:sz w:val="18"/>
          <w:szCs w:val="18"/>
        </w:rPr>
        <w:t xml:space="preserve"> been made by AU to produce this tender, loads and other information used for these applications have been taken from the information provided to us during the enquiry stage. Any changes to points of connection due to project amendments will result in a variation to this contract. </w:t>
      </w:r>
    </w:p>
    <w:p w14:paraId="0000025E">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Unless stated in the scope of works any asset values payable (for gas, water and electric) will be retained by AU. These asset values have been used to discount this quotation and have been based on information provided by the customer at time of enquiry and are based on a continuous productive build programme. </w:t>
      </w:r>
      <w:r>
        <w:rPr>
          <w:rFonts w:asciiTheme="majorHAnsi" w:hAnsiTheme="majorHAnsi"/>
          <w:sz w:val="18"/>
          <w:szCs w:val="18"/>
        </w:rPr>
        <w:t>In the event that</w:t>
      </w:r>
      <w:r>
        <w:rPr>
          <w:rFonts w:asciiTheme="majorHAnsi" w:hAnsiTheme="majorHAnsi"/>
          <w:sz w:val="18"/>
          <w:szCs w:val="18"/>
        </w:rPr>
        <w:t xml:space="preserve"> these asset values are withdrawn, amended or differ from those stated in this quotation, or the customer makes any changes to the site, AU reserves the right to amend the quotation accordingly. </w:t>
      </w:r>
    </w:p>
    <w:p w14:paraId="0000025F">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AU shall be acting as a contractor on this </w:t>
      </w:r>
      <w:r>
        <w:rPr>
          <w:rFonts w:asciiTheme="majorHAnsi" w:hAnsiTheme="majorHAnsi"/>
          <w:sz w:val="18"/>
          <w:szCs w:val="18"/>
        </w:rPr>
        <w:t>project</w:t>
      </w:r>
      <w:r>
        <w:rPr>
          <w:rFonts w:asciiTheme="majorHAnsi" w:hAnsiTheme="majorHAnsi"/>
          <w:sz w:val="18"/>
          <w:szCs w:val="18"/>
        </w:rPr>
        <w:t xml:space="preserve"> and the customer or their agent shall act as the </w:t>
      </w:r>
      <w:r>
        <w:rPr>
          <w:rFonts w:asciiTheme="majorHAnsi" w:hAnsiTheme="majorHAnsi"/>
          <w:sz w:val="18"/>
          <w:szCs w:val="18"/>
        </w:rPr>
        <w:t>principle</w:t>
      </w:r>
      <w:r>
        <w:rPr>
          <w:rFonts w:asciiTheme="majorHAnsi" w:hAnsiTheme="majorHAnsi"/>
          <w:sz w:val="18"/>
          <w:szCs w:val="18"/>
        </w:rPr>
        <w:t xml:space="preserve"> contractor and fulfil all CDM requirements where applicable. The </w:t>
      </w:r>
      <w:r>
        <w:rPr>
          <w:rFonts w:asciiTheme="majorHAnsi" w:hAnsiTheme="majorHAnsi"/>
          <w:sz w:val="18"/>
          <w:szCs w:val="18"/>
        </w:rPr>
        <w:t>principle</w:t>
      </w:r>
      <w:r>
        <w:rPr>
          <w:rFonts w:asciiTheme="majorHAnsi" w:hAnsiTheme="majorHAnsi"/>
          <w:sz w:val="18"/>
          <w:szCs w:val="18"/>
        </w:rPr>
        <w:t xml:space="preserve"> contractor must provide all welfare facilities for the duration of the works, a safe compound area for the storage of plant and materials and ensure the security of all materials and plant whilst stored on site. Any loss or damage to plant and materials will be fully chargeable to the customer including any insurance excess payments for stolen plant or materials. </w:t>
      </w:r>
    </w:p>
    <w:p w14:paraId="00000260">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From </w:t>
      </w:r>
      <w:r>
        <w:rPr>
          <w:rFonts w:asciiTheme="majorHAnsi" w:hAnsiTheme="majorHAnsi"/>
          <w:sz w:val="18"/>
          <w:szCs w:val="18"/>
        </w:rPr>
        <w:t>time to time</w:t>
      </w:r>
      <w:r>
        <w:rPr>
          <w:rFonts w:asciiTheme="majorHAnsi" w:hAnsiTheme="majorHAnsi"/>
          <w:sz w:val="18"/>
          <w:szCs w:val="18"/>
        </w:rPr>
        <w:t xml:space="preserve"> AU deliveries will arrive on site before our team are present, in this event the customer must sign and take delivery of plant and material and retain the proof of delivery ticket for the AU supervisor. </w:t>
      </w:r>
    </w:p>
    <w:p w14:paraId="00000261">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Our design calculations have been based on the accommodation schedule and other information provided with your initial enquiry, using the latest industry standard annual consumptions. </w:t>
      </w:r>
    </w:p>
    <w:p w14:paraId="00000262">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The overall scope of offsite works is based upon a desktop assessment utilising information provided by the customer at the time of enquiry. On occasion the allowance made in our designs and quotation may require alterations or should the route and ground conditions </w:t>
      </w:r>
      <w:r>
        <w:rPr>
          <w:rFonts w:asciiTheme="majorHAnsi" w:hAnsiTheme="majorHAnsi"/>
          <w:sz w:val="18"/>
          <w:szCs w:val="18"/>
        </w:rPr>
        <w:t>used</w:t>
      </w:r>
      <w:r>
        <w:rPr>
          <w:rFonts w:asciiTheme="majorHAnsi" w:hAnsiTheme="majorHAnsi"/>
          <w:sz w:val="18"/>
          <w:szCs w:val="18"/>
        </w:rPr>
        <w:t xml:space="preserve"> in our tender not be achievable, any alterations / deviations will be treated as a variation. </w:t>
      </w:r>
    </w:p>
    <w:p w14:paraId="00000263">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Our quotation is based upon material cost prices on the day of this quote. </w:t>
      </w:r>
      <w:r>
        <w:rPr>
          <w:rFonts w:asciiTheme="majorHAnsi" w:hAnsiTheme="majorHAnsi"/>
          <w:sz w:val="18"/>
          <w:szCs w:val="18"/>
        </w:rPr>
        <w:t>In the event that</w:t>
      </w:r>
      <w:r>
        <w:rPr>
          <w:rFonts w:asciiTheme="majorHAnsi" w:hAnsiTheme="majorHAnsi"/>
          <w:sz w:val="18"/>
          <w:szCs w:val="18"/>
        </w:rPr>
        <w:t xml:space="preserve"> the cost price of materials should change between the date of this quotation and the date when we construct the works (or in the case of the substation or gas governor equipment the date of placing the order for the equipment) then AU reserve the right to amend our quotation price or issue a variation. </w:t>
      </w:r>
    </w:p>
    <w:p w14:paraId="00000264">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No allowance has been made for any network reinforcements or diversions unless specifically stated in the scope of works. </w:t>
      </w:r>
    </w:p>
    <w:p w14:paraId="00000265">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Should exceptionally adverse weather conditions occur, which would render planned site operations unsafe, or which cause other contractors in the region to stand down; AU would require that our operatives are also stood down and that AU is not penalised under the Contract. Similarly, should any exceptional adverse weather conditions cause ground conditions which would result in excessive and unacceptable damage to the ground; AU would require that works are not re-commenced until normal workable ground conditions are restored, and that AU is not penalised under such circumstances. </w:t>
      </w:r>
    </w:p>
    <w:p w14:paraId="00000266">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We have made reasonable assumptions on meter locations if not provided with enquiry, therefore designs may need to be amended once these have been confirmed. </w:t>
      </w:r>
    </w:p>
    <w:p w14:paraId="00000267">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This offer is based on an anticipated mains/service route into and throughout the site. All routes are subject to approval/agreement with local authorities and/or adopting asset owners. AU reserve the right to amend the quotation should our proposed designs need to be amended in any way. </w:t>
      </w:r>
    </w:p>
    <w:p w14:paraId="00000268">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Unless stated in the scope of works, AU will assume that all existing on-site utilities have been or will be removed or diverted prior to any AU works. </w:t>
      </w:r>
    </w:p>
    <w:p w14:paraId="00000269">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Unless otherwise stated in the scope of works our quotation has been based on a non-contaminated site and the use of standard PE pipes. If found to be contaminated, then further costs may be required to amend designs or pipe material change. </w:t>
      </w:r>
    </w:p>
    <w:p w14:paraId="0000026A">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Some sites may require a wayleave or easement to cover newly installed infrastructure or substation/gas housings. Unless stated in the scope of works AU have excluded all legal costs. Without wayleaves / easements in place newly installed infrastructure will not be energised. </w:t>
      </w:r>
    </w:p>
    <w:p w14:paraId="0000026B">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The customer will be required to sign construction and adoption contracts provided and issued by utility service providers. Any delay signing these documents may have an impact on construction start dates and/or energisation of new utility networks. </w:t>
      </w:r>
    </w:p>
    <w:p w14:paraId="0000026C">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We reserve the right to apply an increase in line with RPI (Retail Price Index) on contestable works (labour &amp; materials) on all works not completed within 12 months of your acceptance of our quotation. </w:t>
      </w:r>
    </w:p>
    <w:p w14:paraId="0000026D">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Any water infrastructure charges stated in the payment schedule are subject to increase annually. The plot service charge will deviate in line with the water network charges at the time of invoicing. </w:t>
      </w:r>
    </w:p>
    <w:p w14:paraId="0000026E">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No allowance has been made for any Fire and Rescue Service Fire Hydrant requirements. These will be confirmed following design approval. Any additional costs required to install such apparatus will be invoiced as a variation. </w:t>
      </w:r>
    </w:p>
    <w:p w14:paraId="0000026F">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Each water service laid within property boundaries must be installed by a WIAPS approved contractor or must have approval from the local Water Authority. If water services are installed by other individuals, then delays may be experienced with connections, installation of meters etc. Trial holes may be required along such services to prove compliance to the Local Water Authority specifications. </w:t>
      </w:r>
    </w:p>
    <w:p w14:paraId="00000270">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Retention, MCD &amp; LADs are not applicable to any AU MU </w:t>
      </w:r>
      <w:r>
        <w:rPr>
          <w:rFonts w:asciiTheme="majorHAnsi" w:hAnsiTheme="majorHAnsi"/>
          <w:sz w:val="18"/>
          <w:szCs w:val="18"/>
        </w:rPr>
        <w:t>works</w:t>
      </w:r>
      <w:r>
        <w:rPr>
          <w:rFonts w:asciiTheme="majorHAnsi" w:hAnsiTheme="majorHAnsi"/>
          <w:sz w:val="18"/>
          <w:szCs w:val="18"/>
        </w:rPr>
        <w:t xml:space="preserve"> and this quotation does not allow for the application of any of these conditions. Any costs associated by delays howsoever caused incurred by the customer will be deemed a customer risk. </w:t>
      </w:r>
    </w:p>
    <w:p w14:paraId="00000271">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AU will not enter any other form of sub-contract; all invoices must be paid </w:t>
      </w:r>
      <w:r>
        <w:rPr>
          <w:rFonts w:asciiTheme="majorHAnsi" w:hAnsiTheme="majorHAnsi"/>
          <w:sz w:val="18"/>
          <w:szCs w:val="18"/>
        </w:rPr>
        <w:t>in accordance with the payment schedule and instruction of invoice</w:t>
      </w:r>
      <w:r>
        <w:rPr>
          <w:rFonts w:asciiTheme="majorHAnsi" w:hAnsiTheme="majorHAnsi"/>
          <w:sz w:val="18"/>
          <w:szCs w:val="18"/>
        </w:rPr>
        <w:t xml:space="preserve">. </w:t>
      </w:r>
    </w:p>
    <w:p w14:paraId="00000272">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Unless otherwise stated in the scope of works we have assumed that meters will be installed by the customers nominated supplier. </w:t>
      </w:r>
    </w:p>
    <w:p w14:paraId="00000273">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All payments must be made as per the payment terms outlined in this quotation. The full contract value must be paid before connection of the final service connection</w:t>
      </w:r>
      <w:r>
        <w:rPr>
          <w:rFonts w:asciiTheme="majorHAnsi" w:hAnsiTheme="majorHAnsi"/>
          <w:sz w:val="18"/>
          <w:szCs w:val="18"/>
        </w:rPr>
        <w:t xml:space="preserve">. Energisation may be deferred until all financial matters are resolved, AU will not be responsible for any delays to programme due to non-payment of invoices. </w:t>
      </w:r>
    </w:p>
    <w:p w14:paraId="00000274">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Until AU are in receipt of the ‘On Acceptance’ payments shown in the payment table and have received the information outlined in the customers responsibilities section we are unable to proceed with design approval and plan works to commence on site. </w:t>
      </w:r>
    </w:p>
    <w:p w14:paraId="00000275">
      <w:pPr>
        <w:numPr>
          <w:ilvl w:val="0"/>
          <w:numId w:val="4"/>
        </w:numPr>
        <w:spacing w:after="20" w:line="298" w:lineRule="auto"/>
        <w:ind w:right="73" w:hanging="365"/>
        <w:jc w:val="both"/>
        <w:rPr>
          <w:rFonts w:asciiTheme="majorHAnsi" w:hAnsiTheme="majorHAnsi"/>
          <w:sz w:val="18"/>
          <w:szCs w:val="18"/>
        </w:rPr>
      </w:pPr>
      <w:r>
        <w:rPr>
          <w:rFonts w:asciiTheme="majorHAnsi" w:hAnsiTheme="majorHAnsi"/>
          <w:sz w:val="18"/>
          <w:szCs w:val="18"/>
        </w:rPr>
        <w:t xml:space="preserve">This offer is valid until the date specified or for 30 days from the date of the offer, unless previously withdrawn in writing. </w:t>
      </w:r>
    </w:p>
    <w:p w14:paraId="00000276">
      <w:pPr>
        <w:numPr>
          <w:ilvl w:val="0"/>
          <w:numId w:val="4"/>
        </w:numPr>
        <w:spacing w:after="270" w:line="298" w:lineRule="auto"/>
        <w:ind w:right="73" w:hanging="365"/>
        <w:jc w:val="both"/>
        <w:rPr>
          <w:rFonts w:asciiTheme="majorHAnsi" w:hAnsiTheme="majorHAnsi"/>
          <w:sz w:val="18"/>
          <w:szCs w:val="18"/>
        </w:rPr>
      </w:pPr>
      <w:r>
        <w:rPr>
          <w:rFonts w:asciiTheme="majorHAnsi" w:hAnsiTheme="majorHAnsi"/>
          <w:sz w:val="18"/>
          <w:szCs w:val="18"/>
        </w:rPr>
        <w:t xml:space="preserve">Should you cancel the work after accepting our quotation a cancellation charge will be made to cover our design, administration and other cost. This will be minimum of 25% of the quote price. </w:t>
      </w:r>
    </w:p>
    <w:p w14:paraId="00000277">
      <w:pPr>
        <w:numPr>
          <w:ilvl w:val="0"/>
          <w:numId w:val="4"/>
        </w:numPr>
        <w:spacing w:after="270" w:line="298" w:lineRule="auto"/>
        <w:ind w:right="73" w:hanging="365"/>
        <w:jc w:val="both"/>
        <w:rPr>
          <w:rFonts w:asciiTheme="majorHAnsi" w:hAnsiTheme="majorHAnsi"/>
          <w:sz w:val="18"/>
          <w:szCs w:val="18"/>
        </w:rPr>
      </w:pPr>
      <w:r>
        <w:rPr>
          <w:rFonts w:asciiTheme="majorHAnsi" w:hAnsiTheme="majorHAnsi"/>
          <w:sz w:val="18"/>
          <w:szCs w:val="18"/>
        </w:rPr>
        <w:t xml:space="preserve">In consideration of the services/goods provided under this Agreement, the undersigned Director/Owner of </w:t>
      </w:r>
      <w:r>
        <w:rPr>
          <w:rFonts w:asciiTheme="majorHAnsi" w:hAnsiTheme="majorHAnsi"/>
          <w:sz w:val="18"/>
          <w:szCs w:val="18"/>
        </w:rPr>
        <w:t xml:space="preserve">(Client) </w:t>
      </w:r>
      <w:r>
        <w:rPr>
          <w:rFonts w:asciiTheme="majorHAnsi" w:hAnsiTheme="majorHAnsi"/>
          <w:sz w:val="18"/>
          <w:szCs w:val="18"/>
        </w:rPr>
        <w:t xml:space="preserve">(the "Guarantor") hereby personally guarantees the prompt payment of all sums due under this Agreement. If, for any reason, </w:t>
      </w:r>
      <w:r>
        <w:rPr>
          <w:rFonts w:asciiTheme="majorHAnsi" w:hAnsiTheme="majorHAnsi"/>
          <w:sz w:val="18"/>
          <w:szCs w:val="18"/>
        </w:rPr>
        <w:t xml:space="preserve">if the client </w:t>
      </w:r>
      <w:r>
        <w:rPr>
          <w:rFonts w:asciiTheme="majorHAnsi" w:hAnsiTheme="majorHAnsi"/>
          <w:sz w:val="18"/>
          <w:szCs w:val="18"/>
        </w:rPr>
        <w:t>fails to make any payment when due, the Guarantor agrees to be personally liable for the full amount of the outstanding balance, including any applicable interest, costs, and fees incurred in the collection of the debt. This Guarantee shall be continuing and shall remain in full force and effect until all amounts due under this Agreement have been fully paid</w:t>
      </w:r>
    </w:p>
    <w:p w14:paraId="00000278">
      <w:pPr>
        <w:numPr>
          <w:ilvl w:val="0"/>
          <w:numId w:val="4"/>
        </w:numPr>
        <w:spacing w:after="270" w:line="298" w:lineRule="auto"/>
        <w:ind w:right="73" w:hanging="365"/>
        <w:jc w:val="both"/>
        <w:rPr>
          <w:rFonts w:asciiTheme="majorHAnsi" w:hAnsiTheme="majorHAnsi"/>
          <w:sz w:val="18"/>
          <w:szCs w:val="18"/>
        </w:rPr>
      </w:pPr>
      <w:r>
        <w:rPr>
          <w:rFonts w:asciiTheme="majorHAnsi" w:hAnsiTheme="majorHAnsi"/>
          <w:sz w:val="18"/>
          <w:szCs w:val="18"/>
        </w:rPr>
        <w:t>It is agreed that IDNO (Independent Distribution Network Operator) will adopt the site upon completion. All asset values associated with the site shall remain the property of the Contractor and will be retained by the Contractor upon completion of the project. No transfer of asset ownership to any other party shall occur unless otherwise agreed in writing by the Contractor</w:t>
      </w:r>
    </w:p>
    <w:p w14:paraId="00000279">
      <w:pPr>
        <w:spacing w:after="7" w:line="265" w:lineRule="auto"/>
        <w:ind w:right="205"/>
        <w:jc w:val="both"/>
        <w:rPr>
          <w:rFonts w:asciiTheme="majorHAnsi" w:hAnsiTheme="majorHAnsi"/>
          <w:b/>
          <w:bCs/>
          <w:sz w:val="18"/>
          <w:szCs w:val="18"/>
        </w:rPr>
      </w:pPr>
    </w:p>
    <w:p w14:paraId="0000027A">
      <w:pPr>
        <w:pStyle w:val="Heading2"/>
        <w:ind w:left="701"/>
        <w:rPr>
          <w:color w:val="000000" w:themeColor="text1"/>
        </w:rPr>
      </w:pPr>
      <w:r>
        <w:rPr>
          <w:b/>
          <w:bCs/>
          <w:color w:val="000000" w:themeColor="text1"/>
          <w:sz w:val="18"/>
          <w:szCs w:val="18"/>
        </w:rPr>
        <w:t xml:space="preserve"> </w:t>
      </w:r>
      <w:r>
        <w:rPr>
          <w:color w:val="4b92d9" w:themeColor="text2" w:themeTint="80"/>
        </w:rPr>
        <w:t xml:space="preserve">Responsibilities  </w:t>
      </w:r>
    </w:p>
    <w:p w14:paraId="0000027B">
      <w:pPr>
        <w:pStyle w:val="Heading3"/>
        <w:ind w:left="717"/>
        <w:rPr>
          <w:rFonts w:asciiTheme="majorHAnsi" w:hAnsiTheme="majorHAnsi"/>
          <w:color w:val="000000" w:themeColor="text1"/>
        </w:rPr>
      </w:pPr>
      <w:r>
        <w:rPr>
          <w:rFonts w:asciiTheme="majorHAnsi" w:hAnsiTheme="majorHAnsi"/>
          <w:color w:val="000000" w:themeColor="text1"/>
        </w:rPr>
        <w:t xml:space="preserve">Customers Responsibilities  </w:t>
      </w:r>
    </w:p>
    <w:p w14:paraId="0000027C">
      <w:pPr>
        <w:spacing w:after="119" w:line="265" w:lineRule="auto"/>
        <w:ind w:left="724" w:right="205" w:hanging="5"/>
        <w:rPr>
          <w:rFonts w:asciiTheme="majorHAnsi" w:hAnsiTheme="majorHAnsi"/>
          <w:sz w:val="18"/>
          <w:szCs w:val="18"/>
        </w:rPr>
      </w:pPr>
      <w:r>
        <w:rPr>
          <w:rFonts w:asciiTheme="majorHAnsi" w:hAnsiTheme="majorHAnsi"/>
          <w:sz w:val="18"/>
          <w:szCs w:val="18"/>
        </w:rPr>
        <w:t xml:space="preserve">On Acceptance prior to commencement of works  </w:t>
      </w:r>
    </w:p>
    <w:p w14:paraId="0000027D">
      <w:pPr>
        <w:numPr>
          <w:ilvl w:val="0"/>
          <w:numId w:val="5"/>
        </w:numPr>
        <w:spacing w:after="75" w:line="265" w:lineRule="auto"/>
        <w:ind w:right="205" w:hanging="365"/>
        <w:jc w:val="both"/>
        <w:rPr>
          <w:rFonts w:asciiTheme="majorHAnsi" w:hAnsiTheme="majorHAnsi"/>
          <w:sz w:val="18"/>
          <w:szCs w:val="18"/>
        </w:rPr>
      </w:pPr>
      <w:r>
        <w:rPr>
          <w:rFonts w:asciiTheme="majorHAnsi" w:hAnsiTheme="majorHAnsi"/>
          <w:sz w:val="18"/>
          <w:szCs w:val="18"/>
        </w:rPr>
        <w:t xml:space="preserve">Provide a layout in CAD format (DWG) </w:t>
      </w:r>
    </w:p>
    <w:p w14:paraId="0000027E">
      <w:pPr>
        <w:numPr>
          <w:ilvl w:val="0"/>
          <w:numId w:val="5"/>
        </w:numPr>
        <w:spacing w:after="75" w:line="265" w:lineRule="auto"/>
        <w:ind w:right="205" w:hanging="365"/>
        <w:jc w:val="both"/>
        <w:rPr>
          <w:rFonts w:asciiTheme="majorHAnsi" w:hAnsiTheme="majorHAnsi"/>
          <w:sz w:val="18"/>
          <w:szCs w:val="18"/>
        </w:rPr>
      </w:pPr>
      <w:r>
        <w:rPr>
          <w:rFonts w:asciiTheme="majorHAnsi" w:hAnsiTheme="majorHAnsi"/>
          <w:sz w:val="18"/>
          <w:szCs w:val="18"/>
        </w:rPr>
        <w:t xml:space="preserve">Provide plot to postal addresses </w:t>
      </w:r>
    </w:p>
    <w:p w14:paraId="0000027F">
      <w:pPr>
        <w:numPr>
          <w:ilvl w:val="0"/>
          <w:numId w:val="5"/>
        </w:numPr>
        <w:spacing w:after="75" w:line="265" w:lineRule="auto"/>
        <w:ind w:right="205" w:hanging="365"/>
        <w:jc w:val="both"/>
        <w:rPr>
          <w:rFonts w:asciiTheme="majorHAnsi" w:hAnsiTheme="majorHAnsi"/>
          <w:sz w:val="18"/>
          <w:szCs w:val="18"/>
        </w:rPr>
      </w:pPr>
      <w:r>
        <w:rPr>
          <w:rFonts w:asciiTheme="majorHAnsi" w:hAnsiTheme="majorHAnsi"/>
          <w:sz w:val="18"/>
          <w:szCs w:val="18"/>
        </w:rPr>
        <w:t xml:space="preserve">Provide section 38 layout showing footpaths/roads to be adopted </w:t>
      </w:r>
    </w:p>
    <w:p w14:paraId="00000280">
      <w:pPr>
        <w:numPr>
          <w:ilvl w:val="0"/>
          <w:numId w:val="5"/>
        </w:numPr>
        <w:spacing w:after="75" w:line="265" w:lineRule="auto"/>
        <w:ind w:right="205" w:hanging="365"/>
        <w:jc w:val="both"/>
        <w:rPr>
          <w:rFonts w:asciiTheme="majorHAnsi" w:hAnsiTheme="majorHAnsi"/>
          <w:sz w:val="18"/>
          <w:szCs w:val="18"/>
        </w:rPr>
      </w:pPr>
      <w:r>
        <w:rPr>
          <w:rFonts w:asciiTheme="majorHAnsi" w:hAnsiTheme="majorHAnsi"/>
          <w:sz w:val="18"/>
          <w:szCs w:val="18"/>
        </w:rPr>
        <w:t xml:space="preserve">Provide service entry positions and meter locations </w:t>
      </w:r>
    </w:p>
    <w:p w14:paraId="00000281">
      <w:pPr>
        <w:numPr>
          <w:ilvl w:val="0"/>
          <w:numId w:val="5"/>
        </w:numPr>
        <w:spacing w:after="75" w:line="265" w:lineRule="auto"/>
        <w:ind w:right="205" w:hanging="365"/>
        <w:jc w:val="both"/>
        <w:rPr>
          <w:rFonts w:asciiTheme="majorHAnsi" w:hAnsiTheme="majorHAnsi"/>
          <w:sz w:val="18"/>
          <w:szCs w:val="18"/>
        </w:rPr>
      </w:pPr>
      <w:r>
        <w:rPr>
          <w:rFonts w:asciiTheme="majorHAnsi" w:hAnsiTheme="majorHAnsi"/>
          <w:sz w:val="18"/>
          <w:szCs w:val="18"/>
        </w:rPr>
        <w:t xml:space="preserve">Confirm nominated supplier for gas and electricity </w:t>
      </w:r>
    </w:p>
    <w:p w14:paraId="00000282">
      <w:pPr>
        <w:numPr>
          <w:ilvl w:val="0"/>
          <w:numId w:val="5"/>
        </w:numPr>
        <w:spacing w:after="75" w:line="265" w:lineRule="auto"/>
        <w:ind w:right="205" w:hanging="365"/>
        <w:jc w:val="both"/>
        <w:rPr>
          <w:rFonts w:asciiTheme="majorHAnsi" w:hAnsiTheme="majorHAnsi"/>
          <w:sz w:val="18"/>
          <w:szCs w:val="18"/>
        </w:rPr>
      </w:pPr>
      <w:r>
        <w:rPr>
          <w:rFonts w:asciiTheme="majorHAnsi" w:hAnsiTheme="majorHAnsi"/>
          <w:sz w:val="18"/>
          <w:szCs w:val="18"/>
        </w:rPr>
        <w:t xml:space="preserve">Provide a full site investigation report &amp; UU Risk Assessment (if applicable) </w:t>
      </w:r>
    </w:p>
    <w:p w14:paraId="00000283">
      <w:pPr>
        <w:numPr>
          <w:ilvl w:val="0"/>
          <w:numId w:val="5"/>
        </w:numPr>
        <w:spacing w:after="75" w:line="265" w:lineRule="auto"/>
        <w:ind w:right="205" w:hanging="365"/>
        <w:jc w:val="both"/>
        <w:rPr>
          <w:rFonts w:asciiTheme="majorHAnsi" w:hAnsiTheme="majorHAnsi"/>
          <w:sz w:val="18"/>
          <w:szCs w:val="18"/>
        </w:rPr>
      </w:pPr>
      <w:r>
        <w:rPr>
          <w:rFonts w:asciiTheme="majorHAnsi" w:hAnsiTheme="majorHAnsi"/>
          <w:sz w:val="18"/>
          <w:szCs w:val="18"/>
        </w:rPr>
        <w:t xml:space="preserve">Supply a copy of the F10 form &amp; planning permission reference number </w:t>
      </w:r>
    </w:p>
    <w:p w14:paraId="00000284">
      <w:pPr>
        <w:numPr>
          <w:ilvl w:val="0"/>
          <w:numId w:val="5"/>
        </w:numPr>
        <w:spacing w:after="75" w:line="265" w:lineRule="auto"/>
        <w:ind w:right="205" w:hanging="365"/>
        <w:jc w:val="both"/>
        <w:rPr>
          <w:rFonts w:asciiTheme="majorHAnsi" w:hAnsiTheme="majorHAnsi"/>
          <w:sz w:val="18"/>
          <w:szCs w:val="18"/>
        </w:rPr>
      </w:pPr>
      <w:r>
        <w:rPr>
          <w:rFonts w:asciiTheme="majorHAnsi" w:hAnsiTheme="majorHAnsi"/>
          <w:sz w:val="18"/>
          <w:szCs w:val="18"/>
        </w:rPr>
        <w:t xml:space="preserve">Negotiate any required wayleaves/easements and provide landowners/solicitors details </w:t>
      </w:r>
    </w:p>
    <w:p w14:paraId="00000285">
      <w:pPr>
        <w:numPr>
          <w:ilvl w:val="0"/>
          <w:numId w:val="5"/>
        </w:numPr>
        <w:spacing w:after="75" w:line="265" w:lineRule="auto"/>
        <w:ind w:right="205" w:hanging="365"/>
        <w:jc w:val="both"/>
        <w:rPr>
          <w:rFonts w:asciiTheme="majorHAnsi" w:hAnsiTheme="majorHAnsi"/>
          <w:sz w:val="18"/>
          <w:szCs w:val="18"/>
        </w:rPr>
      </w:pPr>
      <w:r>
        <w:rPr>
          <w:rFonts w:asciiTheme="majorHAnsi" w:hAnsiTheme="majorHAnsi"/>
          <w:sz w:val="18"/>
          <w:szCs w:val="18"/>
        </w:rPr>
        <w:t xml:space="preserve">Notify AU of any potential risks </w:t>
      </w:r>
    </w:p>
    <w:p w14:paraId="00000286">
      <w:pPr>
        <w:numPr>
          <w:ilvl w:val="0"/>
          <w:numId w:val="5"/>
        </w:numPr>
        <w:spacing w:after="75" w:line="265" w:lineRule="auto"/>
        <w:ind w:right="205" w:hanging="365"/>
        <w:jc w:val="both"/>
        <w:rPr>
          <w:rFonts w:asciiTheme="majorHAnsi" w:hAnsiTheme="majorHAnsi"/>
          <w:sz w:val="18"/>
          <w:szCs w:val="18"/>
        </w:rPr>
      </w:pPr>
      <w:r>
        <w:rPr>
          <w:rFonts w:asciiTheme="majorHAnsi" w:hAnsiTheme="majorHAnsi"/>
          <w:sz w:val="18"/>
          <w:szCs w:val="18"/>
        </w:rPr>
        <w:t xml:space="preserve">Fulfil CDM requirements where applicable </w:t>
      </w:r>
    </w:p>
    <w:p w14:paraId="00000287">
      <w:pPr>
        <w:numPr>
          <w:ilvl w:val="0"/>
          <w:numId w:val="5"/>
        </w:numPr>
        <w:spacing w:after="114" w:line="265" w:lineRule="auto"/>
        <w:ind w:right="205" w:hanging="365"/>
        <w:jc w:val="both"/>
        <w:rPr>
          <w:rFonts w:asciiTheme="majorHAnsi" w:hAnsiTheme="majorHAnsi"/>
          <w:sz w:val="18"/>
          <w:szCs w:val="18"/>
        </w:rPr>
      </w:pPr>
      <w:r>
        <w:rPr>
          <w:rFonts w:asciiTheme="majorHAnsi" w:hAnsiTheme="majorHAnsi"/>
          <w:sz w:val="18"/>
          <w:szCs w:val="18"/>
        </w:rPr>
        <w:t xml:space="preserve">Confirm expected site start date and programme for first connections During site activities  </w:t>
      </w:r>
    </w:p>
    <w:p w14:paraId="00000288">
      <w:pPr>
        <w:numPr>
          <w:ilvl w:val="0"/>
          <w:numId w:val="5"/>
        </w:numPr>
        <w:spacing w:after="75" w:line="265" w:lineRule="auto"/>
        <w:ind w:right="205" w:hanging="365"/>
        <w:jc w:val="both"/>
        <w:rPr>
          <w:rFonts w:asciiTheme="majorHAnsi" w:hAnsiTheme="majorHAnsi"/>
          <w:sz w:val="18"/>
          <w:szCs w:val="18"/>
        </w:rPr>
      </w:pPr>
      <w:r>
        <w:rPr>
          <w:rFonts w:asciiTheme="majorHAnsi" w:hAnsiTheme="majorHAnsi"/>
          <w:sz w:val="18"/>
          <w:szCs w:val="18"/>
        </w:rPr>
        <w:t xml:space="preserve">Request mains installation visits using correct request form giving 6 weeks’ notice </w:t>
      </w:r>
    </w:p>
    <w:p w14:paraId="00000289">
      <w:pPr>
        <w:numPr>
          <w:ilvl w:val="0"/>
          <w:numId w:val="5"/>
        </w:numPr>
        <w:spacing w:after="75" w:line="265" w:lineRule="auto"/>
        <w:ind w:right="205" w:hanging="365"/>
        <w:jc w:val="both"/>
        <w:rPr>
          <w:rFonts w:asciiTheme="majorHAnsi" w:hAnsiTheme="majorHAnsi"/>
          <w:sz w:val="18"/>
          <w:szCs w:val="18"/>
        </w:rPr>
      </w:pPr>
      <w:r>
        <w:rPr>
          <w:rFonts w:asciiTheme="majorHAnsi" w:hAnsiTheme="majorHAnsi"/>
          <w:sz w:val="18"/>
          <w:szCs w:val="18"/>
        </w:rPr>
        <w:t xml:space="preserve">Request service connections using correct request form giving 4 weeks’ notice </w:t>
      </w:r>
    </w:p>
    <w:p w14:paraId="0000028A">
      <w:pPr>
        <w:numPr>
          <w:ilvl w:val="0"/>
          <w:numId w:val="5"/>
        </w:numPr>
        <w:spacing w:after="75" w:line="265" w:lineRule="auto"/>
        <w:ind w:right="205" w:hanging="365"/>
        <w:jc w:val="both"/>
        <w:rPr>
          <w:rFonts w:asciiTheme="majorHAnsi" w:hAnsiTheme="majorHAnsi"/>
          <w:sz w:val="18"/>
          <w:szCs w:val="18"/>
        </w:rPr>
      </w:pPr>
      <w:r>
        <w:rPr>
          <w:rFonts w:asciiTheme="majorHAnsi" w:hAnsiTheme="majorHAnsi"/>
          <w:sz w:val="18"/>
          <w:szCs w:val="18"/>
        </w:rPr>
        <w:t xml:space="preserve">Report any loss or damage to AU plant, equipment or materials </w:t>
      </w:r>
    </w:p>
    <w:p w14:paraId="0000028B">
      <w:pPr>
        <w:numPr>
          <w:ilvl w:val="0"/>
          <w:numId w:val="5"/>
        </w:numPr>
        <w:spacing w:after="75" w:line="265" w:lineRule="auto"/>
        <w:ind w:right="205" w:hanging="365"/>
        <w:jc w:val="both"/>
        <w:rPr>
          <w:rFonts w:asciiTheme="majorHAnsi" w:hAnsiTheme="majorHAnsi"/>
          <w:sz w:val="18"/>
          <w:szCs w:val="18"/>
        </w:rPr>
      </w:pPr>
      <w:r>
        <w:rPr>
          <w:rFonts w:asciiTheme="majorHAnsi" w:hAnsiTheme="majorHAnsi"/>
          <w:sz w:val="18"/>
          <w:szCs w:val="18"/>
        </w:rPr>
        <w:t xml:space="preserve">Sign and complete line and level form before mains installation commences </w:t>
      </w:r>
    </w:p>
    <w:p w14:paraId="0000028C">
      <w:pPr>
        <w:numPr>
          <w:ilvl w:val="0"/>
          <w:numId w:val="5"/>
        </w:numPr>
        <w:spacing w:after="75" w:line="265" w:lineRule="auto"/>
        <w:ind w:right="205" w:hanging="365"/>
        <w:jc w:val="both"/>
        <w:rPr>
          <w:rFonts w:asciiTheme="majorHAnsi" w:hAnsiTheme="majorHAnsi"/>
          <w:sz w:val="18"/>
          <w:szCs w:val="18"/>
        </w:rPr>
      </w:pPr>
      <w:r>
        <w:rPr>
          <w:rFonts w:asciiTheme="majorHAnsi" w:hAnsiTheme="majorHAnsi"/>
          <w:sz w:val="18"/>
          <w:szCs w:val="18"/>
        </w:rPr>
        <w:t xml:space="preserve">Provide WIAPS or correct water certification with request for service connections </w:t>
      </w:r>
    </w:p>
    <w:p w14:paraId="0000028D">
      <w:pPr>
        <w:numPr>
          <w:ilvl w:val="0"/>
          <w:numId w:val="5"/>
        </w:numPr>
        <w:spacing w:after="75" w:line="265" w:lineRule="auto"/>
        <w:ind w:right="205" w:hanging="365"/>
        <w:jc w:val="both"/>
        <w:rPr>
          <w:rFonts w:asciiTheme="majorHAnsi" w:hAnsiTheme="majorHAnsi"/>
          <w:sz w:val="18"/>
          <w:szCs w:val="18"/>
        </w:rPr>
      </w:pPr>
      <w:r>
        <w:rPr>
          <w:rFonts w:asciiTheme="majorHAnsi" w:hAnsiTheme="majorHAnsi"/>
          <w:sz w:val="18"/>
          <w:szCs w:val="18"/>
        </w:rPr>
        <w:t xml:space="preserve">Ensure works are ready before team arrival, refer to AU site guidance for instructions </w:t>
      </w:r>
    </w:p>
    <w:p w14:paraId="0000028E">
      <w:pPr>
        <w:numPr>
          <w:ilvl w:val="0"/>
          <w:numId w:val="5"/>
        </w:numPr>
        <w:spacing w:after="75" w:line="265" w:lineRule="auto"/>
        <w:ind w:right="205" w:hanging="365"/>
        <w:jc w:val="both"/>
        <w:rPr>
          <w:rFonts w:asciiTheme="majorHAnsi" w:hAnsiTheme="majorHAnsi"/>
          <w:sz w:val="18"/>
          <w:szCs w:val="18"/>
        </w:rPr>
      </w:pPr>
      <w:r>
        <w:rPr>
          <w:rFonts w:asciiTheme="majorHAnsi" w:hAnsiTheme="majorHAnsi"/>
          <w:sz w:val="18"/>
          <w:szCs w:val="18"/>
        </w:rPr>
        <w:t xml:space="preserve">Ensure works are ready at least 3 days before scheduled date, so pre-vet can take place </w:t>
      </w:r>
    </w:p>
    <w:p w14:paraId="0000028F">
      <w:pPr>
        <w:numPr>
          <w:ilvl w:val="0"/>
          <w:numId w:val="5"/>
        </w:numPr>
        <w:spacing w:after="75" w:line="265" w:lineRule="auto"/>
        <w:ind w:right="205" w:hanging="365"/>
        <w:jc w:val="both"/>
        <w:rPr>
          <w:rFonts w:asciiTheme="majorHAnsi" w:hAnsiTheme="majorHAnsi"/>
          <w:sz w:val="18"/>
          <w:szCs w:val="18"/>
        </w:rPr>
      </w:pPr>
      <w:r>
        <w:rPr>
          <w:rFonts w:asciiTheme="majorHAnsi" w:hAnsiTheme="majorHAnsi"/>
          <w:sz w:val="18"/>
          <w:szCs w:val="18"/>
        </w:rPr>
        <w:t xml:space="preserve">Inform AU of any intention to cancel works prior to team arrival </w:t>
      </w:r>
    </w:p>
    <w:p w14:paraId="00000290">
      <w:pPr>
        <w:pStyle w:val="Heading3"/>
        <w:ind w:left="717"/>
        <w:rPr>
          <w:rFonts w:asciiTheme="majorHAnsi" w:hAnsiTheme="majorHAnsi"/>
          <w:color w:val="4b92d9" w:themeColor="text2" w:themeTint="80"/>
          <w:sz w:val="18"/>
          <w:szCs w:val="18"/>
        </w:rPr>
      </w:pPr>
      <w:r>
        <w:rPr>
          <w:rFonts w:asciiTheme="majorHAnsi" w:hAnsiTheme="majorHAnsi"/>
          <w:color w:val="4b92d9" w:themeColor="text2" w:themeTint="80"/>
          <w:sz w:val="18"/>
          <w:szCs w:val="18"/>
        </w:rPr>
        <w:t xml:space="preserve">AU Responsibilities  </w:t>
      </w:r>
    </w:p>
    <w:p w14:paraId="00000291">
      <w:pPr>
        <w:spacing w:after="220" w:line="265" w:lineRule="auto"/>
        <w:ind w:left="724" w:right="205" w:hanging="5"/>
        <w:rPr>
          <w:rFonts w:asciiTheme="majorHAnsi" w:hAnsiTheme="majorHAnsi"/>
          <w:sz w:val="18"/>
          <w:szCs w:val="18"/>
        </w:rPr>
      </w:pPr>
      <w:r>
        <w:rPr>
          <w:rFonts w:asciiTheme="majorHAnsi" w:hAnsiTheme="majorHAnsi"/>
          <w:sz w:val="18"/>
          <w:szCs w:val="18"/>
        </w:rPr>
        <w:t xml:space="preserve">Prior to commencement of works  </w:t>
      </w:r>
    </w:p>
    <w:p w14:paraId="00000292">
      <w:pPr>
        <w:numPr>
          <w:ilvl w:val="0"/>
          <w:numId w:val="6"/>
        </w:numPr>
        <w:spacing w:after="75" w:line="265" w:lineRule="auto"/>
        <w:ind w:right="205" w:firstLine="360"/>
        <w:jc w:val="both"/>
        <w:rPr>
          <w:rFonts w:asciiTheme="majorHAnsi" w:hAnsiTheme="majorHAnsi"/>
          <w:sz w:val="18"/>
          <w:szCs w:val="18"/>
        </w:rPr>
      </w:pPr>
      <w:r>
        <w:rPr>
          <w:rFonts w:asciiTheme="majorHAnsi" w:hAnsiTheme="majorHAnsi"/>
          <w:sz w:val="18"/>
          <w:szCs w:val="18"/>
        </w:rPr>
        <w:t xml:space="preserve">Provide customer with approved designs for construction </w:t>
      </w:r>
    </w:p>
    <w:p w14:paraId="00000293">
      <w:pPr>
        <w:numPr>
          <w:ilvl w:val="0"/>
          <w:numId w:val="6"/>
        </w:numPr>
        <w:spacing w:after="75" w:line="265" w:lineRule="auto"/>
        <w:ind w:right="205" w:firstLine="360"/>
        <w:jc w:val="both"/>
        <w:rPr>
          <w:rFonts w:asciiTheme="majorHAnsi" w:hAnsiTheme="majorHAnsi"/>
          <w:sz w:val="18"/>
          <w:szCs w:val="18"/>
        </w:rPr>
      </w:pPr>
      <w:r>
        <w:rPr>
          <w:rFonts w:asciiTheme="majorHAnsi" w:hAnsiTheme="majorHAnsi"/>
          <w:sz w:val="18"/>
          <w:szCs w:val="18"/>
        </w:rPr>
        <w:t xml:space="preserve">Provide site pack and specific RAMS documentation prior to commencement of works </w:t>
      </w:r>
    </w:p>
    <w:p w14:paraId="00000294">
      <w:pPr>
        <w:numPr>
          <w:ilvl w:val="0"/>
          <w:numId w:val="6"/>
        </w:numPr>
        <w:spacing w:after="75" w:line="265" w:lineRule="auto"/>
        <w:ind w:right="205" w:firstLine="360"/>
        <w:jc w:val="both"/>
        <w:rPr>
          <w:rFonts w:asciiTheme="majorHAnsi" w:hAnsiTheme="majorHAnsi"/>
          <w:sz w:val="18"/>
          <w:szCs w:val="18"/>
        </w:rPr>
      </w:pPr>
      <w:r>
        <w:rPr>
          <w:rFonts w:asciiTheme="majorHAnsi" w:hAnsiTheme="majorHAnsi"/>
          <w:sz w:val="18"/>
          <w:szCs w:val="18"/>
        </w:rPr>
        <w:t xml:space="preserve">Attend pre-start meetings and agree work programmes and commencement date </w:t>
      </w:r>
    </w:p>
    <w:p w14:paraId="00000295">
      <w:pPr>
        <w:numPr>
          <w:ilvl w:val="0"/>
          <w:numId w:val="6"/>
        </w:numPr>
        <w:spacing w:after="75" w:line="265" w:lineRule="auto"/>
        <w:ind w:right="205" w:firstLine="360"/>
        <w:jc w:val="both"/>
        <w:rPr>
          <w:rFonts w:asciiTheme="majorHAnsi" w:hAnsiTheme="majorHAnsi"/>
          <w:sz w:val="18"/>
          <w:szCs w:val="18"/>
        </w:rPr>
      </w:pPr>
      <w:r>
        <w:rPr>
          <w:rFonts w:asciiTheme="majorHAnsi" w:hAnsiTheme="majorHAnsi"/>
          <w:sz w:val="18"/>
          <w:szCs w:val="18"/>
        </w:rPr>
        <w:t xml:space="preserve">Trigger any legal that may be required and monitor progress </w:t>
      </w:r>
    </w:p>
    <w:p w14:paraId="00000296">
      <w:pPr>
        <w:numPr>
          <w:ilvl w:val="0"/>
          <w:numId w:val="6"/>
        </w:numPr>
        <w:spacing w:after="224" w:line="265" w:lineRule="auto"/>
        <w:ind w:right="205" w:firstLine="360"/>
        <w:jc w:val="both"/>
        <w:rPr>
          <w:rFonts w:asciiTheme="majorHAnsi" w:hAnsiTheme="majorHAnsi"/>
          <w:sz w:val="18"/>
          <w:szCs w:val="18"/>
        </w:rPr>
      </w:pPr>
      <w:r>
        <w:rPr>
          <w:rFonts w:asciiTheme="majorHAnsi" w:hAnsiTheme="majorHAnsi"/>
          <w:sz w:val="18"/>
          <w:szCs w:val="18"/>
        </w:rPr>
        <w:t xml:space="preserve">Order site specific long lead time items During site activities  </w:t>
      </w:r>
    </w:p>
    <w:p w14:paraId="00000297">
      <w:pPr>
        <w:numPr>
          <w:ilvl w:val="0"/>
          <w:numId w:val="6"/>
        </w:numPr>
        <w:spacing w:after="75" w:line="265" w:lineRule="auto"/>
        <w:ind w:right="205" w:firstLine="360"/>
        <w:jc w:val="both"/>
        <w:rPr>
          <w:rFonts w:asciiTheme="majorHAnsi" w:hAnsiTheme="majorHAnsi"/>
          <w:sz w:val="18"/>
          <w:szCs w:val="18"/>
        </w:rPr>
      </w:pPr>
      <w:r>
        <w:rPr>
          <w:rFonts w:asciiTheme="majorHAnsi" w:hAnsiTheme="majorHAnsi"/>
          <w:sz w:val="18"/>
          <w:szCs w:val="18"/>
        </w:rPr>
        <w:t xml:space="preserve">Lay utilities in accordance with NJUG requirements were reasonably practicable </w:t>
      </w:r>
    </w:p>
    <w:p w14:paraId="00000298">
      <w:pPr>
        <w:numPr>
          <w:ilvl w:val="0"/>
          <w:numId w:val="6"/>
        </w:numPr>
        <w:spacing w:after="75" w:line="265" w:lineRule="auto"/>
        <w:ind w:right="205" w:firstLine="360"/>
        <w:jc w:val="both"/>
        <w:rPr>
          <w:rFonts w:asciiTheme="majorHAnsi" w:hAnsiTheme="majorHAnsi"/>
          <w:sz w:val="18"/>
          <w:szCs w:val="18"/>
        </w:rPr>
      </w:pPr>
      <w:r>
        <w:rPr>
          <w:rFonts w:asciiTheme="majorHAnsi" w:hAnsiTheme="majorHAnsi"/>
          <w:sz w:val="18"/>
          <w:szCs w:val="18"/>
        </w:rPr>
        <w:t xml:space="preserve">Installation of mains and utilities infrastructure as per terms and conditions set out in this quotation </w:t>
      </w:r>
    </w:p>
    <w:p w14:paraId="00000299">
      <w:pPr>
        <w:numPr>
          <w:ilvl w:val="0"/>
          <w:numId w:val="6"/>
        </w:numPr>
        <w:spacing w:after="284" w:line="265" w:lineRule="auto"/>
        <w:ind w:right="205" w:firstLine="360"/>
        <w:jc w:val="both"/>
        <w:rPr>
          <w:rFonts w:asciiTheme="majorHAnsi" w:hAnsiTheme="majorHAnsi"/>
          <w:sz w:val="18"/>
          <w:szCs w:val="18"/>
        </w:rPr>
      </w:pPr>
      <w:r>
        <w:rPr>
          <w:rFonts w:asciiTheme="majorHAnsi" w:hAnsiTheme="majorHAnsi"/>
          <w:sz w:val="18"/>
          <w:szCs w:val="18"/>
        </w:rPr>
        <w:t xml:space="preserve">Liaise with adopting companies and ensure works are completed to the highest of standards. </w:t>
      </w:r>
    </w:p>
    <w:p w14:paraId="0000029A">
      <w:pPr>
        <w:pStyle w:val="Heading2"/>
        <w:ind w:left="701"/>
        <w:rPr>
          <w:color w:val="4b92d9" w:themeColor="text2" w:themeTint="80"/>
        </w:rPr>
      </w:pPr>
    </w:p>
    <w:p w14:paraId="0000029B"/>
    <w:p w14:paraId="0000029C">
      <w:pPr>
        <w:pStyle w:val="Heading2"/>
        <w:ind w:left="701"/>
        <w:rPr>
          <w:color w:val="4b92d9" w:themeColor="text2" w:themeTint="80"/>
        </w:rPr>
      </w:pPr>
      <w:r>
        <w:rPr>
          <w:color w:val="4b92d9" w:themeColor="text2" w:themeTint="80"/>
        </w:rPr>
        <w:t xml:space="preserve">Legal Documentation  </w:t>
      </w:r>
    </w:p>
    <w:p w14:paraId="0000029D"/>
    <w:p w14:paraId="0000029E">
      <w:pPr>
        <w:spacing w:after="0" w:line="265" w:lineRule="auto"/>
        <w:ind w:left="724" w:right="205" w:hanging="5"/>
        <w:rPr>
          <w:rFonts w:asciiTheme="majorHAnsi" w:hAnsiTheme="majorHAnsi"/>
        </w:rPr>
      </w:pPr>
      <w:r>
        <w:rPr>
          <w:rFonts w:asciiTheme="majorHAnsi" w:hAnsiTheme="majorHAnsi"/>
        </w:rPr>
        <w:t xml:space="preserve">The below information is required to progress design approvals and allow the adopting companies to make contact to commence the legal process. To avoid unnecessary delays with legal matters please complete the following form. </w:t>
      </w:r>
    </w:p>
    <w:tbl>
      <w:tblPr>
        <w:tblStyle w:val="TableGrid1"/>
        <w:tblpPr w:leftFromText="180" w:rightFromText="180" w:vertAnchor="page" w:horzAnchor="margin" w:tblpY="4021"/>
        <w:tblW w:w="9084" w:type="dxa"/>
        <w:tblInd w:w="0" w:type="dxa"/>
        <w:tblCellMar>
          <w:top w:w="11" w:type="dxa"/>
          <w:left w:w="114" w:type="dxa"/>
          <w:right w:w="52" w:type="dxa"/>
        </w:tblCellMar>
        <w:tblLook w:val="04A0"/>
      </w:tblPr>
      <w:tblGrid>
        <w:gridCol w:w="1206"/>
        <w:gridCol w:w="73"/>
        <w:gridCol w:w="2563"/>
        <w:gridCol w:w="2574"/>
        <w:gridCol w:w="2668"/>
      </w:tblGrid>
      <w:tr>
        <w:trPr>
          <w:trHeight w:val="428"/>
        </w:trPr>
        <w:tc>
          <w:tcPr>
            <w:cnfStyle w:val="101000000000"/>
            <w:tcW w:w="1279" w:type="dxa"/>
            <w:gridSpan w:val="2"/>
            <w:tcBorders>
              <w:top w:val="single" w:color="000000" w:sz="4" w:space="0"/>
              <w:left w:val="single" w:color="000000" w:sz="4" w:space="0"/>
              <w:bottom w:val="single" w:color="000000" w:sz="4" w:space="0"/>
              <w:right w:val="single" w:color="000000" w:sz="4" w:space="0"/>
            </w:tcBorders>
            <w:shd w:val="clear" w:color="auto" w:fill="d9d9d9"/>
          </w:tcPr>
          <w:p w14:paraId="0000029F">
            <w:pPr>
              <w:rPr>
                <w:rFonts w:asciiTheme="majorHAnsi" w:hAnsiTheme="majorHAnsi"/>
                <w:sz w:val="22"/>
                <w:szCs w:val="22"/>
              </w:rPr>
            </w:pPr>
          </w:p>
        </w:tc>
        <w:tc>
          <w:tcPr>
            <w:cnfStyle w:val="100000000000"/>
            <w:tcW w:w="2563" w:type="dxa"/>
            <w:tcBorders>
              <w:top w:val="single" w:color="000000" w:sz="4" w:space="0"/>
              <w:left w:val="single" w:color="000000" w:sz="4" w:space="0"/>
              <w:bottom w:val="single" w:color="000000" w:sz="4" w:space="0"/>
              <w:right w:val="single" w:color="000000" w:sz="4" w:space="0"/>
            </w:tcBorders>
            <w:shd w:val="clear" w:color="auto" w:fill="d9d9d9"/>
          </w:tcPr>
          <w:p w14:paraId="000002A0">
            <w:pPr>
              <w:ind w:left="1055" w:hanging="972"/>
              <w:rPr>
                <w:rFonts w:asciiTheme="majorHAnsi" w:hAnsiTheme="majorHAnsi"/>
                <w:sz w:val="22"/>
                <w:szCs w:val="22"/>
              </w:rPr>
            </w:pPr>
            <w:r>
              <w:rPr>
                <w:rFonts w:asciiTheme="majorHAnsi" w:hAnsiTheme="majorHAnsi"/>
                <w:sz w:val="22"/>
                <w:szCs w:val="22"/>
              </w:rPr>
              <w:t xml:space="preserve">Customer contact for general queries  </w:t>
            </w:r>
          </w:p>
        </w:tc>
        <w:tc>
          <w:tcPr>
            <w:cnfStyle w:val="100000000000"/>
            <w:tcW w:w="2572" w:type="dxa"/>
            <w:tcBorders>
              <w:top w:val="single" w:color="000000" w:sz="4" w:space="0"/>
              <w:left w:val="single" w:color="000000" w:sz="4" w:space="0"/>
              <w:bottom w:val="single" w:color="000000" w:sz="4" w:space="0"/>
              <w:right w:val="single" w:color="000000" w:sz="4" w:space="0"/>
            </w:tcBorders>
            <w:shd w:val="clear" w:color="auto" w:fill="d9d9d9"/>
          </w:tcPr>
          <w:p w14:paraId="000002A1">
            <w:pPr>
              <w:ind w:right="66"/>
              <w:jc w:val="center"/>
              <w:rPr>
                <w:rFonts w:asciiTheme="majorHAnsi" w:hAnsiTheme="majorHAnsi"/>
                <w:sz w:val="22"/>
                <w:szCs w:val="22"/>
              </w:rPr>
            </w:pPr>
            <w:r>
              <w:rPr>
                <w:rFonts w:asciiTheme="majorHAnsi" w:hAnsiTheme="majorHAnsi"/>
                <w:sz w:val="22"/>
                <w:szCs w:val="22"/>
              </w:rPr>
              <w:t xml:space="preserve">Landowner Details  </w:t>
            </w:r>
          </w:p>
        </w:tc>
        <w:tc>
          <w:tcPr>
            <w:cnfStyle w:val="100000000000"/>
            <w:tcW w:w="2668" w:type="dxa"/>
            <w:tcBorders>
              <w:top w:val="single" w:color="000000" w:sz="4" w:space="0"/>
              <w:left w:val="single" w:color="000000" w:sz="4" w:space="0"/>
              <w:bottom w:val="single" w:color="000000" w:sz="4" w:space="0"/>
              <w:right w:val="single" w:color="000000" w:sz="4" w:space="0"/>
            </w:tcBorders>
            <w:shd w:val="clear" w:color="auto" w:fill="d9d9d9"/>
          </w:tcPr>
          <w:p w14:paraId="000002A2">
            <w:pPr>
              <w:ind w:left="900" w:hanging="422"/>
              <w:rPr>
                <w:rFonts w:asciiTheme="majorHAnsi" w:hAnsiTheme="majorHAnsi"/>
                <w:sz w:val="22"/>
                <w:szCs w:val="22"/>
              </w:rPr>
            </w:pPr>
            <w:r>
              <w:rPr>
                <w:rFonts w:asciiTheme="majorHAnsi" w:hAnsiTheme="majorHAnsi"/>
                <w:sz w:val="22"/>
                <w:szCs w:val="22"/>
              </w:rPr>
              <w:t xml:space="preserve">Solicitors acting for landowner  </w:t>
            </w:r>
          </w:p>
        </w:tc>
      </w:tr>
      <w:tr>
        <w:trPr>
          <w:trHeight w:val="620"/>
        </w:trPr>
        <w:tc>
          <w:tcPr>
            <w:cnfStyle w:val="001000100000"/>
            <w:tcW w:w="1279" w:type="dxa"/>
            <w:gridSpan w:val="2"/>
            <w:tcBorders>
              <w:top w:val="single" w:color="000000" w:sz="4" w:space="0"/>
              <w:left w:val="single" w:color="000000" w:sz="4" w:space="0"/>
              <w:bottom w:val="single" w:color="000000" w:sz="4" w:space="0"/>
              <w:right w:val="single" w:color="000000" w:sz="4" w:space="0"/>
            </w:tcBorders>
            <w:shd w:val="clear" w:color="auto" w:fill="d9d9d9"/>
          </w:tcPr>
          <w:p w14:paraId="000002A3">
            <w:pPr>
              <w:rPr>
                <w:rFonts w:asciiTheme="majorHAnsi" w:hAnsiTheme="majorHAnsi"/>
                <w:sz w:val="22"/>
                <w:szCs w:val="22"/>
              </w:rPr>
            </w:pPr>
            <w:r>
              <w:rPr>
                <w:rFonts w:asciiTheme="majorHAnsi" w:hAnsiTheme="majorHAnsi"/>
                <w:sz w:val="22"/>
                <w:szCs w:val="22"/>
              </w:rPr>
              <w:t xml:space="preserve">Name  </w:t>
            </w:r>
          </w:p>
        </w:tc>
        <w:tc>
          <w:tcPr>
            <w:cnfStyle w:val="000000100000"/>
            <w:tcW w:w="2563" w:type="dxa"/>
            <w:tcBorders>
              <w:top w:val="single" w:color="000000" w:sz="4" w:space="0"/>
              <w:left w:val="single" w:color="000000" w:sz="4" w:space="0"/>
              <w:bottom w:val="single" w:color="000000" w:sz="4" w:space="0"/>
              <w:right w:val="single" w:color="000000" w:sz="4" w:space="0"/>
            </w:tcBorders>
          </w:tcPr>
          <w:p w14:paraId="000002A4">
            <w:pPr>
              <w:ind w:left="4"/>
              <w:rPr>
                <w:rFonts w:asciiTheme="majorHAnsi" w:hAnsiTheme="majorHAnsi"/>
                <w:sz w:val="22"/>
                <w:szCs w:val="22"/>
              </w:rPr>
            </w:pPr>
            <w:r>
              <w:rPr>
                <w:rFonts w:asciiTheme="majorHAnsi" w:hAnsiTheme="majorHAnsi"/>
                <w:sz w:val="22"/>
                <w:szCs w:val="22"/>
              </w:rPr>
              <w:t xml:space="preserve"> </w:t>
            </w:r>
          </w:p>
        </w:tc>
        <w:tc>
          <w:tcPr>
            <w:cnfStyle w:val="000000100000"/>
            <w:tcW w:w="2572" w:type="dxa"/>
            <w:tcBorders>
              <w:top w:val="single" w:color="000000" w:sz="4" w:space="0"/>
              <w:left w:val="single" w:color="000000" w:sz="4" w:space="0"/>
              <w:bottom w:val="single" w:color="000000" w:sz="4" w:space="0"/>
              <w:right w:val="single" w:color="000000" w:sz="4" w:space="0"/>
            </w:tcBorders>
          </w:tcPr>
          <w:p w14:paraId="000002A5">
            <w:pPr>
              <w:ind w:left="4"/>
              <w:rPr>
                <w:rFonts w:asciiTheme="majorHAnsi" w:hAnsiTheme="majorHAnsi"/>
                <w:sz w:val="22"/>
                <w:szCs w:val="22"/>
              </w:rPr>
            </w:pPr>
            <w:r>
              <w:rPr>
                <w:rFonts w:asciiTheme="majorHAnsi" w:hAnsiTheme="majorHAnsi"/>
                <w:sz w:val="22"/>
                <w:szCs w:val="22"/>
              </w:rPr>
              <w:t xml:space="preserve"> </w:t>
            </w:r>
          </w:p>
        </w:tc>
        <w:tc>
          <w:tcPr>
            <w:cnfStyle w:val="000000100000"/>
            <w:tcW w:w="2668" w:type="dxa"/>
            <w:tcBorders>
              <w:top w:val="single" w:color="000000" w:sz="4" w:space="0"/>
              <w:left w:val="single" w:color="000000" w:sz="4" w:space="0"/>
              <w:bottom w:val="single" w:color="000000" w:sz="4" w:space="0"/>
              <w:right w:val="single" w:color="000000" w:sz="4" w:space="0"/>
            </w:tcBorders>
          </w:tcPr>
          <w:p w14:paraId="000002A6">
            <w:pPr>
              <w:ind w:left="2"/>
              <w:rPr>
                <w:rFonts w:asciiTheme="majorHAnsi" w:hAnsiTheme="majorHAnsi"/>
                <w:sz w:val="22"/>
                <w:szCs w:val="22"/>
              </w:rPr>
            </w:pPr>
            <w:r>
              <w:rPr>
                <w:rFonts w:asciiTheme="majorHAnsi" w:hAnsiTheme="majorHAnsi"/>
                <w:sz w:val="22"/>
                <w:szCs w:val="22"/>
              </w:rPr>
              <w:t xml:space="preserve"> </w:t>
            </w:r>
          </w:p>
        </w:tc>
      </w:tr>
      <w:tr>
        <w:trPr>
          <w:trHeight w:val="739"/>
        </w:trPr>
        <w:tc>
          <w:tcPr>
            <w:cnfStyle w:val="001000010000"/>
            <w:tcW w:w="1279" w:type="dxa"/>
            <w:gridSpan w:val="2"/>
            <w:tcBorders>
              <w:top w:val="single" w:color="000000" w:sz="4" w:space="0"/>
              <w:left w:val="single" w:color="000000" w:sz="4" w:space="0"/>
              <w:bottom w:val="single" w:color="000000" w:sz="4" w:space="0"/>
              <w:right w:val="single" w:color="000000" w:sz="4" w:space="0"/>
            </w:tcBorders>
            <w:shd w:val="clear" w:color="auto" w:fill="d9d9d9"/>
          </w:tcPr>
          <w:p w14:paraId="000002A7">
            <w:pPr>
              <w:spacing w:after="2"/>
              <w:ind w:right="13"/>
              <w:rPr>
                <w:rFonts w:asciiTheme="majorHAnsi" w:hAnsiTheme="majorHAnsi"/>
                <w:sz w:val="22"/>
                <w:szCs w:val="22"/>
              </w:rPr>
            </w:pPr>
            <w:r>
              <w:rPr>
                <w:rFonts w:asciiTheme="majorHAnsi" w:hAnsiTheme="majorHAnsi"/>
                <w:sz w:val="22"/>
                <w:szCs w:val="22"/>
              </w:rPr>
              <w:t xml:space="preserve">Project Ref / Case </w:t>
            </w:r>
          </w:p>
          <w:p w14:paraId="000002A8">
            <w:pPr>
              <w:rPr>
                <w:rFonts w:asciiTheme="majorHAnsi" w:hAnsiTheme="majorHAnsi"/>
                <w:sz w:val="22"/>
                <w:szCs w:val="22"/>
              </w:rPr>
            </w:pPr>
            <w:r>
              <w:rPr>
                <w:rFonts w:asciiTheme="majorHAnsi" w:hAnsiTheme="majorHAnsi"/>
                <w:sz w:val="22"/>
                <w:szCs w:val="22"/>
              </w:rPr>
              <w:t xml:space="preserve">ref  </w:t>
            </w:r>
          </w:p>
        </w:tc>
        <w:tc>
          <w:tcPr>
            <w:cnfStyle w:val="000000010000"/>
            <w:tcW w:w="2563" w:type="dxa"/>
            <w:tcBorders>
              <w:top w:val="single" w:color="000000" w:sz="4" w:space="0"/>
              <w:left w:val="single" w:color="000000" w:sz="4" w:space="0"/>
              <w:bottom w:val="single" w:color="000000" w:sz="4" w:space="0"/>
              <w:right w:val="single" w:color="000000" w:sz="4" w:space="0"/>
            </w:tcBorders>
          </w:tcPr>
          <w:p w14:paraId="000002A9">
            <w:pPr>
              <w:ind w:left="4"/>
              <w:rPr>
                <w:rFonts w:asciiTheme="majorHAnsi" w:hAnsiTheme="majorHAnsi"/>
                <w:sz w:val="22"/>
                <w:szCs w:val="22"/>
              </w:rPr>
            </w:pPr>
            <w:r>
              <w:rPr>
                <w:rFonts w:asciiTheme="majorHAnsi" w:hAnsiTheme="majorHAnsi"/>
                <w:sz w:val="22"/>
                <w:szCs w:val="22"/>
              </w:rPr>
              <w:t xml:space="preserve"> </w:t>
            </w:r>
          </w:p>
        </w:tc>
        <w:tc>
          <w:tcPr>
            <w:cnfStyle w:val="000000010000"/>
            <w:tcW w:w="2572" w:type="dxa"/>
            <w:tcBorders>
              <w:top w:val="single" w:color="000000" w:sz="4" w:space="0"/>
              <w:left w:val="single" w:color="000000" w:sz="4" w:space="0"/>
              <w:bottom w:val="single" w:color="000000" w:sz="4" w:space="0"/>
              <w:right w:val="single" w:color="000000" w:sz="4" w:space="0"/>
            </w:tcBorders>
          </w:tcPr>
          <w:p w14:paraId="000002AA">
            <w:pPr>
              <w:ind w:left="4"/>
              <w:rPr>
                <w:rFonts w:asciiTheme="majorHAnsi" w:hAnsiTheme="majorHAnsi"/>
                <w:sz w:val="22"/>
                <w:szCs w:val="22"/>
              </w:rPr>
            </w:pPr>
            <w:r>
              <w:rPr>
                <w:rFonts w:asciiTheme="majorHAnsi" w:hAnsiTheme="majorHAnsi"/>
                <w:sz w:val="22"/>
                <w:szCs w:val="22"/>
              </w:rPr>
              <w:t xml:space="preserve"> </w:t>
            </w:r>
          </w:p>
        </w:tc>
        <w:tc>
          <w:tcPr>
            <w:cnfStyle w:val="000000010000"/>
            <w:tcW w:w="2668" w:type="dxa"/>
            <w:tcBorders>
              <w:top w:val="single" w:color="000000" w:sz="4" w:space="0"/>
              <w:left w:val="single" w:color="000000" w:sz="4" w:space="0"/>
              <w:bottom w:val="single" w:color="000000" w:sz="4" w:space="0"/>
              <w:right w:val="single" w:color="000000" w:sz="4" w:space="0"/>
            </w:tcBorders>
          </w:tcPr>
          <w:p w14:paraId="000002AB">
            <w:pPr>
              <w:ind w:left="2"/>
              <w:rPr>
                <w:rFonts w:asciiTheme="majorHAnsi" w:hAnsiTheme="majorHAnsi"/>
                <w:sz w:val="22"/>
                <w:szCs w:val="22"/>
              </w:rPr>
            </w:pPr>
            <w:r>
              <w:rPr>
                <w:rFonts w:asciiTheme="majorHAnsi" w:hAnsiTheme="majorHAnsi"/>
                <w:sz w:val="22"/>
                <w:szCs w:val="22"/>
              </w:rPr>
              <w:t xml:space="preserve"> </w:t>
            </w:r>
          </w:p>
        </w:tc>
      </w:tr>
      <w:tr>
        <w:trPr>
          <w:trHeight w:val="530"/>
        </w:trPr>
        <w:tc>
          <w:tcPr>
            <w:cnfStyle w:val="001000100000"/>
            <w:tcW w:w="1279" w:type="dxa"/>
            <w:gridSpan w:val="2"/>
            <w:tcBorders>
              <w:top w:val="single" w:color="000000" w:sz="4" w:space="0"/>
              <w:left w:val="single" w:color="000000" w:sz="4" w:space="0"/>
              <w:bottom w:val="single" w:color="000000" w:sz="4" w:space="0"/>
              <w:right w:val="single" w:color="000000" w:sz="4" w:space="0"/>
            </w:tcBorders>
            <w:shd w:val="clear" w:color="auto" w:fill="d9d9d9"/>
          </w:tcPr>
          <w:p w14:paraId="000002AC">
            <w:pPr>
              <w:rPr>
                <w:rFonts w:asciiTheme="majorHAnsi" w:hAnsiTheme="majorHAnsi"/>
                <w:sz w:val="22"/>
                <w:szCs w:val="22"/>
              </w:rPr>
            </w:pPr>
            <w:r>
              <w:rPr>
                <w:rFonts w:asciiTheme="majorHAnsi" w:hAnsiTheme="majorHAnsi"/>
                <w:sz w:val="22"/>
                <w:szCs w:val="22"/>
              </w:rPr>
              <w:t xml:space="preserve">Tel No.  </w:t>
            </w:r>
          </w:p>
        </w:tc>
        <w:tc>
          <w:tcPr>
            <w:cnfStyle w:val="000000100000"/>
            <w:tcW w:w="2563" w:type="dxa"/>
            <w:tcBorders>
              <w:top w:val="single" w:color="000000" w:sz="4" w:space="0"/>
              <w:left w:val="single" w:color="000000" w:sz="4" w:space="0"/>
              <w:bottom w:val="single" w:color="000000" w:sz="4" w:space="0"/>
              <w:right w:val="single" w:color="000000" w:sz="4" w:space="0"/>
            </w:tcBorders>
          </w:tcPr>
          <w:p w14:paraId="000002AD">
            <w:pPr>
              <w:ind w:left="4"/>
              <w:rPr>
                <w:rFonts w:asciiTheme="majorHAnsi" w:hAnsiTheme="majorHAnsi"/>
                <w:sz w:val="22"/>
                <w:szCs w:val="22"/>
              </w:rPr>
            </w:pPr>
            <w:r>
              <w:rPr>
                <w:rFonts w:asciiTheme="majorHAnsi" w:hAnsiTheme="majorHAnsi"/>
                <w:sz w:val="22"/>
                <w:szCs w:val="22"/>
              </w:rPr>
              <w:t xml:space="preserve"> </w:t>
            </w:r>
          </w:p>
        </w:tc>
        <w:tc>
          <w:tcPr>
            <w:cnfStyle w:val="000000100000"/>
            <w:tcW w:w="2572" w:type="dxa"/>
            <w:tcBorders>
              <w:top w:val="single" w:color="000000" w:sz="4" w:space="0"/>
              <w:left w:val="single" w:color="000000" w:sz="4" w:space="0"/>
              <w:bottom w:val="single" w:color="000000" w:sz="4" w:space="0"/>
              <w:right w:val="single" w:color="000000" w:sz="4" w:space="0"/>
            </w:tcBorders>
          </w:tcPr>
          <w:p w14:paraId="000002AE">
            <w:pPr>
              <w:ind w:left="4"/>
              <w:rPr>
                <w:rFonts w:asciiTheme="majorHAnsi" w:hAnsiTheme="majorHAnsi"/>
                <w:sz w:val="22"/>
                <w:szCs w:val="22"/>
              </w:rPr>
            </w:pPr>
            <w:r>
              <w:rPr>
                <w:rFonts w:asciiTheme="majorHAnsi" w:hAnsiTheme="majorHAnsi"/>
                <w:sz w:val="22"/>
                <w:szCs w:val="22"/>
              </w:rPr>
              <w:t xml:space="preserve"> </w:t>
            </w:r>
          </w:p>
        </w:tc>
        <w:tc>
          <w:tcPr>
            <w:cnfStyle w:val="000000100000"/>
            <w:tcW w:w="2668" w:type="dxa"/>
            <w:tcBorders>
              <w:top w:val="single" w:color="000000" w:sz="4" w:space="0"/>
              <w:left w:val="single" w:color="000000" w:sz="4" w:space="0"/>
              <w:bottom w:val="single" w:color="000000" w:sz="4" w:space="0"/>
              <w:right w:val="single" w:color="000000" w:sz="4" w:space="0"/>
            </w:tcBorders>
          </w:tcPr>
          <w:p w14:paraId="000002AF">
            <w:pPr>
              <w:ind w:left="2"/>
              <w:rPr>
                <w:rFonts w:asciiTheme="majorHAnsi" w:hAnsiTheme="majorHAnsi"/>
                <w:sz w:val="22"/>
                <w:szCs w:val="22"/>
              </w:rPr>
            </w:pPr>
            <w:r>
              <w:rPr>
                <w:rFonts w:asciiTheme="majorHAnsi" w:hAnsiTheme="majorHAnsi"/>
                <w:sz w:val="22"/>
                <w:szCs w:val="22"/>
              </w:rPr>
              <w:t xml:space="preserve"> </w:t>
            </w:r>
          </w:p>
        </w:tc>
      </w:tr>
      <w:tr>
        <w:trPr>
          <w:trHeight w:val="588"/>
        </w:trPr>
        <w:tc>
          <w:tcPr>
            <w:cnfStyle w:val="001000010000"/>
            <w:tcW w:w="1279" w:type="dxa"/>
            <w:gridSpan w:val="2"/>
            <w:tcBorders>
              <w:top w:val="single" w:color="000000" w:sz="4" w:space="0"/>
              <w:left w:val="single" w:color="000000" w:sz="4" w:space="0"/>
              <w:bottom w:val="single" w:color="000000" w:sz="4" w:space="0"/>
              <w:right w:val="single" w:color="000000" w:sz="4" w:space="0"/>
            </w:tcBorders>
            <w:shd w:val="clear" w:color="auto" w:fill="d9d9d9"/>
          </w:tcPr>
          <w:p w14:paraId="000002B0">
            <w:pPr>
              <w:ind w:right="51"/>
              <w:rPr>
                <w:rFonts w:asciiTheme="majorHAnsi" w:hAnsiTheme="majorHAnsi"/>
                <w:sz w:val="22"/>
                <w:szCs w:val="22"/>
              </w:rPr>
            </w:pPr>
            <w:r>
              <w:rPr>
                <w:rFonts w:asciiTheme="majorHAnsi" w:hAnsiTheme="majorHAnsi"/>
                <w:sz w:val="22"/>
                <w:szCs w:val="22"/>
              </w:rPr>
              <w:t xml:space="preserve">Mobile No.  </w:t>
            </w:r>
          </w:p>
        </w:tc>
        <w:tc>
          <w:tcPr>
            <w:cnfStyle w:val="000000010000"/>
            <w:tcW w:w="2563" w:type="dxa"/>
            <w:tcBorders>
              <w:top w:val="single" w:color="000000" w:sz="4" w:space="0"/>
              <w:left w:val="single" w:color="000000" w:sz="4" w:space="0"/>
              <w:bottom w:val="single" w:color="000000" w:sz="4" w:space="0"/>
              <w:right w:val="single" w:color="000000" w:sz="4" w:space="0"/>
            </w:tcBorders>
          </w:tcPr>
          <w:p w14:paraId="000002B1">
            <w:pPr>
              <w:ind w:left="4"/>
              <w:rPr>
                <w:rFonts w:asciiTheme="majorHAnsi" w:hAnsiTheme="majorHAnsi"/>
                <w:sz w:val="22"/>
                <w:szCs w:val="22"/>
              </w:rPr>
            </w:pPr>
            <w:r>
              <w:rPr>
                <w:rFonts w:asciiTheme="majorHAnsi" w:hAnsiTheme="majorHAnsi"/>
                <w:sz w:val="22"/>
                <w:szCs w:val="22"/>
              </w:rPr>
              <w:t xml:space="preserve"> </w:t>
            </w:r>
          </w:p>
        </w:tc>
        <w:tc>
          <w:tcPr>
            <w:cnfStyle w:val="000000010000"/>
            <w:tcW w:w="2572" w:type="dxa"/>
            <w:tcBorders>
              <w:top w:val="single" w:color="000000" w:sz="4" w:space="0"/>
              <w:left w:val="single" w:color="000000" w:sz="4" w:space="0"/>
              <w:bottom w:val="single" w:color="000000" w:sz="4" w:space="0"/>
              <w:right w:val="single" w:color="000000" w:sz="4" w:space="0"/>
            </w:tcBorders>
          </w:tcPr>
          <w:p w14:paraId="000002B2">
            <w:pPr>
              <w:ind w:left="4"/>
              <w:rPr>
                <w:rFonts w:asciiTheme="majorHAnsi" w:hAnsiTheme="majorHAnsi"/>
                <w:sz w:val="22"/>
                <w:szCs w:val="22"/>
              </w:rPr>
            </w:pPr>
            <w:r>
              <w:rPr>
                <w:rFonts w:asciiTheme="majorHAnsi" w:hAnsiTheme="majorHAnsi"/>
                <w:sz w:val="22"/>
                <w:szCs w:val="22"/>
              </w:rPr>
              <w:t xml:space="preserve"> </w:t>
            </w:r>
          </w:p>
        </w:tc>
        <w:tc>
          <w:tcPr>
            <w:cnfStyle w:val="000000010000"/>
            <w:tcW w:w="2668" w:type="dxa"/>
            <w:tcBorders>
              <w:top w:val="single" w:color="000000" w:sz="4" w:space="0"/>
              <w:left w:val="single" w:color="000000" w:sz="4" w:space="0"/>
              <w:bottom w:val="single" w:color="000000" w:sz="4" w:space="0"/>
              <w:right w:val="single" w:color="000000" w:sz="4" w:space="0"/>
            </w:tcBorders>
          </w:tcPr>
          <w:p w14:paraId="000002B3">
            <w:pPr>
              <w:ind w:left="2"/>
              <w:rPr>
                <w:rFonts w:asciiTheme="majorHAnsi" w:hAnsiTheme="majorHAnsi"/>
                <w:sz w:val="22"/>
                <w:szCs w:val="22"/>
              </w:rPr>
            </w:pPr>
            <w:r>
              <w:rPr>
                <w:rFonts w:asciiTheme="majorHAnsi" w:hAnsiTheme="majorHAnsi"/>
                <w:sz w:val="22"/>
                <w:szCs w:val="22"/>
              </w:rPr>
              <w:t xml:space="preserve"> </w:t>
            </w:r>
          </w:p>
        </w:tc>
      </w:tr>
      <w:tr>
        <w:trPr>
          <w:trHeight w:val="692"/>
        </w:trPr>
        <w:tc>
          <w:tcPr>
            <w:cnfStyle w:val="001000100000"/>
            <w:tcW w:w="1279" w:type="dxa"/>
            <w:gridSpan w:val="2"/>
            <w:tcBorders>
              <w:top w:val="single" w:color="000000" w:sz="4" w:space="0"/>
              <w:left w:val="single" w:color="000000" w:sz="4" w:space="0"/>
              <w:bottom w:val="single" w:color="000000" w:sz="4" w:space="0"/>
              <w:right w:val="single" w:color="000000" w:sz="4" w:space="0"/>
            </w:tcBorders>
            <w:shd w:val="clear" w:color="auto" w:fill="d9d9d9"/>
          </w:tcPr>
          <w:p w14:paraId="000002B4">
            <w:pPr>
              <w:rPr>
                <w:rFonts w:asciiTheme="majorHAnsi" w:hAnsiTheme="majorHAnsi"/>
                <w:sz w:val="22"/>
                <w:szCs w:val="22"/>
              </w:rPr>
            </w:pPr>
            <w:r>
              <w:rPr>
                <w:rFonts w:asciiTheme="majorHAnsi" w:hAnsiTheme="majorHAnsi"/>
                <w:sz w:val="22"/>
                <w:szCs w:val="22"/>
              </w:rPr>
              <w:t xml:space="preserve">Email  </w:t>
            </w:r>
          </w:p>
        </w:tc>
        <w:tc>
          <w:tcPr>
            <w:cnfStyle w:val="000000100000"/>
            <w:tcW w:w="2563" w:type="dxa"/>
            <w:tcBorders>
              <w:top w:val="single" w:color="000000" w:sz="4" w:space="0"/>
              <w:left w:val="single" w:color="000000" w:sz="4" w:space="0"/>
              <w:bottom w:val="single" w:color="000000" w:sz="4" w:space="0"/>
              <w:right w:val="single" w:color="000000" w:sz="4" w:space="0"/>
            </w:tcBorders>
          </w:tcPr>
          <w:p w14:paraId="000002B5">
            <w:pPr>
              <w:ind w:left="4"/>
              <w:rPr>
                <w:rFonts w:asciiTheme="majorHAnsi" w:hAnsiTheme="majorHAnsi"/>
                <w:sz w:val="22"/>
                <w:szCs w:val="22"/>
              </w:rPr>
            </w:pPr>
            <w:r>
              <w:rPr>
                <w:rFonts w:asciiTheme="majorHAnsi" w:hAnsiTheme="majorHAnsi"/>
                <w:sz w:val="22"/>
                <w:szCs w:val="22"/>
              </w:rPr>
              <w:t xml:space="preserve"> </w:t>
            </w:r>
          </w:p>
        </w:tc>
        <w:tc>
          <w:tcPr>
            <w:cnfStyle w:val="000000100000"/>
            <w:tcW w:w="2572" w:type="dxa"/>
            <w:tcBorders>
              <w:top w:val="single" w:color="000000" w:sz="4" w:space="0"/>
              <w:left w:val="single" w:color="000000" w:sz="4" w:space="0"/>
              <w:bottom w:val="single" w:color="000000" w:sz="4" w:space="0"/>
              <w:right w:val="single" w:color="000000" w:sz="4" w:space="0"/>
            </w:tcBorders>
          </w:tcPr>
          <w:p w14:paraId="000002B6">
            <w:pPr>
              <w:ind w:left="4"/>
              <w:rPr>
                <w:rFonts w:asciiTheme="majorHAnsi" w:hAnsiTheme="majorHAnsi"/>
                <w:sz w:val="22"/>
                <w:szCs w:val="22"/>
              </w:rPr>
            </w:pPr>
            <w:r>
              <w:rPr>
                <w:rFonts w:asciiTheme="majorHAnsi" w:hAnsiTheme="majorHAnsi"/>
                <w:sz w:val="22"/>
                <w:szCs w:val="22"/>
              </w:rPr>
              <w:t xml:space="preserve"> </w:t>
            </w:r>
          </w:p>
        </w:tc>
        <w:tc>
          <w:tcPr>
            <w:cnfStyle w:val="000000100000"/>
            <w:tcW w:w="2668" w:type="dxa"/>
            <w:tcBorders>
              <w:top w:val="single" w:color="000000" w:sz="4" w:space="0"/>
              <w:left w:val="single" w:color="000000" w:sz="4" w:space="0"/>
              <w:bottom w:val="single" w:color="000000" w:sz="4" w:space="0"/>
              <w:right w:val="single" w:color="000000" w:sz="4" w:space="0"/>
            </w:tcBorders>
          </w:tcPr>
          <w:p w14:paraId="000002B7">
            <w:pPr>
              <w:ind w:left="2"/>
              <w:rPr>
                <w:rFonts w:asciiTheme="majorHAnsi" w:hAnsiTheme="majorHAnsi"/>
                <w:sz w:val="22"/>
                <w:szCs w:val="22"/>
              </w:rPr>
            </w:pPr>
            <w:r>
              <w:rPr>
                <w:rFonts w:asciiTheme="majorHAnsi" w:hAnsiTheme="majorHAnsi"/>
                <w:sz w:val="22"/>
                <w:szCs w:val="22"/>
              </w:rPr>
              <w:t xml:space="preserve"> </w:t>
            </w:r>
          </w:p>
        </w:tc>
      </w:tr>
      <w:tr>
        <w:trPr>
          <w:trHeight w:val="1052"/>
        </w:trPr>
        <w:tc>
          <w:tcPr>
            <w:cnfStyle w:val="001000010000"/>
            <w:tcW w:w="1279" w:type="dxa"/>
            <w:gridSpan w:val="2"/>
            <w:tcBorders>
              <w:top w:val="single" w:color="000000" w:sz="4" w:space="0"/>
              <w:left w:val="single" w:color="000000" w:sz="4" w:space="0"/>
              <w:bottom w:val="single" w:color="000000" w:sz="4" w:space="0"/>
              <w:right w:val="single" w:color="000000" w:sz="4" w:space="0"/>
            </w:tcBorders>
            <w:shd w:val="clear" w:color="auto" w:fill="d9d9d9"/>
          </w:tcPr>
          <w:p w14:paraId="000002B8">
            <w:pPr>
              <w:spacing w:after="1"/>
              <w:rPr>
                <w:rFonts w:asciiTheme="majorHAnsi" w:hAnsiTheme="majorHAnsi"/>
                <w:sz w:val="22"/>
                <w:szCs w:val="22"/>
              </w:rPr>
            </w:pPr>
            <w:r>
              <w:rPr>
                <w:rFonts w:asciiTheme="majorHAnsi" w:hAnsiTheme="majorHAnsi"/>
                <w:sz w:val="22"/>
                <w:szCs w:val="22"/>
              </w:rPr>
              <w:t xml:space="preserve">Address &amp; </w:t>
            </w:r>
          </w:p>
          <w:p w14:paraId="000002B9">
            <w:pPr>
              <w:rPr>
                <w:rFonts w:asciiTheme="majorHAnsi" w:hAnsiTheme="majorHAnsi"/>
                <w:sz w:val="22"/>
                <w:szCs w:val="22"/>
              </w:rPr>
            </w:pPr>
            <w:r>
              <w:rPr>
                <w:rFonts w:asciiTheme="majorHAnsi" w:hAnsiTheme="majorHAnsi"/>
                <w:sz w:val="22"/>
                <w:szCs w:val="22"/>
              </w:rPr>
              <w:t xml:space="preserve">Postcode  </w:t>
            </w:r>
          </w:p>
        </w:tc>
        <w:tc>
          <w:tcPr>
            <w:cnfStyle w:val="000000010000"/>
            <w:tcW w:w="2563" w:type="dxa"/>
            <w:tcBorders>
              <w:top w:val="single" w:color="000000" w:sz="4" w:space="0"/>
              <w:left w:val="single" w:color="000000" w:sz="4" w:space="0"/>
              <w:bottom w:val="single" w:color="000000" w:sz="4" w:space="0"/>
              <w:right w:val="single" w:color="000000" w:sz="4" w:space="0"/>
            </w:tcBorders>
          </w:tcPr>
          <w:p w14:paraId="000002BA">
            <w:pPr>
              <w:ind w:left="4"/>
              <w:rPr>
                <w:rFonts w:asciiTheme="majorHAnsi" w:hAnsiTheme="majorHAnsi"/>
                <w:sz w:val="22"/>
                <w:szCs w:val="22"/>
              </w:rPr>
            </w:pPr>
            <w:r>
              <w:rPr>
                <w:rFonts w:asciiTheme="majorHAnsi" w:hAnsiTheme="majorHAnsi"/>
                <w:sz w:val="22"/>
                <w:szCs w:val="22"/>
              </w:rPr>
              <w:t xml:space="preserve"> </w:t>
            </w:r>
          </w:p>
        </w:tc>
        <w:tc>
          <w:tcPr>
            <w:cnfStyle w:val="000000010000"/>
            <w:tcW w:w="2572" w:type="dxa"/>
            <w:tcBorders>
              <w:top w:val="single" w:color="000000" w:sz="4" w:space="0"/>
              <w:left w:val="single" w:color="000000" w:sz="4" w:space="0"/>
              <w:bottom w:val="single" w:color="000000" w:sz="4" w:space="0"/>
              <w:right w:val="single" w:color="000000" w:sz="4" w:space="0"/>
            </w:tcBorders>
          </w:tcPr>
          <w:p w14:paraId="000002BB">
            <w:pPr>
              <w:ind w:left="4"/>
              <w:rPr>
                <w:rFonts w:asciiTheme="majorHAnsi" w:hAnsiTheme="majorHAnsi"/>
                <w:sz w:val="22"/>
                <w:szCs w:val="22"/>
              </w:rPr>
            </w:pPr>
            <w:r>
              <w:rPr>
                <w:rFonts w:asciiTheme="majorHAnsi" w:hAnsiTheme="majorHAnsi"/>
                <w:sz w:val="22"/>
                <w:szCs w:val="22"/>
              </w:rPr>
              <w:t xml:space="preserve"> </w:t>
            </w:r>
          </w:p>
        </w:tc>
        <w:tc>
          <w:tcPr>
            <w:cnfStyle w:val="000000010000"/>
            <w:tcW w:w="2668" w:type="dxa"/>
            <w:tcBorders>
              <w:top w:val="single" w:color="000000" w:sz="4" w:space="0"/>
              <w:left w:val="single" w:color="000000" w:sz="4" w:space="0"/>
              <w:bottom w:val="single" w:color="000000" w:sz="4" w:space="0"/>
              <w:right w:val="single" w:color="000000" w:sz="4" w:space="0"/>
            </w:tcBorders>
          </w:tcPr>
          <w:p w14:paraId="000002BC">
            <w:pPr>
              <w:ind w:left="2"/>
              <w:rPr>
                <w:rFonts w:asciiTheme="majorHAnsi" w:hAnsiTheme="majorHAnsi"/>
                <w:sz w:val="22"/>
                <w:szCs w:val="22"/>
              </w:rPr>
            </w:pPr>
            <w:r>
              <w:rPr>
                <w:rFonts w:asciiTheme="majorHAnsi" w:hAnsiTheme="majorHAnsi"/>
                <w:sz w:val="22"/>
                <w:szCs w:val="22"/>
              </w:rPr>
              <w:t xml:space="preserve"> </w:t>
            </w:r>
          </w:p>
        </w:tc>
      </w:tr>
      <w:tr>
        <w:trPr>
          <w:trHeight w:val="221"/>
        </w:trPr>
        <w:tc>
          <w:tcPr>
            <w:cnfStyle w:val="001000100000"/>
            <w:tcW w:w="9084" w:type="dxa"/>
            <w:gridSpan w:val="5"/>
            <w:tcBorders>
              <w:top w:val="single" w:color="000000" w:sz="4" w:space="0"/>
              <w:left w:val="single" w:color="000000" w:sz="4" w:space="0"/>
              <w:bottom w:val="single" w:color="000000" w:sz="4" w:space="0"/>
              <w:right w:val="single" w:color="000000" w:sz="4" w:space="0"/>
            </w:tcBorders>
            <w:shd w:val="clear" w:color="auto" w:fill="d9d9d9"/>
          </w:tcPr>
          <w:p w14:paraId="000002BD">
            <w:pPr>
              <w:ind w:right="153"/>
              <w:jc w:val="center"/>
              <w:rPr>
                <w:rFonts w:asciiTheme="majorHAnsi" w:hAnsiTheme="majorHAnsi"/>
                <w:sz w:val="22"/>
                <w:szCs w:val="22"/>
              </w:rPr>
            </w:pPr>
            <w:r>
              <w:rPr>
                <w:rFonts w:asciiTheme="majorHAnsi" w:hAnsiTheme="majorHAnsi"/>
                <w:sz w:val="22"/>
                <w:szCs w:val="22"/>
              </w:rPr>
              <w:t xml:space="preserve">I can confirm the above information is correct and I am authorised to sign on behalf of the customer  </w:t>
            </w:r>
          </w:p>
        </w:tc>
      </w:tr>
      <w:tr>
        <w:trPr>
          <w:trHeight w:val="903"/>
        </w:trPr>
        <w:tc>
          <w:tcPr>
            <w:cnfStyle w:val="001000010000"/>
            <w:tcW w:w="1206" w:type="dxa"/>
            <w:tcBorders>
              <w:top w:val="single" w:color="000000" w:sz="4" w:space="0"/>
              <w:left w:val="single" w:color="000000" w:sz="4" w:space="0"/>
              <w:bottom w:val="single" w:color="000000" w:sz="4" w:space="0"/>
              <w:right w:val="single" w:color="000000" w:sz="4" w:space="0"/>
            </w:tcBorders>
            <w:shd w:val="clear" w:color="auto" w:fill="d9d9d9"/>
          </w:tcPr>
          <w:p w14:paraId="000002BE">
            <w:pPr>
              <w:rPr>
                <w:rFonts w:asciiTheme="majorHAnsi" w:hAnsiTheme="majorHAnsi"/>
                <w:sz w:val="22"/>
                <w:szCs w:val="22"/>
              </w:rPr>
            </w:pPr>
            <w:r>
              <w:rPr>
                <w:rFonts w:asciiTheme="majorHAnsi" w:hAnsiTheme="majorHAnsi"/>
                <w:sz w:val="22"/>
                <w:szCs w:val="22"/>
              </w:rPr>
              <w:t xml:space="preserve">Name  </w:t>
            </w:r>
          </w:p>
        </w:tc>
        <w:tc>
          <w:tcPr>
            <w:cnfStyle w:val="000000010000"/>
            <w:tcW w:w="7877" w:type="dxa"/>
            <w:gridSpan w:val="4"/>
            <w:tcBorders>
              <w:top w:val="single" w:color="000000" w:sz="4" w:space="0"/>
              <w:left w:val="single" w:color="000000" w:sz="4" w:space="0"/>
              <w:bottom w:val="single" w:color="000000" w:sz="4" w:space="0"/>
              <w:right w:val="single" w:color="000000" w:sz="4" w:space="0"/>
            </w:tcBorders>
          </w:tcPr>
          <w:p w14:paraId="000002BF">
            <w:pPr>
              <w:ind w:left="2"/>
              <w:rPr>
                <w:rFonts w:asciiTheme="majorHAnsi" w:hAnsiTheme="majorHAnsi"/>
                <w:sz w:val="22"/>
                <w:szCs w:val="22"/>
              </w:rPr>
            </w:pPr>
            <w:r>
              <w:rPr>
                <w:rFonts w:asciiTheme="majorHAnsi" w:hAnsiTheme="majorHAnsi"/>
                <w:sz w:val="22"/>
                <w:szCs w:val="22"/>
              </w:rPr>
              <w:t xml:space="preserve"> </w:t>
            </w:r>
          </w:p>
        </w:tc>
      </w:tr>
      <w:tr>
        <w:trPr>
          <w:trHeight w:val="862"/>
        </w:trPr>
        <w:tc>
          <w:tcPr>
            <w:cnfStyle w:val="001000100000"/>
            <w:tcW w:w="1206" w:type="dxa"/>
            <w:tcBorders>
              <w:top w:val="single" w:color="000000" w:sz="4" w:space="0"/>
              <w:left w:val="single" w:color="000000" w:sz="4" w:space="0"/>
              <w:bottom w:val="single" w:color="000000" w:sz="4" w:space="0"/>
              <w:right w:val="single" w:color="000000" w:sz="4" w:space="0"/>
            </w:tcBorders>
            <w:shd w:val="clear" w:color="auto" w:fill="d9d9d9"/>
          </w:tcPr>
          <w:p w14:paraId="000002C0">
            <w:pPr>
              <w:rPr>
                <w:rFonts w:asciiTheme="majorHAnsi" w:hAnsiTheme="majorHAnsi"/>
                <w:sz w:val="22"/>
                <w:szCs w:val="22"/>
              </w:rPr>
            </w:pPr>
            <w:r>
              <w:rPr>
                <w:rFonts w:asciiTheme="majorHAnsi" w:hAnsiTheme="majorHAnsi"/>
                <w:sz w:val="22"/>
                <w:szCs w:val="22"/>
              </w:rPr>
              <w:t xml:space="preserve">Signed  </w:t>
            </w:r>
          </w:p>
        </w:tc>
        <w:tc>
          <w:tcPr>
            <w:cnfStyle w:val="000000100000"/>
            <w:tcW w:w="7877" w:type="dxa"/>
            <w:gridSpan w:val="4"/>
            <w:tcBorders>
              <w:top w:val="single" w:color="000000" w:sz="4" w:space="0"/>
              <w:left w:val="single" w:color="000000" w:sz="4" w:space="0"/>
              <w:bottom w:val="single" w:color="000000" w:sz="4" w:space="0"/>
              <w:right w:val="single" w:color="000000" w:sz="4" w:space="0"/>
            </w:tcBorders>
          </w:tcPr>
          <w:p w14:paraId="000002C1">
            <w:pPr>
              <w:ind w:left="2"/>
              <w:rPr>
                <w:rFonts w:asciiTheme="majorHAnsi" w:hAnsiTheme="majorHAnsi"/>
                <w:sz w:val="22"/>
                <w:szCs w:val="22"/>
              </w:rPr>
            </w:pPr>
            <w:r>
              <w:rPr>
                <w:rFonts w:asciiTheme="majorHAnsi" w:hAnsiTheme="majorHAnsi"/>
                <w:sz w:val="22"/>
                <w:szCs w:val="22"/>
              </w:rPr>
              <w:t xml:space="preserve"> </w:t>
            </w:r>
          </w:p>
        </w:tc>
      </w:tr>
      <w:tr>
        <w:trPr>
          <w:trHeight w:val="968"/>
        </w:trPr>
        <w:tc>
          <w:tcPr>
            <w:cnfStyle w:val="001000010000"/>
            <w:tcW w:w="1206" w:type="dxa"/>
            <w:tcBorders>
              <w:top w:val="single" w:color="000000" w:sz="4" w:space="0"/>
              <w:left w:val="single" w:color="000000" w:sz="4" w:space="0"/>
              <w:bottom w:val="single" w:color="000000" w:sz="4" w:space="0"/>
              <w:right w:val="single" w:color="000000" w:sz="4" w:space="0"/>
            </w:tcBorders>
            <w:shd w:val="clear" w:color="auto" w:fill="d9d9d9"/>
          </w:tcPr>
          <w:p w14:paraId="000002C2">
            <w:pPr>
              <w:rPr>
                <w:rFonts w:asciiTheme="majorHAnsi" w:hAnsiTheme="majorHAnsi"/>
                <w:sz w:val="22"/>
                <w:szCs w:val="22"/>
              </w:rPr>
            </w:pPr>
            <w:r>
              <w:rPr>
                <w:rFonts w:asciiTheme="majorHAnsi" w:hAnsiTheme="majorHAnsi"/>
                <w:sz w:val="22"/>
                <w:szCs w:val="22"/>
              </w:rPr>
              <w:t xml:space="preserve">Date  </w:t>
            </w:r>
          </w:p>
        </w:tc>
        <w:tc>
          <w:tcPr>
            <w:cnfStyle w:val="000000010000"/>
            <w:tcW w:w="7877" w:type="dxa"/>
            <w:gridSpan w:val="4"/>
            <w:tcBorders>
              <w:top w:val="single" w:color="000000" w:sz="4" w:space="0"/>
              <w:left w:val="single" w:color="000000" w:sz="4" w:space="0"/>
              <w:bottom w:val="single" w:color="000000" w:sz="4" w:space="0"/>
              <w:right w:val="single" w:color="000000" w:sz="4" w:space="0"/>
            </w:tcBorders>
          </w:tcPr>
          <w:p w14:paraId="000002C3">
            <w:pPr>
              <w:ind w:left="2"/>
              <w:rPr>
                <w:rFonts w:asciiTheme="majorHAnsi" w:hAnsiTheme="majorHAnsi"/>
                <w:sz w:val="22"/>
                <w:szCs w:val="22"/>
              </w:rPr>
            </w:pPr>
            <w:r>
              <w:rPr>
                <w:rFonts w:asciiTheme="majorHAnsi" w:hAnsiTheme="majorHAnsi"/>
                <w:sz w:val="22"/>
                <w:szCs w:val="22"/>
              </w:rPr>
              <w:t xml:space="preserve"> </w:t>
            </w:r>
          </w:p>
        </w:tc>
      </w:tr>
      <w:tr>
        <w:trPr>
          <w:trHeight w:val="1069"/>
        </w:trPr>
        <w:tc>
          <w:tcPr>
            <w:cnfStyle w:val="001000100000"/>
            <w:tcW w:w="1206" w:type="dxa"/>
            <w:tcBorders>
              <w:top w:val="single" w:color="000000" w:sz="4" w:space="0"/>
              <w:left w:val="single" w:color="000000" w:sz="4" w:space="0"/>
              <w:bottom w:val="single" w:color="000000" w:sz="4" w:space="0"/>
              <w:right w:val="single" w:color="000000" w:sz="4" w:space="0"/>
            </w:tcBorders>
            <w:shd w:val="clear" w:color="auto" w:fill="d9d9d9"/>
          </w:tcPr>
          <w:p w14:paraId="000002C4">
            <w:pPr>
              <w:rPr>
                <w:rFonts w:asciiTheme="majorHAnsi" w:hAnsiTheme="majorHAnsi"/>
                <w:sz w:val="22"/>
                <w:szCs w:val="22"/>
              </w:rPr>
            </w:pPr>
            <w:r>
              <w:rPr>
                <w:rFonts w:asciiTheme="majorHAnsi" w:hAnsiTheme="majorHAnsi"/>
                <w:sz w:val="22"/>
                <w:szCs w:val="22"/>
              </w:rPr>
              <w:t xml:space="preserve">Position  </w:t>
            </w:r>
          </w:p>
        </w:tc>
        <w:tc>
          <w:tcPr>
            <w:cnfStyle w:val="000000100000"/>
            <w:tcW w:w="7877" w:type="dxa"/>
            <w:gridSpan w:val="4"/>
            <w:tcBorders>
              <w:top w:val="single" w:color="000000" w:sz="4" w:space="0"/>
              <w:left w:val="single" w:color="000000" w:sz="4" w:space="0"/>
              <w:bottom w:val="single" w:color="000000" w:sz="4" w:space="0"/>
              <w:right w:val="single" w:color="000000" w:sz="4" w:space="0"/>
            </w:tcBorders>
          </w:tcPr>
          <w:p w14:paraId="000002C5">
            <w:pPr>
              <w:ind w:left="2"/>
              <w:rPr>
                <w:rFonts w:asciiTheme="majorHAnsi" w:hAnsiTheme="majorHAnsi"/>
                <w:sz w:val="22"/>
                <w:szCs w:val="22"/>
              </w:rPr>
            </w:pPr>
            <w:r>
              <w:rPr>
                <w:rFonts w:asciiTheme="majorHAnsi" w:hAnsiTheme="majorHAnsi"/>
                <w:sz w:val="22"/>
                <w:szCs w:val="22"/>
              </w:rPr>
              <w:t xml:space="preserve"> </w:t>
            </w:r>
          </w:p>
        </w:tc>
      </w:tr>
    </w:tbl>
    <w:p w14:paraId="000002C6">
      <w:pPr>
        <w:rPr>
          <w:color w:val="4b92d9" w:themeColor="text2" w:themeTint="80"/>
        </w:rPr>
      </w:pPr>
    </w:p>
    <w:p w14:paraId="000002C7">
      <w:pPr>
        <w:rPr>
          <w:color w:val="4b92d9" w:themeColor="text2" w:themeTint="80"/>
        </w:rPr>
      </w:pPr>
    </w:p>
    <w:p w14:paraId="000002C8">
      <w:pPr>
        <w:rPr>
          <w:color w:val="4b92d9" w:themeColor="text2" w:themeTint="80"/>
        </w:rPr>
      </w:pPr>
    </w:p>
    <w:p w14:paraId="000002C9">
      <w:pPr>
        <w:rPr>
          <w:color w:val="4b92d9" w:themeColor="text2" w:themeTint="80"/>
        </w:rPr>
      </w:pPr>
    </w:p>
    <w:p w14:paraId="000002CA">
      <w:pPr>
        <w:rPr>
          <w:color w:val="4b92d9" w:themeColor="text2" w:themeTint="80"/>
        </w:rPr>
      </w:pPr>
    </w:p>
    <w:p w14:paraId="000002CB">
      <w:pPr>
        <w:rPr>
          <w:color w:val="4b92d9" w:themeColor="text2" w:themeTint="80"/>
        </w:rPr>
      </w:pPr>
      <w:r>
        <w:rPr>
          <w:color w:val="4b92d9" w:themeColor="text2" w:themeTint="80"/>
        </w:rPr>
        <w:t>Payment</w:t>
      </w:r>
      <w:r>
        <w:rPr>
          <w:color w:val="4b92d9" w:themeColor="text2" w:themeTint="80"/>
        </w:rPr>
        <w:t xml:space="preserve"> Terms</w:t>
      </w:r>
    </w:p>
    <w:tbl>
      <w:tblPr>
        <w:tblStyle w:val="TableGrid"/>
        <w:tblW w:w="0" w:type="auto"/>
        <w:tblLook w:val="04A0"/>
      </w:tblPr>
      <w:tblGrid>
        <w:gridCol w:w="2972"/>
        <w:gridCol w:w="6044"/>
      </w:tblGrid>
      <w:tr>
        <w:trPr/>
        <w:tc>
          <w:tcPr>
            <w:cnfStyle w:val="101000000000"/>
            <w:tcW w:w="2972" w:type="dxa"/>
          </w:tcPr>
          <w:p w14:paraId="000002CC">
            <w:r>
              <w:t>50%</w:t>
            </w:r>
          </w:p>
        </w:tc>
        <w:tc>
          <w:tcPr>
            <w:cnfStyle w:val="100000000000"/>
            <w:tcW w:w="6044" w:type="dxa"/>
          </w:tcPr>
          <w:p w14:paraId="000002CD">
            <w:r>
              <w:t>On acceptance of Quote</w:t>
            </w:r>
          </w:p>
        </w:tc>
      </w:tr>
      <w:tr>
        <w:trPr/>
        <w:tc>
          <w:tcPr>
            <w:cnfStyle w:val="001000100000"/>
            <w:tcW w:w="2972" w:type="dxa"/>
          </w:tcPr>
          <w:p w14:paraId="000002CE">
            <w:r>
              <w:t>25%</w:t>
            </w:r>
          </w:p>
        </w:tc>
        <w:tc>
          <w:tcPr>
            <w:cnfStyle w:val="000000100000"/>
            <w:tcW w:w="6044" w:type="dxa"/>
          </w:tcPr>
          <w:p w14:paraId="000002CF">
            <w:r>
              <w:t xml:space="preserve">On commencement of works </w:t>
            </w:r>
          </w:p>
        </w:tc>
      </w:tr>
      <w:tr>
        <w:trPr/>
        <w:tc>
          <w:tcPr>
            <w:cnfStyle w:val="001000010000"/>
            <w:tcW w:w="2972" w:type="dxa"/>
          </w:tcPr>
          <w:p w14:paraId="000002D0">
            <w:r>
              <w:t>25%</w:t>
            </w:r>
          </w:p>
        </w:tc>
        <w:tc>
          <w:tcPr>
            <w:cnfStyle w:val="000000010000"/>
            <w:tcW w:w="6044" w:type="dxa"/>
          </w:tcPr>
          <w:p w14:paraId="000002D1">
            <w:r>
              <w:t xml:space="preserve">On completion of works </w:t>
            </w:r>
          </w:p>
        </w:tc>
      </w:tr>
    </w:tbl>
    <w:p w14:paraId="000002D2">
      <w:r>
        <w:t>If final 25% is not paid on completion, connection will be held until payment is made</w:t>
      </w:r>
    </w:p>
    <w:p w14:paraId="000002D3">
      <w:pPr>
        <w:pStyle w:val="Heading2"/>
        <w:rPr>
          <w:color w:val="4b92d9" w:themeColor="text2" w:themeTint="80"/>
        </w:rPr>
      </w:pPr>
      <w:r>
        <w:rPr>
          <w:color w:val="4b92d9" w:themeColor="text2" w:themeTint="80"/>
        </w:rPr>
        <w:t>A</w:t>
      </w:r>
      <w:r>
        <w:rPr>
          <w:color w:val="4b92d9" w:themeColor="text2" w:themeTint="80"/>
        </w:rPr>
        <w:t xml:space="preserve">cceptance Form  </w:t>
      </w:r>
    </w:p>
    <w:p w14:paraId="000002D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ajorHAnsi" w:hAnsiTheme="majorHAnsi"/>
        </w:rPr>
      </w:pPr>
      <w:r>
        <w:rPr>
          <w:rFonts w:asciiTheme="majorHAnsi" w:hAnsiTheme="majorHAnsi"/>
        </w:rPr>
        <w:t xml:space="preserve">    Our Quotation </w:t>
      </w:r>
    </w:p>
    <w:p w14:paraId="000002D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ajorHAnsi" w:hAnsiTheme="majorHAnsi"/>
        </w:rPr>
      </w:pPr>
      <w:r>
        <w:rPr>
          <w:rFonts w:asciiTheme="majorHAnsi" w:hAnsiTheme="majorHAnsi"/>
        </w:rPr>
        <w:t xml:space="preserve">           </w:t>
      </w:r>
    </w:p>
    <w:p w14:paraId="000002D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ajorHAnsi" w:hAnsiTheme="majorHAnsi"/>
        </w:rPr>
      </w:pPr>
      <w:r>
        <w:rPr>
          <w:rFonts w:asciiTheme="majorHAnsi" w:hAnsiTheme="majorHAnsi"/>
        </w:rPr>
        <w:t xml:space="preserve">           Reference: </w:t>
      </w:r>
      <w:r>
        <w:rPr>
          <w:rFonts w:ascii="Segoe UI"/>
          <w:color w:val="000000"/>
          <w:sz w:val="18"/>
          <w:rtl w:val="off"/>
          <w:lang w:val="en-US"/>
        </w:rPr>
        <w:t>{proposalId}</w:t>
      </w:r>
    </w:p>
    <w:p w14:paraId="000002D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ajorHAnsi" w:hAnsiTheme="majorHAnsi"/>
        </w:rPr>
      </w:pPr>
      <w:r>
        <w:rPr>
          <w:rFonts w:asciiTheme="majorHAnsi" w:hAnsiTheme="majorHAnsi"/>
        </w:rPr>
        <w:t xml:space="preserve">           Quotation Date: </w:t>
      </w:r>
      <w:r>
        <w:rPr>
          <w:rFonts w:ascii="Segoe UI"/>
          <w:color w:val="000000"/>
          <w:sz w:val="18"/>
          <w:rtl w:val="off"/>
          <w:lang w:val="en-US"/>
        </w:rPr>
        <w:t>{quotationDate}</w:t>
      </w:r>
    </w:p>
    <w:p w14:paraId="000002D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ajorHAnsi" w:hAnsiTheme="majorHAnsi"/>
        </w:rPr>
      </w:pPr>
      <w:r>
        <w:rPr>
          <w:rFonts w:asciiTheme="majorHAnsi" w:hAnsiTheme="majorHAnsi"/>
        </w:rPr>
        <w:t xml:space="preserve">           Development Address: </w:t>
      </w:r>
      <w:r>
        <w:rPr>
          <w:rFonts w:ascii="Segoe UI"/>
          <w:color w:val="000000"/>
          <w:sz w:val="18"/>
          <w:rtl w:val="off"/>
          <w:lang w:val="en-US"/>
        </w:rPr>
        <w:t>{siteAddress}</w:t>
      </w:r>
    </w:p>
    <w:p w14:paraId="000002D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ajorHAnsi" w:hAnsiTheme="majorHAnsi"/>
        </w:rPr>
      </w:pPr>
      <w:r>
        <w:rPr>
          <w:rFonts w:asciiTheme="majorHAnsi" w:hAnsiTheme="majorHAnsi"/>
        </w:rPr>
        <w:t xml:space="preserve">           Scope: </w:t>
      </w:r>
      <w:r>
        <w:rPr>
          <w:rFonts w:ascii="Segoe UI"/>
          <w:color w:val="000000"/>
          <w:sz w:val="18"/>
          <w:rtl w:val="off"/>
          <w:lang w:val="en-US"/>
        </w:rPr>
        <w:t>{jobType}</w:t>
      </w:r>
    </w:p>
    <w:p w14:paraId="000002D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ajorHAnsi" w:hAnsiTheme="majorHAnsi"/>
          <w:b/>
          <w:bCs/>
        </w:rPr>
      </w:pPr>
      <w:r>
        <w:rPr>
          <w:rFonts w:asciiTheme="majorHAnsi" w:hAnsiTheme="majorHAnsi"/>
        </w:rPr>
        <w:t xml:space="preserve">           Customer name: </w:t>
      </w:r>
      <w:r>
        <w:rPr>
          <w:rFonts w:ascii="Segoe UI"/>
          <w:color w:val="000000"/>
          <w:sz w:val="18"/>
          <w:rtl w:val="off"/>
          <w:lang w:val="en-US"/>
        </w:rPr>
        <w:t>{customerName}</w:t>
      </w:r>
    </w:p>
    <w:p w14:paraId="000002DB">
      <w:pPr>
        <w:spacing w:after="39" w:line="265" w:lineRule="auto"/>
        <w:ind w:left="595" w:right="205" w:hanging="5"/>
        <w:rPr>
          <w:rFonts w:asciiTheme="majorHAnsi" w:hAnsiTheme="majorHAnsi"/>
        </w:rPr>
      </w:pPr>
      <w:r>
        <w:rPr>
          <w:rFonts w:asciiTheme="majorHAnsi" w:hAnsiTheme="majorHAnsi"/>
        </w:rPr>
        <w:t xml:space="preserve"> Customer address:</w:t>
      </w:r>
      <w:r>
        <w:rPr>
          <w:rFonts w:asciiTheme="majorHAnsi" w:hAnsiTheme="majorHAnsi"/>
          <w:b/>
          <w:bCs/>
        </w:rPr>
        <w:t xml:space="preserve"> </w:t>
      </w:r>
      <w:r>
        <w:rPr>
          <w:rFonts w:asciiTheme="majorHAnsi" w:hAnsiTheme="majorHAnsi"/>
          <w:b/>
          <w:highlight w:val="yellow"/>
        </w:rPr>
        <w:t>xxxx</w:t>
      </w:r>
    </w:p>
    <w:p w14:paraId="000002DC">
      <w:pPr>
        <w:spacing w:after="39" w:line="265" w:lineRule="auto"/>
        <w:ind w:left="595" w:right="205" w:hanging="5"/>
        <w:rPr>
          <w:rFonts w:asciiTheme="majorHAnsi" w:hAnsiTheme="majorHAnsi"/>
        </w:rPr>
      </w:pPr>
    </w:p>
    <w:p w14:paraId="000002DD">
      <w:pPr>
        <w:pStyle w:val="Heading3"/>
        <w:spacing w:after="121"/>
        <w:ind w:left="717"/>
        <w:rPr>
          <w:rFonts w:asciiTheme="majorHAnsi" w:hAnsiTheme="majorHAnsi"/>
          <w:color w:val="4b92d9" w:themeColor="text2" w:themeTint="80"/>
        </w:rPr>
      </w:pPr>
      <w:r>
        <w:rPr>
          <w:rFonts w:asciiTheme="majorHAnsi" w:hAnsiTheme="majorHAnsi"/>
          <w:color w:val="4b92d9" w:themeColor="text2" w:themeTint="80"/>
        </w:rPr>
        <w:t>Payment Total: £</w:t>
      </w:r>
      <w:r>
        <w:rPr>
          <w:rFonts w:asciiTheme="majorHAnsi" w:hAnsiTheme="majorHAnsi"/>
          <w:b/>
          <w:highlight w:val="yellow"/>
        </w:rPr>
        <w:t xml:space="preserve"> </w:t>
      </w:r>
      <w:r>
        <w:rPr>
          <w:rFonts w:asciiTheme="majorHAnsi" w:hAnsiTheme="majorHAnsi"/>
          <w:color w:val="4b92d9" w:themeColor="text2" w:themeTint="80"/>
          <w:highlight w:val="yellow"/>
        </w:rPr>
        <w:t>x</w:t>
      </w:r>
      <w:r>
        <w:rPr>
          <w:rFonts w:asciiTheme="majorHAnsi" w:hAnsiTheme="majorHAnsi"/>
          <w:color w:val="4b92d9" w:themeColor="text2" w:themeTint="80"/>
          <w:highlight w:val="yellow"/>
        </w:rPr>
        <w:t>xxxxx</w:t>
      </w:r>
      <w:r>
        <w:rPr>
          <w:rFonts w:asciiTheme="majorHAnsi" w:hAnsiTheme="majorHAnsi"/>
          <w:color w:val="4b92d9" w:themeColor="text2" w:themeTint="80"/>
          <w:highlight w:val="yellow"/>
        </w:rPr>
        <w:t>.xx</w:t>
      </w:r>
      <w:r>
        <w:rPr>
          <w:rFonts w:asciiTheme="majorHAnsi" w:hAnsiTheme="majorHAnsi"/>
          <w:color w:val="4b92d9" w:themeColor="text2" w:themeTint="80"/>
        </w:rPr>
        <w:t xml:space="preserve"> </w:t>
      </w:r>
      <w:r>
        <w:rPr>
          <w:rFonts w:asciiTheme="majorHAnsi" w:hAnsiTheme="majorHAnsi"/>
          <w:color w:val="4b92d9" w:themeColor="text2" w:themeTint="80"/>
          <w:highlight w:val="yellow"/>
        </w:rPr>
        <w:t>Inc</w:t>
      </w:r>
      <w:r>
        <w:rPr>
          <w:rFonts w:asciiTheme="majorHAnsi" w:hAnsiTheme="majorHAnsi"/>
          <w:color w:val="4b92d9" w:themeColor="text2" w:themeTint="80"/>
        </w:rPr>
        <w:t xml:space="preserve"> </w:t>
      </w:r>
      <w:r>
        <w:rPr>
          <w:rFonts w:asciiTheme="majorHAnsi" w:hAnsiTheme="majorHAnsi"/>
          <w:color w:val="4b92d9" w:themeColor="text2" w:themeTint="80"/>
          <w:highlight w:val="yellow"/>
        </w:rPr>
        <w:t>xx</w:t>
      </w:r>
      <w:r>
        <w:rPr>
          <w:rFonts w:asciiTheme="majorHAnsi" w:hAnsiTheme="majorHAnsi"/>
          <w:color w:val="4b92d9" w:themeColor="text2" w:themeTint="80"/>
        </w:rPr>
        <w:t xml:space="preserve">% VAT </w:t>
      </w:r>
      <w:r>
        <w:rPr>
          <w:rFonts w:asciiTheme="majorHAnsi" w:hAnsiTheme="majorHAnsi"/>
          <w:color w:val="4b92d9" w:themeColor="text2" w:themeTint="80"/>
          <w:sz w:val="18"/>
        </w:rPr>
        <w:t xml:space="preserve">(where applicable) </w:t>
      </w:r>
    </w:p>
    <w:p w14:paraId="000002DE">
      <w:pPr>
        <w:spacing w:after="0" w:line="265" w:lineRule="auto"/>
        <w:ind w:left="724" w:right="205" w:hanging="5"/>
        <w:rPr>
          <w:rFonts w:asciiTheme="majorHAnsi" w:hAnsiTheme="majorHAnsi"/>
        </w:rPr>
      </w:pPr>
      <w:r>
        <w:rPr>
          <w:rFonts w:asciiTheme="majorHAnsi" w:hAnsiTheme="majorHAnsi"/>
        </w:rPr>
        <w:t xml:space="preserve">I/We accept the Utility Infrastructure Quotation referenced above, and hereby agree to the terms and conditions  </w:t>
      </w:r>
    </w:p>
    <w:tbl>
      <w:tblPr>
        <w:tblStyle w:val="TableGrid1"/>
        <w:tblW w:w="10464" w:type="dxa"/>
        <w:tblInd w:w="-720" w:type="dxa"/>
        <w:tblCellMar>
          <w:top w:w="27" w:type="dxa"/>
          <w:right w:w="115" w:type="dxa"/>
        </w:tblCellMar>
        <w:tblLook w:val="04A0"/>
      </w:tblPr>
      <w:tblGrid>
        <w:gridCol w:w="2236"/>
        <w:gridCol w:w="8228"/>
      </w:tblGrid>
      <w:tr>
        <w:trPr>
          <w:trHeight w:val="563"/>
        </w:trPr>
        <w:tc>
          <w:tcPr>
            <w:cnfStyle w:val="101000000000"/>
            <w:tcW w:w="2236" w:type="dxa"/>
            <w:tcBorders>
              <w:top w:val="single" w:color="000000" w:sz="4" w:space="0"/>
              <w:left w:val="single" w:color="000000" w:sz="4" w:space="0"/>
              <w:bottom w:val="single" w:color="000000" w:sz="4" w:space="0"/>
              <w:right w:val="nil" w:sz="4" w:space="0"/>
            </w:tcBorders>
            <w:shd w:val="clear" w:color="auto" w:fill="d9d9d9"/>
          </w:tcPr>
          <w:p w14:paraId="000002DF">
            <w:pPr>
              <w:ind w:left="-13"/>
              <w:rPr>
                <w:rFonts w:asciiTheme="majorHAnsi" w:hAnsiTheme="majorHAnsi"/>
              </w:rPr>
            </w:pPr>
          </w:p>
        </w:tc>
        <w:tc>
          <w:tcPr>
            <w:cnfStyle w:val="100000000000"/>
            <w:tcW w:w="8228" w:type="dxa"/>
            <w:tcBorders>
              <w:top w:val="single" w:color="000000" w:sz="4" w:space="0"/>
              <w:left w:val="nil" w:sz="4" w:space="0"/>
              <w:bottom w:val="single" w:color="000000" w:sz="4" w:space="0"/>
              <w:right w:val="single" w:color="000000" w:sz="4" w:space="0"/>
            </w:tcBorders>
            <w:shd w:val="clear" w:color="auto" w:fill="d9d9d9"/>
          </w:tcPr>
          <w:p w14:paraId="000002E0">
            <w:pPr>
              <w:ind w:left="545"/>
              <w:rPr>
                <w:rFonts w:asciiTheme="majorHAnsi" w:hAnsiTheme="majorHAnsi"/>
              </w:rPr>
            </w:pPr>
            <w:r>
              <w:rPr>
                <w:rFonts w:asciiTheme="majorHAnsi" w:hAnsiTheme="majorHAnsi"/>
                <w:sz w:val="22"/>
              </w:rPr>
              <w:t>I am authorised signatory of the above-named company set out in this quotation.</w:t>
            </w:r>
          </w:p>
        </w:tc>
      </w:tr>
      <w:tr>
        <w:trPr>
          <w:trHeight w:val="570"/>
        </w:trPr>
        <w:tc>
          <w:tcPr>
            <w:cnfStyle w:val="001000100000"/>
            <w:tcW w:w="2236" w:type="dxa"/>
            <w:tcBorders>
              <w:top w:val="single" w:color="000000" w:sz="4" w:space="0"/>
              <w:left w:val="single" w:color="000000" w:sz="4" w:space="0"/>
              <w:bottom w:val="single" w:color="000000" w:sz="4" w:space="0"/>
              <w:right w:val="single" w:color="000000" w:sz="4" w:space="0"/>
            </w:tcBorders>
          </w:tcPr>
          <w:p w14:paraId="000002E1">
            <w:pPr>
              <w:ind w:left="119"/>
              <w:rPr>
                <w:rFonts w:asciiTheme="majorHAnsi" w:hAnsiTheme="majorHAnsi"/>
              </w:rPr>
            </w:pPr>
            <w:r>
              <w:rPr>
                <w:rFonts w:asciiTheme="majorHAnsi" w:hAnsiTheme="majorHAnsi"/>
                <w:sz w:val="22"/>
              </w:rPr>
              <w:t xml:space="preserve">Name </w:t>
            </w:r>
            <w:r>
              <w:rPr>
                <w:rFonts w:asciiTheme="majorHAnsi" w:hAnsiTheme="majorHAnsi"/>
              </w:rPr>
              <w:t xml:space="preserve"> </w:t>
            </w:r>
          </w:p>
        </w:tc>
        <w:tc>
          <w:tcPr>
            <w:cnfStyle w:val="000000100000"/>
            <w:tcW w:w="8228" w:type="dxa"/>
            <w:tcBorders>
              <w:top w:val="single" w:color="000000" w:sz="4" w:space="0"/>
              <w:left w:val="single" w:color="000000" w:sz="4" w:space="0"/>
              <w:bottom w:val="single" w:color="000000" w:sz="4" w:space="0"/>
              <w:right w:val="single" w:color="000000" w:sz="4" w:space="0"/>
            </w:tcBorders>
          </w:tcPr>
          <w:p w14:paraId="000002E2">
            <w:pPr>
              <w:ind w:left="2"/>
              <w:rPr>
                <w:rFonts w:asciiTheme="majorHAnsi" w:hAnsiTheme="majorHAnsi"/>
              </w:rPr>
            </w:pPr>
            <w:r>
              <w:rPr>
                <w:rFonts w:asciiTheme="majorHAnsi" w:hAnsiTheme="majorHAnsi"/>
              </w:rPr>
              <w:t xml:space="preserve"> </w:t>
            </w:r>
          </w:p>
        </w:tc>
      </w:tr>
      <w:tr>
        <w:trPr>
          <w:trHeight w:val="574"/>
        </w:trPr>
        <w:tc>
          <w:tcPr>
            <w:cnfStyle w:val="001000010000"/>
            <w:tcW w:w="2236" w:type="dxa"/>
            <w:tcBorders>
              <w:top w:val="single" w:color="000000" w:sz="4" w:space="0"/>
              <w:left w:val="single" w:color="000000" w:sz="4" w:space="0"/>
              <w:bottom w:val="single" w:color="000000" w:sz="4" w:space="0"/>
              <w:right w:val="single" w:color="000000" w:sz="4" w:space="0"/>
            </w:tcBorders>
          </w:tcPr>
          <w:p w14:paraId="000002E3">
            <w:pPr>
              <w:ind w:left="119"/>
              <w:rPr>
                <w:rFonts w:asciiTheme="majorHAnsi" w:hAnsiTheme="majorHAnsi"/>
              </w:rPr>
            </w:pPr>
            <w:r>
              <w:rPr>
                <w:rFonts w:asciiTheme="majorHAnsi" w:hAnsiTheme="majorHAnsi"/>
                <w:sz w:val="22"/>
              </w:rPr>
              <w:t xml:space="preserve">Signature </w:t>
            </w:r>
            <w:r>
              <w:rPr>
                <w:rFonts w:asciiTheme="majorHAnsi" w:hAnsiTheme="majorHAnsi"/>
              </w:rPr>
              <w:t xml:space="preserve"> </w:t>
            </w:r>
          </w:p>
        </w:tc>
        <w:tc>
          <w:tcPr>
            <w:cnfStyle w:val="000000010000"/>
            <w:tcW w:w="8228" w:type="dxa"/>
            <w:tcBorders>
              <w:top w:val="single" w:color="000000" w:sz="4" w:space="0"/>
              <w:left w:val="single" w:color="000000" w:sz="4" w:space="0"/>
              <w:bottom w:val="single" w:color="000000" w:sz="4" w:space="0"/>
              <w:right w:val="single" w:color="000000" w:sz="4" w:space="0"/>
            </w:tcBorders>
          </w:tcPr>
          <w:p w14:paraId="000002E4">
            <w:pPr>
              <w:ind w:left="2"/>
              <w:rPr>
                <w:rFonts w:asciiTheme="majorHAnsi" w:hAnsiTheme="majorHAnsi"/>
              </w:rPr>
            </w:pPr>
            <w:r>
              <w:rPr>
                <w:rFonts w:asciiTheme="majorHAnsi" w:hAnsiTheme="majorHAnsi"/>
              </w:rPr>
              <w:t xml:space="preserve"> </w:t>
            </w:r>
          </w:p>
        </w:tc>
      </w:tr>
      <w:tr>
        <w:trPr>
          <w:trHeight w:val="569"/>
        </w:trPr>
        <w:tc>
          <w:tcPr>
            <w:cnfStyle w:val="001000100000"/>
            <w:tcW w:w="2236" w:type="dxa"/>
            <w:tcBorders>
              <w:top w:val="single" w:color="000000" w:sz="4" w:space="0"/>
              <w:left w:val="single" w:color="000000" w:sz="4" w:space="0"/>
              <w:bottom w:val="single" w:color="000000" w:sz="4" w:space="0"/>
              <w:right w:val="single" w:color="000000" w:sz="4" w:space="0"/>
            </w:tcBorders>
          </w:tcPr>
          <w:p w14:paraId="000002E5">
            <w:pPr>
              <w:ind w:left="119"/>
              <w:rPr>
                <w:rFonts w:asciiTheme="majorHAnsi" w:hAnsiTheme="majorHAnsi"/>
              </w:rPr>
            </w:pPr>
            <w:r>
              <w:rPr>
                <w:rFonts w:asciiTheme="majorHAnsi" w:hAnsiTheme="majorHAnsi"/>
                <w:sz w:val="22"/>
              </w:rPr>
              <w:t xml:space="preserve">Position Held </w:t>
            </w:r>
            <w:r>
              <w:rPr>
                <w:rFonts w:asciiTheme="majorHAnsi" w:hAnsiTheme="majorHAnsi"/>
              </w:rPr>
              <w:t xml:space="preserve"> </w:t>
            </w:r>
          </w:p>
        </w:tc>
        <w:tc>
          <w:tcPr>
            <w:cnfStyle w:val="000000100000"/>
            <w:tcW w:w="8228" w:type="dxa"/>
            <w:tcBorders>
              <w:top w:val="single" w:color="000000" w:sz="4" w:space="0"/>
              <w:left w:val="single" w:color="000000" w:sz="4" w:space="0"/>
              <w:bottom w:val="single" w:color="000000" w:sz="4" w:space="0"/>
              <w:right w:val="single" w:color="000000" w:sz="4" w:space="0"/>
            </w:tcBorders>
          </w:tcPr>
          <w:p w14:paraId="000002E6">
            <w:pPr>
              <w:ind w:left="2"/>
              <w:rPr>
                <w:rFonts w:asciiTheme="majorHAnsi" w:hAnsiTheme="majorHAnsi"/>
              </w:rPr>
            </w:pPr>
            <w:r>
              <w:rPr>
                <w:rFonts w:asciiTheme="majorHAnsi" w:hAnsiTheme="majorHAnsi"/>
              </w:rPr>
              <w:t xml:space="preserve"> </w:t>
            </w:r>
          </w:p>
        </w:tc>
      </w:tr>
      <w:tr>
        <w:trPr>
          <w:trHeight w:val="571"/>
        </w:trPr>
        <w:tc>
          <w:tcPr>
            <w:cnfStyle w:val="001000010000"/>
            <w:tcW w:w="2236" w:type="dxa"/>
            <w:tcBorders>
              <w:top w:val="single" w:color="000000" w:sz="4" w:space="0"/>
              <w:left w:val="single" w:color="000000" w:sz="4" w:space="0"/>
              <w:bottom w:val="single" w:color="000000" w:sz="4" w:space="0"/>
              <w:right w:val="single" w:color="000000" w:sz="4" w:space="0"/>
            </w:tcBorders>
          </w:tcPr>
          <w:p w14:paraId="000002E7">
            <w:pPr>
              <w:ind w:left="119"/>
              <w:rPr>
                <w:rFonts w:asciiTheme="majorHAnsi" w:hAnsiTheme="majorHAnsi"/>
              </w:rPr>
            </w:pPr>
            <w:r>
              <w:rPr>
                <w:rFonts w:asciiTheme="majorHAnsi" w:hAnsiTheme="majorHAnsi"/>
                <w:sz w:val="22"/>
              </w:rPr>
              <w:t xml:space="preserve">Contact Numbers </w:t>
            </w:r>
            <w:r>
              <w:rPr>
                <w:rFonts w:asciiTheme="majorHAnsi" w:hAnsiTheme="majorHAnsi"/>
              </w:rPr>
              <w:t xml:space="preserve"> </w:t>
            </w:r>
          </w:p>
        </w:tc>
        <w:tc>
          <w:tcPr>
            <w:cnfStyle w:val="000000010000"/>
            <w:tcW w:w="8228" w:type="dxa"/>
            <w:tcBorders>
              <w:top w:val="single" w:color="000000" w:sz="4" w:space="0"/>
              <w:left w:val="single" w:color="000000" w:sz="4" w:space="0"/>
              <w:bottom w:val="single" w:color="000000" w:sz="4" w:space="0"/>
              <w:right w:val="single" w:color="000000" w:sz="4" w:space="0"/>
            </w:tcBorders>
          </w:tcPr>
          <w:p w14:paraId="000002E8">
            <w:pPr>
              <w:ind w:left="2"/>
              <w:rPr>
                <w:rFonts w:asciiTheme="majorHAnsi" w:hAnsiTheme="majorHAnsi"/>
              </w:rPr>
            </w:pPr>
            <w:r>
              <w:rPr>
                <w:rFonts w:asciiTheme="majorHAnsi" w:hAnsiTheme="majorHAnsi"/>
              </w:rPr>
              <w:t xml:space="preserve"> </w:t>
            </w:r>
          </w:p>
        </w:tc>
      </w:tr>
      <w:tr>
        <w:trPr>
          <w:trHeight w:val="569"/>
        </w:trPr>
        <w:tc>
          <w:tcPr>
            <w:cnfStyle w:val="001000100000"/>
            <w:tcW w:w="2236" w:type="dxa"/>
            <w:tcBorders>
              <w:top w:val="single" w:color="000000" w:sz="4" w:space="0"/>
              <w:left w:val="single" w:color="000000" w:sz="4" w:space="0"/>
              <w:bottom w:val="single" w:color="000000" w:sz="4" w:space="0"/>
              <w:right w:val="single" w:color="000000" w:sz="4" w:space="0"/>
            </w:tcBorders>
          </w:tcPr>
          <w:p w14:paraId="000002E9">
            <w:pPr>
              <w:ind w:left="119"/>
              <w:rPr>
                <w:rFonts w:asciiTheme="majorHAnsi" w:hAnsiTheme="majorHAnsi"/>
              </w:rPr>
            </w:pPr>
            <w:r>
              <w:rPr>
                <w:rFonts w:asciiTheme="majorHAnsi" w:hAnsiTheme="majorHAnsi"/>
                <w:sz w:val="22"/>
              </w:rPr>
              <w:t xml:space="preserve">Email </w:t>
            </w:r>
            <w:r>
              <w:rPr>
                <w:rFonts w:asciiTheme="majorHAnsi" w:hAnsiTheme="majorHAnsi"/>
              </w:rPr>
              <w:t xml:space="preserve"> </w:t>
            </w:r>
          </w:p>
        </w:tc>
        <w:tc>
          <w:tcPr>
            <w:cnfStyle w:val="000000100000"/>
            <w:tcW w:w="8228" w:type="dxa"/>
            <w:tcBorders>
              <w:top w:val="single" w:color="000000" w:sz="4" w:space="0"/>
              <w:left w:val="single" w:color="000000" w:sz="4" w:space="0"/>
              <w:bottom w:val="single" w:color="000000" w:sz="4" w:space="0"/>
              <w:right w:val="single" w:color="000000" w:sz="4" w:space="0"/>
            </w:tcBorders>
          </w:tcPr>
          <w:p w14:paraId="000002EA">
            <w:pPr>
              <w:ind w:left="2"/>
              <w:rPr>
                <w:rFonts w:asciiTheme="majorHAnsi" w:hAnsiTheme="majorHAnsi"/>
              </w:rPr>
            </w:pPr>
            <w:r>
              <w:rPr>
                <w:rFonts w:asciiTheme="majorHAnsi" w:hAnsiTheme="majorHAnsi"/>
              </w:rPr>
              <w:t xml:space="preserve"> </w:t>
            </w:r>
          </w:p>
        </w:tc>
      </w:tr>
      <w:tr>
        <w:trPr>
          <w:trHeight w:val="572"/>
        </w:trPr>
        <w:tc>
          <w:tcPr>
            <w:cnfStyle w:val="001000010000"/>
            <w:tcW w:w="2236" w:type="dxa"/>
            <w:tcBorders>
              <w:top w:val="single" w:color="000000" w:sz="4" w:space="0"/>
              <w:left w:val="single" w:color="000000" w:sz="4" w:space="0"/>
              <w:bottom w:val="single" w:color="000000" w:sz="4" w:space="0"/>
              <w:right w:val="single" w:color="000000" w:sz="4" w:space="0"/>
            </w:tcBorders>
          </w:tcPr>
          <w:p w14:paraId="000002EB">
            <w:pPr>
              <w:ind w:left="119"/>
              <w:rPr>
                <w:rFonts w:asciiTheme="majorHAnsi" w:hAnsiTheme="majorHAnsi"/>
              </w:rPr>
            </w:pPr>
            <w:r>
              <w:rPr>
                <w:rFonts w:asciiTheme="majorHAnsi" w:hAnsiTheme="majorHAnsi"/>
                <w:sz w:val="22"/>
              </w:rPr>
              <w:t xml:space="preserve">Anticipated start date </w:t>
            </w:r>
            <w:r>
              <w:rPr>
                <w:rFonts w:asciiTheme="majorHAnsi" w:hAnsiTheme="majorHAnsi"/>
              </w:rPr>
              <w:t xml:space="preserve"> </w:t>
            </w:r>
          </w:p>
        </w:tc>
        <w:tc>
          <w:tcPr>
            <w:cnfStyle w:val="000000010000"/>
            <w:tcW w:w="8228" w:type="dxa"/>
            <w:tcBorders>
              <w:top w:val="single" w:color="000000" w:sz="4" w:space="0"/>
              <w:left w:val="single" w:color="000000" w:sz="4" w:space="0"/>
              <w:bottom w:val="single" w:color="000000" w:sz="4" w:space="0"/>
              <w:right w:val="single" w:color="000000" w:sz="4" w:space="0"/>
            </w:tcBorders>
          </w:tcPr>
          <w:p w14:paraId="000002EC">
            <w:pPr>
              <w:ind w:left="2"/>
              <w:rPr>
                <w:rFonts w:asciiTheme="majorHAnsi" w:hAnsiTheme="majorHAnsi"/>
              </w:rPr>
            </w:pPr>
            <w:r>
              <w:rPr>
                <w:rFonts w:asciiTheme="majorHAnsi" w:hAnsiTheme="majorHAnsi"/>
              </w:rPr>
              <w:t xml:space="preserve"> </w:t>
            </w:r>
          </w:p>
        </w:tc>
      </w:tr>
      <w:tr>
        <w:trPr>
          <w:trHeight w:val="576"/>
        </w:trPr>
        <w:tc>
          <w:tcPr>
            <w:cnfStyle w:val="001000100000"/>
            <w:tcW w:w="2236" w:type="dxa"/>
            <w:tcBorders>
              <w:top w:val="single" w:color="000000" w:sz="4" w:space="0"/>
              <w:left w:val="single" w:color="000000" w:sz="4" w:space="0"/>
              <w:bottom w:val="single" w:color="000000" w:sz="6" w:space="0"/>
              <w:right w:val="single" w:color="000000" w:sz="4" w:space="0"/>
            </w:tcBorders>
          </w:tcPr>
          <w:p w14:paraId="000002ED">
            <w:pPr>
              <w:ind w:left="119"/>
              <w:rPr>
                <w:rFonts w:asciiTheme="majorHAnsi" w:hAnsiTheme="majorHAnsi"/>
              </w:rPr>
            </w:pPr>
            <w:r>
              <w:rPr>
                <w:rFonts w:asciiTheme="majorHAnsi" w:hAnsiTheme="majorHAnsi"/>
                <w:sz w:val="22"/>
              </w:rPr>
              <w:t xml:space="preserve">Site contact </w:t>
            </w:r>
            <w:r>
              <w:rPr>
                <w:rFonts w:asciiTheme="majorHAnsi" w:hAnsiTheme="majorHAnsi"/>
              </w:rPr>
              <w:t xml:space="preserve"> </w:t>
            </w:r>
          </w:p>
        </w:tc>
        <w:tc>
          <w:tcPr>
            <w:cnfStyle w:val="000000100000"/>
            <w:tcW w:w="8228" w:type="dxa"/>
            <w:tcBorders>
              <w:top w:val="single" w:color="000000" w:sz="4" w:space="0"/>
              <w:left w:val="single" w:color="000000" w:sz="4" w:space="0"/>
              <w:bottom w:val="single" w:color="000000" w:sz="6" w:space="0"/>
              <w:right w:val="single" w:color="000000" w:sz="4" w:space="0"/>
            </w:tcBorders>
          </w:tcPr>
          <w:p w14:paraId="000002EE">
            <w:pPr>
              <w:ind w:left="2"/>
              <w:rPr>
                <w:rFonts w:asciiTheme="majorHAnsi" w:hAnsiTheme="majorHAnsi"/>
              </w:rPr>
            </w:pPr>
            <w:r>
              <w:rPr>
                <w:rFonts w:asciiTheme="majorHAnsi" w:hAnsiTheme="majorHAnsi"/>
              </w:rPr>
              <w:t xml:space="preserve"> </w:t>
            </w:r>
          </w:p>
        </w:tc>
      </w:tr>
    </w:tbl>
    <w:p w14:paraId="000002EF">
      <w:pPr>
        <w:spacing w:after="75" w:line="265" w:lineRule="auto"/>
        <w:ind w:left="724" w:right="205" w:hanging="5"/>
        <w:rPr>
          <w:rFonts w:asciiTheme="majorHAnsi" w:hAnsiTheme="majorHAnsi"/>
        </w:rPr>
      </w:pPr>
      <w:r>
        <w:rPr>
          <w:rFonts w:asciiTheme="majorHAnsi" w:hAnsiTheme="majorHAnsi"/>
        </w:rPr>
        <w:t xml:space="preserve">We advise that you do not complete any preparatory work on site until AU have provided approved design drawings, site construction pack and developer guidance document and a site pre-start meeting has taken place.  </w:t>
      </w:r>
    </w:p>
    <w:p w14:paraId="000002F0"/>
    <w:p w14:paraId="000002F1">
      <w:bookmarkEnd w:id="0"/>
    </w:p>
    <w:sectPr>
      <w:headerReference w:type="default" r:id="rId11"/>
      <w:footerReference w:type="default" r:id="rId12"/>
      <w:pgSz w:w="11906" w:h="16838"/>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endnote w:type="separator" w:id="0">
    <w:p w14:paraId="00000003">
      <w:pPr>
        <w:spacing w:after="0" w:line="240" w:lineRule="auto"/>
        <w:rPr/>
      </w:pPr>
      <w:r>
        <w:rPr/>
        <w:separator/>
      </w:r>
    </w:p>
  </w:endnote>
  <w:endnote w:type="continuationSeparator" w:id="1">
    <w:p w14:paraId="00000004">
      <w:pPr>
        <w:spacing w:after="0" w:line="240" w:lineRule="auto"/>
        <w:rPr/>
      </w:pPr>
      <w:r>
        <w:rP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00000000" w:csb1="00000000"/>
  </w:font>
  <w:font w:name="Times New Roman">
    <w:panose1 w:val="02020603050405020304"/>
    <w:charset w:val="00"/>
    <w:family w:val="roman"/>
    <w:pitch w:val="variable"/>
    <w:sig w:usb0="00000000" w:usb1="00000000" w:usb2="00000009" w:usb3="00000000" w:csb0="000001ff" w:csb1="00000000"/>
  </w:font>
  <w:font w:name="Courier New">
    <w:panose1 w:val="02070309020205020404"/>
    <w:charset w:val="00"/>
    <w:family w:val="modern"/>
    <w:pitch w:val="fixed"/>
    <w:sig w:usb0="00000000" w:usb1="00000000" w:usb2="00000009" w:usb3="00000000" w:csb0="000001ff" w:csb1="00000000"/>
  </w:font>
  <w:font w:name="Wingdings">
    <w:panose1 w:val="05000000000000000000"/>
    <w:charset w:val="02"/>
    <w:family w:val="auto"/>
    <w:pitch w:val="variable"/>
    <w:sig w:usb0="00000000" w:usb1="10000000" w:usb2="00000000" w:usb3="00000000" w:csb0="00000000" w:csb1="00000000"/>
  </w:font>
  <w:font w:name="Arial">
    <w:panose1 w:val="020b0604020202020204"/>
    <w:charset w:val="00"/>
    <w:family w:val="swiss"/>
    <w:pitch w:val="variable"/>
    <w:sig w:usb0="00000000" w:usb1="00000000"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00000000" w:usb1="6ac7fdfb" w:usb2="08000012" w:usb3="00000000" w:csb0="0002009f" w:csb1="00000000"/>
  </w:font>
  <w:font w:name="Calibri">
    <w:panose1 w:val="020f0502020204030204"/>
    <w:charset w:val="00"/>
    <w:family w:val="swiss"/>
    <w:pitch w:val="variable"/>
    <w:sig w:usb0="00000000" w:usb1="00000000"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Helvetica Neue">
    <w:charset w:val="00"/>
    <w:family w:val="swiss"/>
    <w:pitch w:val="variable"/>
  </w:font>
  <w:font w:name="Segoe UI">
    <w:charset w:val="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p w14:paraId="000002F3">
    <w:pPr>
      <w:pStyle w:val="Footer"/>
      <w:rPr/>
    </w:pPr>
    <w:r>
      <w:rPr>
        <w:rFonts w:ascii="Calibri" w:cs="Calibri" w:eastAsia="Calibri" w:hAnsi="Calibri"/>
      </w:rPr>
      <mc:AlternateContent>
        <mc:Choice Requires="wpg">
          <w:drawing xmlns:mc="http://schemas.openxmlformats.org/markup-compatibility/2006">
            <wp:anchor allowOverlap="1" behindDoc="0" distT="0" distB="0" distL="114300" distR="114300" layoutInCell="1" locked="0" relativeHeight="251661312" simplePos="0">
              <wp:simplePos x="0" y="0"/>
              <wp:positionH relativeFrom="margin">
                <wp:align>center</wp:align>
              </wp:positionH>
              <wp:positionV relativeFrom="page">
                <wp:align>bottom</wp:align>
              </wp:positionV>
              <wp:extent cx="4710176" cy="722630"/>
              <wp:effectExtent l="0" t="0" r="0" b="0"/>
              <wp:wrapSquare wrapText="bothSides"/>
              <wp:docPr id="1066330373" name="Group 19431"/>
              <wp:cNvGraphicFramePr>
                <a:graphicFrameLocks xmlns:a="http://schemas.openxmlformats.org/drawingml/2006/main"/>
              </wp:cNvGraphicFramePr>
              <a:graphic xmlns:a="http://schemas.openxmlformats.org/drawingml/2006/main">
                <a:graphicData uri="http://schemas.microsoft.com/office/word/2010/wordprocessingGroup">
                  <wpg:wgp>
                    <wpg:cNvPr id="19431" name="Group 19431"/>
                    <wpg:cNvGrpSpPr/>
                    <wpg:grpSpPr>
                      <a:xfrm>
                        <a:off x="0" y="0"/>
                        <a:ext cx="4710176" cy="722630"/>
                        <a:chOff x="0" y="0"/>
                        <a:chExt cx="4710176" cy="722630"/>
                      </a:xfrm>
                    </wpg:grpSpPr>
                    <pic:pic xmlns:pic="http://schemas.openxmlformats.org/drawingml/2006/picture">
                      <pic:nvPicPr>
                        <pic:cNvPr id="19433" name=""/>
                        <pic:cNvPicPr/>
                      </pic:nvPicPr>
                      <pic:blipFill>
                        <a:blip r:embed="rId17"/>
                        <a:srcRect/>
                        <a:stretch>
                          <a:fillRect/>
                        </a:stretch>
                      </pic:blipFill>
                      <pic:spPr>
                        <a:xfrm>
                          <a:off x="0" y="17907"/>
                          <a:ext cx="1891284" cy="190500"/>
                        </a:xfrm>
                        <a:prstGeom prst="rect">
                          <a:avLst/>
                        </a:prstGeom>
                      </pic:spPr>
                    </pic:pic>
                    <wps:wsp>
                      <wps:cNvPr id="19440" name=""/>
                      <wps:cNvSpPr/>
                      <wps:spPr>
                        <a:xfrm>
                          <a:off x="305" y="44422"/>
                          <a:ext cx="1903278" cy="142889"/>
                        </a:xfrm>
                        <a:prstGeom prst="rect">
                          <a:avLst/>
                        </a:prstGeom>
                        <a:ln>
                          <a:noFill/>
                        </a:ln>
                      </wps:spPr>
                      <wps:txbx id="0">
                        <w:txbxContent>
                          <w:p w14:paraId="000002F4">
                            <w:r>
                              <w:t xml:space="preserve">                                             </w:t>
                            </w:r>
                          </w:p>
                        </w:txbxContent>
                      </wps:txbx>
                      <wps:bodyPr horzOverflow="overflow" vert="horz" lIns="0" tIns="0" rIns="0" bIns="0" rtlCol="0">
                        <a:noAutofit/>
                      </wps:bodyPr>
                    </wps:wsp>
                    <wps:wsp>
                      <wps:cNvPr id="19442" name=""/>
                      <wps:cNvSpPr/>
                      <wps:spPr>
                        <a:xfrm>
                          <a:off x="1429766" y="24194"/>
                          <a:ext cx="42236" cy="169501"/>
                        </a:xfrm>
                        <a:prstGeom prst="rect">
                          <a:avLst/>
                        </a:prstGeom>
                        <a:ln>
                          <a:noFill/>
                        </a:ln>
                      </wps:spPr>
                      <wps:txbx id="1">
                        <w:txbxContent>
                          <w:p w14:paraId="000002F5">
                            <w:r>
                              <w:t xml:space="preserve"> </w:t>
                            </w:r>
                          </w:p>
                        </w:txbxContent>
                      </wps:txbx>
                      <wps:bodyPr horzOverflow="overflow" vert="horz" lIns="0" tIns="0" rIns="0" bIns="0" rtlCol="0">
                        <a:noAutofit/>
                      </wps:bodyPr>
                    </wps:wsp>
                    <pic:pic xmlns:pic="http://schemas.openxmlformats.org/drawingml/2006/picture">
                      <pic:nvPicPr>
                        <pic:cNvPr id="19434" name=""/>
                        <pic:cNvPicPr/>
                      </pic:nvPicPr>
                      <pic:blipFill>
                        <a:blip r:embed="rId18"/>
                        <a:srcRect/>
                        <a:stretch>
                          <a:fillRect/>
                        </a:stretch>
                      </pic:blipFill>
                      <pic:spPr>
                        <a:xfrm>
                          <a:off x="1421892" y="17907"/>
                          <a:ext cx="463296" cy="190500"/>
                        </a:xfrm>
                        <a:prstGeom prst="rect">
                          <a:avLst/>
                        </a:prstGeom>
                      </pic:spPr>
                    </pic:pic>
                    <wps:wsp>
                      <wps:cNvPr id="19441" name=""/>
                      <wps:cNvSpPr/>
                      <wps:spPr>
                        <a:xfrm>
                          <a:off x="1422146" y="44422"/>
                          <a:ext cx="465938" cy="142889"/>
                        </a:xfrm>
                        <a:prstGeom prst="rect">
                          <a:avLst/>
                        </a:prstGeom>
                        <a:ln>
                          <a:noFill/>
                        </a:ln>
                      </wps:spPr>
                      <wps:txbx id="2">
                        <w:txbxContent>
                          <w:p w14:paraId="000002F6">
                            <w:r>
                              <w:t xml:space="preserve">           </w:t>
                            </w:r>
                          </w:p>
                        </w:txbxContent>
                      </wps:txbx>
                      <wps:bodyPr horzOverflow="overflow" vert="horz" lIns="0" tIns="0" rIns="0" bIns="0" rtlCol="0">
                        <a:noAutofit/>
                      </wps:bodyPr>
                    </wps:wsp>
                    <wps:wsp>
                      <wps:cNvPr id="19443" name=""/>
                      <wps:cNvSpPr/>
                      <wps:spPr>
                        <a:xfrm>
                          <a:off x="1771523" y="24194"/>
                          <a:ext cx="42236" cy="169501"/>
                        </a:xfrm>
                        <a:prstGeom prst="rect">
                          <a:avLst/>
                        </a:prstGeom>
                        <a:ln>
                          <a:noFill/>
                        </a:ln>
                      </wps:spPr>
                      <wps:txbx id="3">
                        <w:txbxContent>
                          <w:p w14:paraId="000002F7">
                            <w:r>
                              <w:t xml:space="preserve"> </w:t>
                            </w:r>
                          </w:p>
                        </w:txbxContent>
                      </wps:txbx>
                      <wps:bodyPr horzOverflow="overflow" vert="horz" lIns="0" tIns="0" rIns="0" bIns="0" rtlCol="0">
                        <a:noAutofit/>
                      </wps:bodyPr>
                    </wps:wsp>
                    <pic:pic xmlns:pic="http://schemas.openxmlformats.org/drawingml/2006/picture">
                      <pic:nvPicPr>
                        <pic:cNvPr id="19435" name=""/>
                        <pic:cNvPicPr/>
                      </pic:nvPicPr>
                      <pic:blipFill>
                        <a:blip r:embed="rId19"/>
                        <a:srcRect/>
                        <a:stretch>
                          <a:fillRect/>
                        </a:stretch>
                      </pic:blipFill>
                      <pic:spPr>
                        <a:xfrm>
                          <a:off x="1770888" y="17907"/>
                          <a:ext cx="377952" cy="190500"/>
                        </a:xfrm>
                        <a:prstGeom prst="rect">
                          <a:avLst/>
                        </a:prstGeom>
                      </pic:spPr>
                    </pic:pic>
                    <wps:wsp>
                      <wps:cNvPr id="19444" name=""/>
                      <wps:cNvSpPr/>
                      <wps:spPr>
                        <a:xfrm>
                          <a:off x="1771523" y="44422"/>
                          <a:ext cx="382784" cy="142889"/>
                        </a:xfrm>
                        <a:prstGeom prst="rect">
                          <a:avLst/>
                        </a:prstGeom>
                        <a:ln>
                          <a:noFill/>
                        </a:ln>
                      </wps:spPr>
                      <wps:txbx id="4">
                        <w:txbxContent>
                          <w:p w14:paraId="000002F8">
                            <w:r>
                              <w:t xml:space="preserve">         </w:t>
                            </w:r>
                          </w:p>
                        </w:txbxContent>
                      </wps:txbx>
                      <wps:bodyPr horzOverflow="overflow" vert="horz" lIns="0" tIns="0" rIns="0" bIns="0" rtlCol="0">
                        <a:noAutofit/>
                      </wps:bodyPr>
                    </wps:wsp>
                    <wps:wsp>
                      <wps:cNvPr id="19446" name=""/>
                      <wps:cNvSpPr/>
                      <wps:spPr>
                        <a:xfrm>
                          <a:off x="2058035" y="24194"/>
                          <a:ext cx="42236" cy="169501"/>
                        </a:xfrm>
                        <a:prstGeom prst="rect">
                          <a:avLst/>
                        </a:prstGeom>
                        <a:ln>
                          <a:noFill/>
                        </a:ln>
                      </wps:spPr>
                      <wps:txbx id="5">
                        <w:txbxContent>
                          <w:p w14:paraId="000002F9">
                            <w:r>
                              <w:t xml:space="preserve"> </w:t>
                            </w:r>
                          </w:p>
                        </w:txbxContent>
                      </wps:txbx>
                      <wps:bodyPr horzOverflow="overflow" vert="horz" lIns="0" tIns="0" rIns="0" bIns="0" rtlCol="0">
                        <a:noAutofit/>
                      </wps:bodyPr>
                    </wps:wsp>
                    <pic:pic xmlns:pic="http://schemas.openxmlformats.org/drawingml/2006/picture">
                      <pic:nvPicPr>
                        <pic:cNvPr id="19436" name=""/>
                        <pic:cNvPicPr/>
                      </pic:nvPicPr>
                      <pic:blipFill>
                        <a:blip r:embed="rId20"/>
                        <a:srcRect/>
                        <a:stretch>
                          <a:fillRect/>
                        </a:stretch>
                      </pic:blipFill>
                      <pic:spPr>
                        <a:xfrm>
                          <a:off x="2054352" y="17907"/>
                          <a:ext cx="42672" cy="190500"/>
                        </a:xfrm>
                        <a:prstGeom prst="rect">
                          <a:avLst/>
                        </a:prstGeom>
                      </pic:spPr>
                    </pic:pic>
                    <wps:wsp>
                      <wps:cNvPr id="19445" name=""/>
                      <wps:cNvSpPr/>
                      <wps:spPr>
                        <a:xfrm>
                          <a:off x="2054987" y="44422"/>
                          <a:ext cx="42261" cy="142889"/>
                        </a:xfrm>
                        <a:prstGeom prst="rect">
                          <a:avLst/>
                        </a:prstGeom>
                        <a:ln>
                          <a:noFill/>
                        </a:ln>
                      </wps:spPr>
                      <wps:txbx id="6">
                        <w:txbxContent>
                          <w:p w14:paraId="000002FA">
                            <w:r>
                              <w:t xml:space="preserve"> </w:t>
                            </w:r>
                          </w:p>
                        </w:txbxContent>
                      </wps:txbx>
                      <wps:bodyPr horzOverflow="overflow" vert="horz" lIns="0" tIns="0" rIns="0" bIns="0" rtlCol="0">
                        <a:noAutofit/>
                      </wps:bodyPr>
                    </wps:wsp>
                    <wps:wsp>
                      <wps:cNvPr id="19447" name=""/>
                      <wps:cNvSpPr/>
                      <wps:spPr>
                        <a:xfrm>
                          <a:off x="2086991" y="24194"/>
                          <a:ext cx="42236" cy="169501"/>
                        </a:xfrm>
                        <a:prstGeom prst="rect">
                          <a:avLst/>
                        </a:prstGeom>
                        <a:ln>
                          <a:noFill/>
                        </a:ln>
                      </wps:spPr>
                      <wps:txbx id="7">
                        <w:txbxContent>
                          <w:p w14:paraId="000002FB">
                            <w:r>
                              <w:t xml:space="preserve"> </w:t>
                            </w:r>
                          </w:p>
                        </w:txbxContent>
                      </wps:txbx>
                      <wps:bodyPr horzOverflow="overflow" vert="horz" lIns="0" tIns="0" rIns="0" bIns="0" rtlCol="0">
                        <a:noAutofit/>
                      </wps:bodyPr>
                    </wps:wsp>
                    <pic:pic xmlns:pic="http://schemas.openxmlformats.org/drawingml/2006/picture">
                      <pic:nvPicPr>
                        <pic:cNvPr id="19437" name=""/>
                        <pic:cNvPicPr/>
                      </pic:nvPicPr>
                      <pic:blipFill>
                        <a:blip r:embed="rId21"/>
                        <a:srcRect/>
                        <a:stretch>
                          <a:fillRect/>
                        </a:stretch>
                      </pic:blipFill>
                      <pic:spPr>
                        <a:xfrm>
                          <a:off x="3372866" y="35561"/>
                          <a:ext cx="1337310" cy="677545"/>
                        </a:xfrm>
                        <a:prstGeom prst="rect">
                          <a:avLst/>
                        </a:prstGeom>
                      </pic:spPr>
                    </pic:pic>
                    <pic:pic xmlns:pic="http://schemas.openxmlformats.org/drawingml/2006/picture">
                      <pic:nvPicPr>
                        <pic:cNvPr id="19432" name=""/>
                        <pic:cNvPicPr/>
                      </pic:nvPicPr>
                      <pic:blipFill>
                        <a:blip r:embed="rId22"/>
                        <a:srcRect/>
                        <a:stretch>
                          <a:fillRect/>
                        </a:stretch>
                      </pic:blipFill>
                      <pic:spPr>
                        <a:xfrm>
                          <a:off x="596138" y="0"/>
                          <a:ext cx="861682" cy="722630"/>
                        </a:xfrm>
                        <a:prstGeom prst="rect">
                          <a:avLst/>
                        </a:prstGeom>
                      </pic:spPr>
                    </pic:pic>
                    <pic:pic xmlns:pic="http://schemas.openxmlformats.org/drawingml/2006/picture">
                      <pic:nvPicPr>
                        <pic:cNvPr id="19438" name=""/>
                        <pic:cNvPicPr/>
                      </pic:nvPicPr>
                      <pic:blipFill>
                        <a:blip r:embed="rId23"/>
                        <a:srcRect/>
                        <a:stretch>
                          <a:fillRect/>
                        </a:stretch>
                      </pic:blipFill>
                      <pic:spPr>
                        <a:xfrm>
                          <a:off x="1516761" y="194311"/>
                          <a:ext cx="985507" cy="318770"/>
                        </a:xfrm>
                        <a:prstGeom prst="rect">
                          <a:avLst/>
                        </a:prstGeom>
                      </pic:spPr>
                    </pic:pic>
                    <pic:pic xmlns:pic="http://schemas.openxmlformats.org/drawingml/2006/picture">
                      <pic:nvPicPr>
                        <pic:cNvPr id="19439" name=""/>
                        <pic:cNvPicPr/>
                      </pic:nvPicPr>
                      <pic:blipFill>
                        <a:blip r:embed="rId24"/>
                        <a:srcRect/>
                        <a:stretch>
                          <a:fillRect/>
                        </a:stretch>
                      </pic:blipFill>
                      <pic:spPr>
                        <a:xfrm>
                          <a:off x="2580386" y="203213"/>
                          <a:ext cx="940422" cy="306705"/>
                        </a:xfrm>
                        <a:prstGeom prst="rect">
                          <a:avLst/>
                        </a:prstGeom>
                      </pic:spPr>
                    </pic:pic>
                  </wpg:wgp>
                </a:graphicData>
              </a:graphic>
            </wp:anchor>
          </w:drawing>
        </mc:Choice>
        <mc:Fallback>
          <w:pict>
            <v:group id="BB512C47-B40F-7581-34877B41F621" coordsize="4710176,722630" style="position:absolute;width:370.88pt;height:56.9pt;margin-top:0pt;margin-left:0pt;mso-wrap-distance-left:9pt;mso-wrap-distance-right:9pt;mso-wrap-distance-top:0pt;mso-wrap-distance-bottom:0pt;mso-position-horizontal:center;mso-position-horizontal-relative:margin;mso-position-vertical:bottom;mso-position-vertical-relative:page;rotation:0.000000;z-index:251661312;">
              <v:rect id="076CA1BB-CC4B-7A1A-8BDFE91052FF" style="width:1891284;height:190500;left:0;top:17907;rotation:0.000000;" stroked="f" o:spt="75">
                <v:imagedata r:id="rId17" o:title=""/>
                <o:lock/>
              </v:rect>
              <v:shape id="44C127E5-0CEF-0EFB-F9E703CB42F7" coordsize="21600,21600" style="width:1903278;height:142889;left:305;top:44422;rotation:0.000000;" stroked="f" o:spt="1" path="m0,0 l0,21600 r21600,0 l21600,0 x e">
                <o:lock/>
              </v:shape>
              <v:shape id="9955C9C6-285A-8661-66742EFAF4E8" coordsize="21600,21600" style="width:42236;height:169501;left:1429766;top:24194;rotation:0.000000;" stroked="f" o:spt="1" path="m0,0 l0,21600 r21600,0 l21600,0 x e">
                <o:lock/>
              </v:shape>
              <v:rect id="29DDDD76-0451-D265-94D40EDBA551" style="width:463296;height:190500;left:1421892;top:17907;rotation:0.000000;" stroked="f" o:spt="75">
                <v:imagedata r:id="rId18" o:title=""/>
                <o:lock/>
              </v:rect>
              <v:shape id="B8B71FA0-94C9-D1FA-2B1BC8A17442" coordsize="21600,21600" style="width:465938;height:142889;left:1422146;top:44422;rotation:0.000000;" stroked="f" o:spt="1" path="m0,0 l0,21600 r21600,0 l21600,0 x e">
                <o:lock/>
              </v:shape>
              <v:shape id="80A3E14F-176A-1604-30792A3D40D7" coordsize="21600,21600" style="width:42236;height:169501;left:1771523;top:24194;rotation:0.000000;" stroked="f" o:spt="1" path="m0,0 l0,21600 r21600,0 l21600,0 x e">
                <o:lock/>
              </v:shape>
              <v:rect id="7163465F-616C-E301-20302549BE08" style="width:377952;height:190500;left:1770888;top:17907;rotation:0.000000;" stroked="f" o:spt="75">
                <v:imagedata r:id="rId19" o:title=""/>
                <o:lock/>
              </v:rect>
              <v:shape id="831CD9BD-E092-9EFD-C94B569EA7C2" coordsize="21600,21600" style="width:382784;height:142889;left:1771523;top:44422;rotation:0.000000;" stroked="f" o:spt="1" path="m0,0 l0,21600 r21600,0 l21600,0 x e">
                <o:lock/>
              </v:shape>
              <v:shape id="81983CDB-AEA0-07B2-D028E520C708" coordsize="21600,21600" style="width:42236;height:169501;left:2058035;top:24194;rotation:0.000000;" stroked="f" o:spt="1" path="m0,0 l0,21600 r21600,0 l21600,0 x e">
                <o:lock/>
              </v:shape>
              <v:rect id="A9713889-7DA7-BB52-5C264D798444" style="width:42672;height:190500;left:2054352;top:17907;rotation:0.000000;" stroked="f" o:spt="75">
                <v:imagedata r:id="rId20" o:title=""/>
                <o:lock/>
              </v:rect>
              <v:shape id="7B269041-21C8-091C-08240B53F5B9" coordsize="21600,21600" style="width:42261;height:142889;left:2054987;top:44422;rotation:0.000000;" stroked="f" o:spt="1" path="m0,0 l0,21600 r21600,0 l21600,0 x e">
                <o:lock/>
              </v:shape>
              <v:shape id="CA52BC79-5C34-E355-1B13B7586DD8" coordsize="21600,21600" style="width:42236;height:169501;left:2086991;top:24194;rotation:0.000000;" stroked="f" o:spt="1" path="m0,0 l0,21600 r21600,0 l21600,0 x e">
                <o:lock/>
              </v:shape>
              <v:rect id="91355481-D2C2-F0E9-2F999CC4AB13" style="width:1337310;height:677545;left:3372866;top:35561;rotation:0.000000;" stroked="f" o:spt="75">
                <v:imagedata r:id="rId21" o:title=""/>
                <o:lock/>
              </v:rect>
              <v:rect id="3117D43B-3AEA-297A-F8FF9C6A43DB" style="width:861682;height:722630;left:596138;top:0;rotation:0.000000;" stroked="f" o:spt="75">
                <v:imagedata r:id="rId22" o:title=""/>
                <o:lock/>
              </v:rect>
              <v:rect id="4EEDD1B0-EE69-8A14-B0A28E80E7E3" style="width:985507;height:318770;left:1516761;top:194311;rotation:0.000000;" stroked="f" o:spt="75">
                <v:imagedata r:id="rId23" o:title=""/>
                <o:lock/>
              </v:rect>
              <v:rect id="357FF21D-A3AB-1A57-8C522A849477" style="width:940422;height:306705;left:2580386;top:203213;rotation:0.000000;" stroked="f" o:spt="75">
                <v:imagedata r:id="rId24" o:title=""/>
                <o:lock/>
              </v:rect>
              <w10:wrap type="square" side="both"/>
              <o:lock/>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footnote w:type="separator" w:id="0">
    <w:p w14:paraId="00000001">
      <w:pPr>
        <w:spacing w:after="0" w:line="240" w:lineRule="auto"/>
        <w:rPr/>
      </w:pPr>
      <w:r>
        <w:rPr/>
        <w:separator/>
      </w:r>
    </w:p>
  </w:footnote>
  <w:footnote w:type="continuationSeparator" w:id="1">
    <w:p w14:paraId="00000002">
      <w:pPr>
        <w:spacing w:after="0" w:line="240" w:lineRule="auto"/>
        <w:rPr/>
      </w:pPr>
      <w:r>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p w14:paraId="000002F2">
    <w:pPr>
      <w:pStyle w:val="Header"/>
      <w:rPr/>
    </w:pPr>
    <w:r>
      <w:rPr/>
      <w:drawing xmlns:mc="http://schemas.openxmlformats.org/markup-compatibility/2006">
        <wp:anchor allowOverlap="1" behindDoc="0" distT="0" distB="0" distL="114300" distR="114300" layoutInCell="1" locked="0" relativeHeight="251659264" simplePos="0">
          <wp:simplePos x="0" y="0"/>
          <wp:positionH relativeFrom="page">
            <wp:posOffset>933450</wp:posOffset>
          </wp:positionH>
          <wp:positionV relativeFrom="page">
            <wp:posOffset>325120</wp:posOffset>
          </wp:positionV>
          <wp:extent cx="1200150" cy="384797"/>
          <wp:effectExtent l="0" t="0" r="0" b="0"/>
          <wp:wrapSquare wrapText="bothSides"/>
          <wp:docPr id="1066330372" name="Picture 10663303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6330369" name="Picture 1066330369"/>
                  <pic:cNvPicPr/>
                </pic:nvPicPr>
                <pic:blipFill>
                  <a:blip r:embed="rId2"/>
                  <a:srcRect/>
                  <a:stretch>
                    <a:fillRect/>
                  </a:stretch>
                </pic:blipFill>
                <pic:spPr>
                  <a:xfrm>
                    <a:off x="0" y="0"/>
                    <a:ext cx="1200150" cy="384797"/>
                  </a:xfrm>
                  <a:prstGeom prst="rect">
                    <a:avLst/>
                  </a:prstGeom>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
    <w:multiLevelType w:val="hybridMultilevel"/>
    <w:lvl w:ilvl="0" w:tentative="0">
      <w:start w:val="1"/>
      <w:numFmt w:val="bullet"/>
      <w:lvlText w:val="•"/>
      <w:lvlJc w:val="left"/>
      <w:pPr>
        <w:ind w:left="1440"/>
      </w:pPr>
      <w:rPr>
        <w:rFonts w:ascii="Arial" w:cs="Arial" w:eastAsia="Arial" w:hAnsi="Arial"/>
        <w:b w:val="off"/>
        <w:i w:val="off"/>
        <w:color w:val="000000"/>
        <w:sz w:val="22"/>
        <w:szCs w:val="22"/>
        <w:u w:val="none" w:color="000000"/>
        <w:bdr w:val="none" w:sz="4" w:space="0"/>
        <w:shd w:val="clear" w:color="auto" w:fill="auto"/>
        <w:vertAlign w:val="baseline"/>
      </w:rPr>
    </w:lvl>
    <w:lvl w:ilvl="1" w:tentative="0">
      <w:start w:val="1"/>
      <w:numFmt w:val="bullet"/>
      <w:lvlText w:val="o"/>
      <w:lvlJc w:val="left"/>
      <w:pPr>
        <w:ind w:left="1450"/>
      </w:pPr>
      <w:rPr>
        <w:rFonts w:ascii="Arial" w:cs="Arial" w:eastAsia="Arial" w:hAnsi="Arial"/>
        <w:b w:val="off"/>
        <w:i w:val="off"/>
        <w:color w:val="000000"/>
        <w:sz w:val="22"/>
        <w:szCs w:val="22"/>
        <w:u w:val="none" w:color="000000"/>
        <w:bdr w:val="none" w:sz="4" w:space="0"/>
        <w:shd w:val="clear" w:color="auto" w:fill="auto"/>
        <w:vertAlign w:val="baseline"/>
      </w:rPr>
    </w:lvl>
    <w:lvl w:ilvl="2" w:tentative="0">
      <w:start w:val="1"/>
      <w:numFmt w:val="bullet"/>
      <w:lvlText w:val="▪"/>
      <w:lvlJc w:val="left"/>
      <w:pPr>
        <w:ind w:left="2170"/>
      </w:pPr>
      <w:rPr>
        <w:rFonts w:ascii="Arial" w:cs="Arial" w:eastAsia="Arial" w:hAnsi="Arial"/>
        <w:b w:val="off"/>
        <w:i w:val="off"/>
        <w:color w:val="000000"/>
        <w:sz w:val="22"/>
        <w:szCs w:val="22"/>
        <w:u w:val="none" w:color="000000"/>
        <w:bdr w:val="none" w:sz="4" w:space="0"/>
        <w:shd w:val="clear" w:color="auto" w:fill="auto"/>
        <w:vertAlign w:val="baseline"/>
      </w:rPr>
    </w:lvl>
    <w:lvl w:ilvl="3" w:tentative="0">
      <w:start w:val="1"/>
      <w:numFmt w:val="bullet"/>
      <w:lvlText w:val="•"/>
      <w:lvlJc w:val="left"/>
      <w:pPr>
        <w:ind w:left="2890"/>
      </w:pPr>
      <w:rPr>
        <w:rFonts w:ascii="Arial" w:cs="Arial" w:eastAsia="Arial" w:hAnsi="Arial"/>
        <w:b w:val="off"/>
        <w:i w:val="off"/>
        <w:color w:val="000000"/>
        <w:sz w:val="22"/>
        <w:szCs w:val="22"/>
        <w:u w:val="none" w:color="000000"/>
        <w:bdr w:val="none" w:sz="4" w:space="0"/>
        <w:shd w:val="clear" w:color="auto" w:fill="auto"/>
        <w:vertAlign w:val="baseline"/>
      </w:rPr>
    </w:lvl>
    <w:lvl w:ilvl="4" w:tentative="0">
      <w:start w:val="1"/>
      <w:numFmt w:val="bullet"/>
      <w:lvlText w:val="o"/>
      <w:lvlJc w:val="left"/>
      <w:pPr>
        <w:ind w:left="3610"/>
      </w:pPr>
      <w:rPr>
        <w:rFonts w:ascii="Arial" w:cs="Arial" w:eastAsia="Arial" w:hAnsi="Arial"/>
        <w:b w:val="off"/>
        <w:i w:val="off"/>
        <w:color w:val="000000"/>
        <w:sz w:val="22"/>
        <w:szCs w:val="22"/>
        <w:u w:val="none" w:color="000000"/>
        <w:bdr w:val="none" w:sz="4" w:space="0"/>
        <w:shd w:val="clear" w:color="auto" w:fill="auto"/>
        <w:vertAlign w:val="baseline"/>
      </w:rPr>
    </w:lvl>
    <w:lvl w:ilvl="5" w:tentative="0">
      <w:start w:val="1"/>
      <w:numFmt w:val="bullet"/>
      <w:lvlText w:val="▪"/>
      <w:lvlJc w:val="left"/>
      <w:pPr>
        <w:ind w:left="4330"/>
      </w:pPr>
      <w:rPr>
        <w:rFonts w:ascii="Arial" w:cs="Arial" w:eastAsia="Arial" w:hAnsi="Arial"/>
        <w:b w:val="off"/>
        <w:i w:val="off"/>
        <w:color w:val="000000"/>
        <w:sz w:val="22"/>
        <w:szCs w:val="22"/>
        <w:u w:val="none" w:color="000000"/>
        <w:bdr w:val="none" w:sz="4" w:space="0"/>
        <w:shd w:val="clear" w:color="auto" w:fill="auto"/>
        <w:vertAlign w:val="baseline"/>
      </w:rPr>
    </w:lvl>
    <w:lvl w:ilvl="6" w:tentative="0">
      <w:start w:val="1"/>
      <w:numFmt w:val="bullet"/>
      <w:lvlText w:val="•"/>
      <w:lvlJc w:val="left"/>
      <w:pPr>
        <w:ind w:left="5050"/>
      </w:pPr>
      <w:rPr>
        <w:rFonts w:ascii="Arial" w:cs="Arial" w:eastAsia="Arial" w:hAnsi="Arial"/>
        <w:b w:val="off"/>
        <w:i w:val="off"/>
        <w:color w:val="000000"/>
        <w:sz w:val="22"/>
        <w:szCs w:val="22"/>
        <w:u w:val="none" w:color="000000"/>
        <w:bdr w:val="none" w:sz="4" w:space="0"/>
        <w:shd w:val="clear" w:color="auto" w:fill="auto"/>
        <w:vertAlign w:val="baseline"/>
      </w:rPr>
    </w:lvl>
    <w:lvl w:ilvl="7" w:tentative="0">
      <w:start w:val="1"/>
      <w:numFmt w:val="bullet"/>
      <w:lvlText w:val="o"/>
      <w:lvlJc w:val="left"/>
      <w:pPr>
        <w:ind w:left="5770"/>
      </w:pPr>
      <w:rPr>
        <w:rFonts w:ascii="Arial" w:cs="Arial" w:eastAsia="Arial" w:hAnsi="Arial"/>
        <w:b w:val="off"/>
        <w:i w:val="off"/>
        <w:color w:val="000000"/>
        <w:sz w:val="22"/>
        <w:szCs w:val="22"/>
        <w:u w:val="none" w:color="000000"/>
        <w:bdr w:val="none" w:sz="4" w:space="0"/>
        <w:shd w:val="clear" w:color="auto" w:fill="auto"/>
        <w:vertAlign w:val="baseline"/>
      </w:rPr>
    </w:lvl>
    <w:lvl w:ilvl="8" w:tentative="0">
      <w:start w:val="1"/>
      <w:numFmt w:val="bullet"/>
      <w:lvlText w:val="▪"/>
      <w:lvlJc w:val="left"/>
      <w:pPr>
        <w:ind w:left="6490"/>
      </w:pPr>
      <w:rPr>
        <w:rFonts w:ascii="Arial" w:cs="Arial" w:eastAsia="Arial" w:hAnsi="Arial"/>
        <w:b w:val="off"/>
        <w:i w:val="off"/>
        <w:color w:val="000000"/>
        <w:sz w:val="22"/>
        <w:szCs w:val="22"/>
        <w:u w:val="none" w:color="000000"/>
        <w:bdr w:val="none" w:sz="4" w:space="0"/>
        <w:shd w:val="clear" w:color="auto" w:fill="auto"/>
        <w:vertAlign w:val="baseline"/>
      </w:rPr>
    </w:lvl>
  </w:abstractNum>
  <w:abstractNum w:abstractNumId="2">
    <w:multiLevelType w:val="hybridMultilevel"/>
    <w:lvl w:ilvl="0" w:tentative="0">
      <w:start w:val="1"/>
      <w:numFmt w:val="bullet"/>
      <w:lvlText w:val="•"/>
      <w:lvlJc w:val="left"/>
      <w:pPr>
        <w:ind w:left="1436"/>
      </w:pPr>
      <w:rPr>
        <w:rFonts w:ascii="Arial" w:cs="Arial" w:eastAsia="Arial" w:hAnsi="Arial"/>
        <w:b w:val="off"/>
        <w:i w:val="off"/>
        <w:color w:val="000000"/>
        <w:sz w:val="22"/>
        <w:szCs w:val="22"/>
        <w:u w:val="none" w:color="000000"/>
        <w:bdr w:val="none" w:sz="4" w:space="0"/>
        <w:shd w:val="clear" w:color="auto" w:fill="auto"/>
        <w:vertAlign w:val="baseline"/>
      </w:rPr>
    </w:lvl>
    <w:lvl w:ilvl="1" w:tentative="0">
      <w:start w:val="1"/>
      <w:numFmt w:val="bullet"/>
      <w:lvlText w:val="o"/>
      <w:lvlJc w:val="left"/>
      <w:pPr>
        <w:ind w:left="1810"/>
      </w:pPr>
      <w:rPr>
        <w:rFonts w:ascii="Arial" w:cs="Arial" w:eastAsia="Arial" w:hAnsi="Arial"/>
        <w:b w:val="off"/>
        <w:i w:val="off"/>
        <w:color w:val="000000"/>
        <w:sz w:val="22"/>
        <w:szCs w:val="22"/>
        <w:u w:val="none" w:color="000000"/>
        <w:bdr w:val="none" w:sz="4" w:space="0"/>
        <w:shd w:val="clear" w:color="auto" w:fill="auto"/>
        <w:vertAlign w:val="baseline"/>
      </w:rPr>
    </w:lvl>
    <w:lvl w:ilvl="2" w:tentative="0">
      <w:start w:val="1"/>
      <w:numFmt w:val="bullet"/>
      <w:lvlText w:val="▪"/>
      <w:lvlJc w:val="left"/>
      <w:pPr>
        <w:ind w:left="2530"/>
      </w:pPr>
      <w:rPr>
        <w:rFonts w:ascii="Arial" w:cs="Arial" w:eastAsia="Arial" w:hAnsi="Arial"/>
        <w:b w:val="off"/>
        <w:i w:val="off"/>
        <w:color w:val="000000"/>
        <w:sz w:val="22"/>
        <w:szCs w:val="22"/>
        <w:u w:val="none" w:color="000000"/>
        <w:bdr w:val="none" w:sz="4" w:space="0"/>
        <w:shd w:val="clear" w:color="auto" w:fill="auto"/>
        <w:vertAlign w:val="baseline"/>
      </w:rPr>
    </w:lvl>
    <w:lvl w:ilvl="3" w:tentative="0">
      <w:start w:val="1"/>
      <w:numFmt w:val="bullet"/>
      <w:lvlText w:val="•"/>
      <w:lvlJc w:val="left"/>
      <w:pPr>
        <w:ind w:left="3250"/>
      </w:pPr>
      <w:rPr>
        <w:rFonts w:ascii="Arial" w:cs="Arial" w:eastAsia="Arial" w:hAnsi="Arial"/>
        <w:b w:val="off"/>
        <w:i w:val="off"/>
        <w:color w:val="000000"/>
        <w:sz w:val="22"/>
        <w:szCs w:val="22"/>
        <w:u w:val="none" w:color="000000"/>
        <w:bdr w:val="none" w:sz="4" w:space="0"/>
        <w:shd w:val="clear" w:color="auto" w:fill="auto"/>
        <w:vertAlign w:val="baseline"/>
      </w:rPr>
    </w:lvl>
    <w:lvl w:ilvl="4" w:tentative="0">
      <w:start w:val="1"/>
      <w:numFmt w:val="bullet"/>
      <w:lvlText w:val="o"/>
      <w:lvlJc w:val="left"/>
      <w:pPr>
        <w:ind w:left="3970"/>
      </w:pPr>
      <w:rPr>
        <w:rFonts w:ascii="Arial" w:cs="Arial" w:eastAsia="Arial" w:hAnsi="Arial"/>
        <w:b w:val="off"/>
        <w:i w:val="off"/>
        <w:color w:val="000000"/>
        <w:sz w:val="22"/>
        <w:szCs w:val="22"/>
        <w:u w:val="none" w:color="000000"/>
        <w:bdr w:val="none" w:sz="4" w:space="0"/>
        <w:shd w:val="clear" w:color="auto" w:fill="auto"/>
        <w:vertAlign w:val="baseline"/>
      </w:rPr>
    </w:lvl>
    <w:lvl w:ilvl="5" w:tentative="0">
      <w:start w:val="1"/>
      <w:numFmt w:val="bullet"/>
      <w:lvlText w:val="▪"/>
      <w:lvlJc w:val="left"/>
      <w:pPr>
        <w:ind w:left="4690"/>
      </w:pPr>
      <w:rPr>
        <w:rFonts w:ascii="Arial" w:cs="Arial" w:eastAsia="Arial" w:hAnsi="Arial"/>
        <w:b w:val="off"/>
        <w:i w:val="off"/>
        <w:color w:val="000000"/>
        <w:sz w:val="22"/>
        <w:szCs w:val="22"/>
        <w:u w:val="none" w:color="000000"/>
        <w:bdr w:val="none" w:sz="4" w:space="0"/>
        <w:shd w:val="clear" w:color="auto" w:fill="auto"/>
        <w:vertAlign w:val="baseline"/>
      </w:rPr>
    </w:lvl>
    <w:lvl w:ilvl="6" w:tentative="0">
      <w:start w:val="1"/>
      <w:numFmt w:val="bullet"/>
      <w:lvlText w:val="•"/>
      <w:lvlJc w:val="left"/>
      <w:pPr>
        <w:ind w:left="5410"/>
      </w:pPr>
      <w:rPr>
        <w:rFonts w:ascii="Arial" w:cs="Arial" w:eastAsia="Arial" w:hAnsi="Arial"/>
        <w:b w:val="off"/>
        <w:i w:val="off"/>
        <w:color w:val="000000"/>
        <w:sz w:val="22"/>
        <w:szCs w:val="22"/>
        <w:u w:val="none" w:color="000000"/>
        <w:bdr w:val="none" w:sz="4" w:space="0"/>
        <w:shd w:val="clear" w:color="auto" w:fill="auto"/>
        <w:vertAlign w:val="baseline"/>
      </w:rPr>
    </w:lvl>
    <w:lvl w:ilvl="7" w:tentative="0">
      <w:start w:val="1"/>
      <w:numFmt w:val="bullet"/>
      <w:lvlText w:val="o"/>
      <w:lvlJc w:val="left"/>
      <w:pPr>
        <w:ind w:left="6130"/>
      </w:pPr>
      <w:rPr>
        <w:rFonts w:ascii="Arial" w:cs="Arial" w:eastAsia="Arial" w:hAnsi="Arial"/>
        <w:b w:val="off"/>
        <w:i w:val="off"/>
        <w:color w:val="000000"/>
        <w:sz w:val="22"/>
        <w:szCs w:val="22"/>
        <w:u w:val="none" w:color="000000"/>
        <w:bdr w:val="none" w:sz="4" w:space="0"/>
        <w:shd w:val="clear" w:color="auto" w:fill="auto"/>
        <w:vertAlign w:val="baseline"/>
      </w:rPr>
    </w:lvl>
    <w:lvl w:ilvl="8" w:tentative="0">
      <w:start w:val="1"/>
      <w:numFmt w:val="bullet"/>
      <w:lvlText w:val="▪"/>
      <w:lvlJc w:val="left"/>
      <w:pPr>
        <w:ind w:left="6850"/>
      </w:pPr>
      <w:rPr>
        <w:rFonts w:ascii="Arial" w:cs="Arial" w:eastAsia="Arial" w:hAnsi="Arial"/>
        <w:b w:val="off"/>
        <w:i w:val="off"/>
        <w:color w:val="000000"/>
        <w:sz w:val="22"/>
        <w:szCs w:val="22"/>
        <w:u w:val="none" w:color="000000"/>
        <w:bdr w:val="none" w:sz="4" w:space="0"/>
        <w:shd w:val="clear" w:color="auto" w:fill="auto"/>
        <w:vertAlign w:val="baseline"/>
      </w:rPr>
    </w:lvl>
  </w:abstractNum>
  <w:abstractNum w:abstractNumId="3">
    <w:multiLevelType w:val="hybridMultilevel"/>
    <w:lvl w:ilvl="0" w:tentative="0">
      <w:start w:val="1"/>
      <w:numFmt w:val="bullet"/>
      <w:lvlText w:val="•"/>
      <w:lvlJc w:val="left"/>
      <w:pPr>
        <w:ind w:left="1416"/>
      </w:pPr>
      <w:rPr>
        <w:rFonts w:ascii="Arial" w:cs="Arial" w:eastAsia="Arial" w:hAnsi="Arial"/>
        <w:b w:val="off"/>
        <w:i w:val="off"/>
        <w:color w:val="000000"/>
        <w:sz w:val="18"/>
        <w:szCs w:val="18"/>
        <w:u w:val="none" w:color="000000"/>
        <w:bdr w:val="none" w:sz="4" w:space="0"/>
        <w:shd w:val="clear" w:color="auto" w:fill="auto"/>
        <w:vertAlign w:val="baseline"/>
      </w:rPr>
    </w:lvl>
    <w:lvl w:ilvl="1" w:tentative="0">
      <w:start w:val="1"/>
      <w:numFmt w:val="bullet"/>
      <w:lvlText w:val="o"/>
      <w:lvlJc w:val="left"/>
      <w:pPr>
        <w:ind w:left="1302"/>
      </w:pPr>
      <w:rPr>
        <w:rFonts w:ascii="Arial" w:cs="Arial" w:eastAsia="Arial" w:hAnsi="Arial"/>
        <w:b w:val="off"/>
        <w:i w:val="off"/>
        <w:color w:val="000000"/>
        <w:sz w:val="18"/>
        <w:szCs w:val="18"/>
        <w:u w:val="none" w:color="000000"/>
        <w:bdr w:val="none" w:sz="4" w:space="0"/>
        <w:shd w:val="clear" w:color="auto" w:fill="auto"/>
        <w:vertAlign w:val="baseline"/>
      </w:rPr>
    </w:lvl>
    <w:lvl w:ilvl="2" w:tentative="0">
      <w:start w:val="1"/>
      <w:numFmt w:val="bullet"/>
      <w:lvlText w:val="▪"/>
      <w:lvlJc w:val="left"/>
      <w:pPr>
        <w:ind w:left="2022"/>
      </w:pPr>
      <w:rPr>
        <w:rFonts w:ascii="Arial" w:cs="Arial" w:eastAsia="Arial" w:hAnsi="Arial"/>
        <w:b w:val="off"/>
        <w:i w:val="off"/>
        <w:color w:val="000000"/>
        <w:sz w:val="18"/>
        <w:szCs w:val="18"/>
        <w:u w:val="none" w:color="000000"/>
        <w:bdr w:val="none" w:sz="4" w:space="0"/>
        <w:shd w:val="clear" w:color="auto" w:fill="auto"/>
        <w:vertAlign w:val="baseline"/>
      </w:rPr>
    </w:lvl>
    <w:lvl w:ilvl="3" w:tentative="0">
      <w:start w:val="1"/>
      <w:numFmt w:val="bullet"/>
      <w:lvlText w:val="•"/>
      <w:lvlJc w:val="left"/>
      <w:pPr>
        <w:ind w:left="2742"/>
      </w:pPr>
      <w:rPr>
        <w:rFonts w:ascii="Arial" w:cs="Arial" w:eastAsia="Arial" w:hAnsi="Arial"/>
        <w:b w:val="off"/>
        <w:i w:val="off"/>
        <w:color w:val="000000"/>
        <w:sz w:val="18"/>
        <w:szCs w:val="18"/>
        <w:u w:val="none" w:color="000000"/>
        <w:bdr w:val="none" w:sz="4" w:space="0"/>
        <w:shd w:val="clear" w:color="auto" w:fill="auto"/>
        <w:vertAlign w:val="baseline"/>
      </w:rPr>
    </w:lvl>
    <w:lvl w:ilvl="4" w:tentative="0">
      <w:start w:val="1"/>
      <w:numFmt w:val="bullet"/>
      <w:lvlText w:val="o"/>
      <w:lvlJc w:val="left"/>
      <w:pPr>
        <w:ind w:left="3462"/>
      </w:pPr>
      <w:rPr>
        <w:rFonts w:ascii="Arial" w:cs="Arial" w:eastAsia="Arial" w:hAnsi="Arial"/>
        <w:b w:val="off"/>
        <w:i w:val="off"/>
        <w:color w:val="000000"/>
        <w:sz w:val="18"/>
        <w:szCs w:val="18"/>
        <w:u w:val="none" w:color="000000"/>
        <w:bdr w:val="none" w:sz="4" w:space="0"/>
        <w:shd w:val="clear" w:color="auto" w:fill="auto"/>
        <w:vertAlign w:val="baseline"/>
      </w:rPr>
    </w:lvl>
    <w:lvl w:ilvl="5" w:tentative="0">
      <w:start w:val="1"/>
      <w:numFmt w:val="bullet"/>
      <w:lvlText w:val="▪"/>
      <w:lvlJc w:val="left"/>
      <w:pPr>
        <w:ind w:left="4182"/>
      </w:pPr>
      <w:rPr>
        <w:rFonts w:ascii="Arial" w:cs="Arial" w:eastAsia="Arial" w:hAnsi="Arial"/>
        <w:b w:val="off"/>
        <w:i w:val="off"/>
        <w:color w:val="000000"/>
        <w:sz w:val="18"/>
        <w:szCs w:val="18"/>
        <w:u w:val="none" w:color="000000"/>
        <w:bdr w:val="none" w:sz="4" w:space="0"/>
        <w:shd w:val="clear" w:color="auto" w:fill="auto"/>
        <w:vertAlign w:val="baseline"/>
      </w:rPr>
    </w:lvl>
    <w:lvl w:ilvl="6" w:tentative="0">
      <w:start w:val="1"/>
      <w:numFmt w:val="bullet"/>
      <w:lvlText w:val="•"/>
      <w:lvlJc w:val="left"/>
      <w:pPr>
        <w:ind w:left="4902"/>
      </w:pPr>
      <w:rPr>
        <w:rFonts w:ascii="Arial" w:cs="Arial" w:eastAsia="Arial" w:hAnsi="Arial"/>
        <w:b w:val="off"/>
        <w:i w:val="off"/>
        <w:color w:val="000000"/>
        <w:sz w:val="18"/>
        <w:szCs w:val="18"/>
        <w:u w:val="none" w:color="000000"/>
        <w:bdr w:val="none" w:sz="4" w:space="0"/>
        <w:shd w:val="clear" w:color="auto" w:fill="auto"/>
        <w:vertAlign w:val="baseline"/>
      </w:rPr>
    </w:lvl>
    <w:lvl w:ilvl="7" w:tentative="0">
      <w:start w:val="1"/>
      <w:numFmt w:val="bullet"/>
      <w:lvlText w:val="o"/>
      <w:lvlJc w:val="left"/>
      <w:pPr>
        <w:ind w:left="5622"/>
      </w:pPr>
      <w:rPr>
        <w:rFonts w:ascii="Arial" w:cs="Arial" w:eastAsia="Arial" w:hAnsi="Arial"/>
        <w:b w:val="off"/>
        <w:i w:val="off"/>
        <w:color w:val="000000"/>
        <w:sz w:val="18"/>
        <w:szCs w:val="18"/>
        <w:u w:val="none" w:color="000000"/>
        <w:bdr w:val="none" w:sz="4" w:space="0"/>
        <w:shd w:val="clear" w:color="auto" w:fill="auto"/>
        <w:vertAlign w:val="baseline"/>
      </w:rPr>
    </w:lvl>
    <w:lvl w:ilvl="8" w:tentative="0">
      <w:start w:val="1"/>
      <w:numFmt w:val="bullet"/>
      <w:lvlText w:val="▪"/>
      <w:lvlJc w:val="left"/>
      <w:pPr>
        <w:ind w:left="6342"/>
      </w:pPr>
      <w:rPr>
        <w:rFonts w:ascii="Arial" w:cs="Arial" w:eastAsia="Arial" w:hAnsi="Arial"/>
        <w:b w:val="off"/>
        <w:i w:val="off"/>
        <w:color w:val="000000"/>
        <w:sz w:val="18"/>
        <w:szCs w:val="18"/>
        <w:u w:val="none" w:color="000000"/>
        <w:bdr w:val="none" w:sz="4" w:space="0"/>
        <w:shd w:val="clear" w:color="auto" w:fill="auto"/>
        <w:vertAlign w:val="baseline"/>
      </w:rPr>
    </w:lvl>
  </w:abstractNum>
  <w:abstractNum w:abstractNumId="4">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5">
    <w:multiLevelType w:val="hybridMultilevel"/>
    <w:lvl w:ilvl="0" w:tentative="0">
      <w:start w:val="1"/>
      <w:numFmt w:val="bullet"/>
      <w:lvlText w:val="•"/>
      <w:lvlJc w:val="left"/>
      <w:pPr>
        <w:ind w:left="1440"/>
      </w:pPr>
      <w:rPr>
        <w:rFonts w:ascii="Arial" w:cs="Arial" w:eastAsia="Arial" w:hAnsi="Arial"/>
        <w:b w:val="off"/>
        <w:i w:val="off"/>
        <w:color w:val="000000"/>
        <w:sz w:val="22"/>
        <w:szCs w:val="22"/>
        <w:u w:val="none" w:color="000000"/>
        <w:bdr w:val="none" w:sz="4" w:space="0"/>
        <w:shd w:val="clear" w:color="auto" w:fill="auto"/>
        <w:vertAlign w:val="baseline"/>
      </w:rPr>
    </w:lvl>
    <w:lvl w:ilvl="1" w:tentative="0">
      <w:start w:val="1"/>
      <w:numFmt w:val="bullet"/>
      <w:lvlText w:val="o"/>
      <w:lvlJc w:val="left"/>
      <w:pPr>
        <w:ind w:left="1450"/>
      </w:pPr>
      <w:rPr>
        <w:rFonts w:ascii="Arial" w:cs="Arial" w:eastAsia="Arial" w:hAnsi="Arial"/>
        <w:b w:val="off"/>
        <w:i w:val="off"/>
        <w:color w:val="000000"/>
        <w:sz w:val="22"/>
        <w:szCs w:val="22"/>
        <w:u w:val="none" w:color="000000"/>
        <w:bdr w:val="none" w:sz="4" w:space="0"/>
        <w:shd w:val="clear" w:color="auto" w:fill="auto"/>
        <w:vertAlign w:val="baseline"/>
      </w:rPr>
    </w:lvl>
    <w:lvl w:ilvl="2" w:tentative="0">
      <w:start w:val="1"/>
      <w:numFmt w:val="bullet"/>
      <w:lvlText w:val="▪"/>
      <w:lvlJc w:val="left"/>
      <w:pPr>
        <w:ind w:left="2170"/>
      </w:pPr>
      <w:rPr>
        <w:rFonts w:ascii="Arial" w:cs="Arial" w:eastAsia="Arial" w:hAnsi="Arial"/>
        <w:b w:val="off"/>
        <w:i w:val="off"/>
        <w:color w:val="000000"/>
        <w:sz w:val="22"/>
        <w:szCs w:val="22"/>
        <w:u w:val="none" w:color="000000"/>
        <w:bdr w:val="none" w:sz="4" w:space="0"/>
        <w:shd w:val="clear" w:color="auto" w:fill="auto"/>
        <w:vertAlign w:val="baseline"/>
      </w:rPr>
    </w:lvl>
    <w:lvl w:ilvl="3" w:tentative="0">
      <w:start w:val="1"/>
      <w:numFmt w:val="bullet"/>
      <w:lvlText w:val="•"/>
      <w:lvlJc w:val="left"/>
      <w:pPr>
        <w:ind w:left="2890"/>
      </w:pPr>
      <w:rPr>
        <w:rFonts w:ascii="Arial" w:cs="Arial" w:eastAsia="Arial" w:hAnsi="Arial"/>
        <w:b w:val="off"/>
        <w:i w:val="off"/>
        <w:color w:val="000000"/>
        <w:sz w:val="22"/>
        <w:szCs w:val="22"/>
        <w:u w:val="none" w:color="000000"/>
        <w:bdr w:val="none" w:sz="4" w:space="0"/>
        <w:shd w:val="clear" w:color="auto" w:fill="auto"/>
        <w:vertAlign w:val="baseline"/>
      </w:rPr>
    </w:lvl>
    <w:lvl w:ilvl="4" w:tentative="0">
      <w:start w:val="1"/>
      <w:numFmt w:val="bullet"/>
      <w:lvlText w:val="o"/>
      <w:lvlJc w:val="left"/>
      <w:pPr>
        <w:ind w:left="3610"/>
      </w:pPr>
      <w:rPr>
        <w:rFonts w:ascii="Arial" w:cs="Arial" w:eastAsia="Arial" w:hAnsi="Arial"/>
        <w:b w:val="off"/>
        <w:i w:val="off"/>
        <w:color w:val="000000"/>
        <w:sz w:val="22"/>
        <w:szCs w:val="22"/>
        <w:u w:val="none" w:color="000000"/>
        <w:bdr w:val="none" w:sz="4" w:space="0"/>
        <w:shd w:val="clear" w:color="auto" w:fill="auto"/>
        <w:vertAlign w:val="baseline"/>
      </w:rPr>
    </w:lvl>
    <w:lvl w:ilvl="5" w:tentative="0">
      <w:start w:val="1"/>
      <w:numFmt w:val="bullet"/>
      <w:lvlText w:val="▪"/>
      <w:lvlJc w:val="left"/>
      <w:pPr>
        <w:ind w:left="4330"/>
      </w:pPr>
      <w:rPr>
        <w:rFonts w:ascii="Arial" w:cs="Arial" w:eastAsia="Arial" w:hAnsi="Arial"/>
        <w:b w:val="off"/>
        <w:i w:val="off"/>
        <w:color w:val="000000"/>
        <w:sz w:val="22"/>
        <w:szCs w:val="22"/>
        <w:u w:val="none" w:color="000000"/>
        <w:bdr w:val="none" w:sz="4" w:space="0"/>
        <w:shd w:val="clear" w:color="auto" w:fill="auto"/>
        <w:vertAlign w:val="baseline"/>
      </w:rPr>
    </w:lvl>
    <w:lvl w:ilvl="6" w:tentative="0">
      <w:start w:val="1"/>
      <w:numFmt w:val="bullet"/>
      <w:lvlText w:val="•"/>
      <w:lvlJc w:val="left"/>
      <w:pPr>
        <w:ind w:left="5050"/>
      </w:pPr>
      <w:rPr>
        <w:rFonts w:ascii="Arial" w:cs="Arial" w:eastAsia="Arial" w:hAnsi="Arial"/>
        <w:b w:val="off"/>
        <w:i w:val="off"/>
        <w:color w:val="000000"/>
        <w:sz w:val="22"/>
        <w:szCs w:val="22"/>
        <w:u w:val="none" w:color="000000"/>
        <w:bdr w:val="none" w:sz="4" w:space="0"/>
        <w:shd w:val="clear" w:color="auto" w:fill="auto"/>
        <w:vertAlign w:val="baseline"/>
      </w:rPr>
    </w:lvl>
    <w:lvl w:ilvl="7" w:tentative="0">
      <w:start w:val="1"/>
      <w:numFmt w:val="bullet"/>
      <w:lvlText w:val="o"/>
      <w:lvlJc w:val="left"/>
      <w:pPr>
        <w:ind w:left="5770"/>
      </w:pPr>
      <w:rPr>
        <w:rFonts w:ascii="Arial" w:cs="Arial" w:eastAsia="Arial" w:hAnsi="Arial"/>
        <w:b w:val="off"/>
        <w:i w:val="off"/>
        <w:color w:val="000000"/>
        <w:sz w:val="22"/>
        <w:szCs w:val="22"/>
        <w:u w:val="none" w:color="000000"/>
        <w:bdr w:val="none" w:sz="4" w:space="0"/>
        <w:shd w:val="clear" w:color="auto" w:fill="auto"/>
        <w:vertAlign w:val="baseline"/>
      </w:rPr>
    </w:lvl>
    <w:lvl w:ilvl="8" w:tentative="0">
      <w:start w:val="1"/>
      <w:numFmt w:val="bullet"/>
      <w:lvlText w:val="▪"/>
      <w:lvlJc w:val="left"/>
      <w:pPr>
        <w:ind w:left="6490"/>
      </w:pPr>
      <w:rPr>
        <w:rFonts w:ascii="Arial" w:cs="Arial" w:eastAsia="Arial" w:hAnsi="Arial"/>
        <w:b w:val="off"/>
        <w:i w:val="off"/>
        <w:color w:val="000000"/>
        <w:sz w:val="22"/>
        <w:szCs w:val="22"/>
        <w:u w:val="none" w:color="000000"/>
        <w:bdr w:val="none" w:sz="4" w:space="0"/>
        <w:shd w:val="clear" w:color="auto" w:fill="auto"/>
        <w:vertAlign w:val="baseline"/>
      </w:rPr>
    </w:lvl>
  </w:abstractNum>
  <w:num w:numId="1">
    <w:abstractNumId w:val="4"/>
  </w:num>
  <w:num w:numId="2">
    <w:abstractNumId w:val="0"/>
  </w:num>
  <w:num w:numId="3">
    <w:abstractNumId w:val="1"/>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132"/>
    <w:rsid w:val="000518A3"/>
    <w:rsid w:val="00224958"/>
    <w:rsid w:val="0023474D"/>
    <w:rsid w:val="00284C0E"/>
    <w:rsid w:val="00315D71"/>
    <w:rsid w:val="0031763F"/>
    <w:rsid w:val="003B57BC"/>
    <w:rsid w:val="004163AC"/>
    <w:rsid w:val="004236C5"/>
    <w:rsid w:val="00456AA9"/>
    <w:rsid w:val="00511132"/>
    <w:rsid w:val="00531383"/>
    <w:rsid w:val="00546DC8"/>
    <w:rsid w:val="00573A23"/>
    <w:rsid w:val="005D4D5F"/>
    <w:rsid w:val="00602279"/>
    <w:rsid w:val="00697C7C"/>
    <w:rsid w:val="007A73F9"/>
    <w:rsid w:val="007C015D"/>
    <w:rsid w:val="00862F7C"/>
    <w:rsid w:val="00873561"/>
    <w:rsid w:val="00873EC1"/>
    <w:rsid w:val="00913C0C"/>
    <w:rsid w:val="00983FC0"/>
    <w:rsid w:val="009C7CFA"/>
    <w:rsid w:val="00A3215E"/>
    <w:rsid w:val="00A362D7"/>
    <w:rsid w:val="00AD1944"/>
    <w:rsid w:val="00AE541A"/>
    <w:rsid w:val="00B00982"/>
    <w:rsid w:val="00B13955"/>
    <w:rsid w:val="00B66DF8"/>
    <w:rsid w:val="00B77BC5"/>
    <w:rsid w:val="00BA1BE5"/>
    <w:rsid w:val="00C57E63"/>
    <w:rsid w:val="00C754D6"/>
    <w:rsid w:val="00C959DE"/>
    <w:rsid w:val="00CB1FE5"/>
    <w:rsid w:val="00D06483"/>
    <w:rsid w:val="00D54459"/>
    <w:rsid w:val="00D81FF3"/>
    <w:rsid w:val="00DC5197"/>
    <w:rsid w:val="00E21085"/>
    <w:rsid w:val="00E86675"/>
    <w:rsid w:val="00E948B0"/>
    <w:rsid w:val="00EC14BB"/>
    <w:rsid w:val="00F3041D"/>
    <w:rsid w:val="00FC5D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23554"/>
  <w15:chartTrackingRefBased/>
  <w15:docId w15:val="{C12A9FA7-42B6-4C73-9FCF-E4732CB13BED}"/>
  <w:footnotePr>
    <w:footnote w:id="0"/>
    <w:footnote w:id="1"/>
  </w:footnotePr>
  <w:endnotePr>
    <w:endnote w:id="0"/>
    <w:endnote w:id="1"/>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2"/>
        <w:szCs w:val="22"/>
        <w:lang w:val="en-GB" w:bidi="ar-SA" w:eastAsia="en-US"/>
        <w14:ligatures w14:val="standardContextual"/>
      </w:rPr>
    </w:rPrDefault>
    <w:pPrDefault>
      <w:pPr>
        <w:spacing w:line="220" w:lineRule="exact"/>
      </w:pPr>
    </w:pPrDefault>
  </w:docDefaults>
  <w:style w:type="paragraph" w:styleId="NoSpacing">
    <w:name w:val="No Spacing"/>
    <w:uiPriority w:val="1"/>
    <w:qFormat w:val="on"/>
    <w:pPr>
      <w:spacing w:after="0" w:line="240" w:lineRule="auto"/>
    </w:p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Strong">
    <w:name w:val="Strong"/>
    <w:basedOn w:val="DefaultParagraphFont"/>
    <w:uiPriority w:val="22"/>
    <w:qFormat w:val="on"/>
    <w:rPr>
      <w:b/>
      <w:bCs/>
    </w:rPr>
  </w:style>
  <w:style w:type="character" w:styleId="SubtleReference">
    <w:name w:val="Subtle Reference"/>
    <w:basedOn w:val="DefaultParagraphFont"/>
    <w:uiPriority w:val="31"/>
    <w:qFormat w:val="on"/>
    <w:rPr>
      <w:smallCaps/>
      <w:color w:val="e97132" w:themeColor="accent2"/>
      <w:u w:val="single"/>
    </w:rPr>
  </w:style>
  <w:style w:type="character" w:styleId="BookTitle">
    <w:name w:val="Book Title"/>
    <w:basedOn w:val="DefaultParagraphFont"/>
    <w:uiPriority w:val="33"/>
    <w:qFormat w:val="on"/>
    <w:rPr>
      <w:b/>
      <w:bCs/>
      <w:smallCaps/>
      <w:spacing w:val="5"/>
    </w:r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467886" w:themeColor="hyperlink"/>
      <w:u w:val="single"/>
    </w:rPr>
  </w:style>
  <w:style w:type="character" w:styleId="FollowedHyperlink">
    <w:name w:val="FollowedHyperlink"/>
    <w:basedOn w:val="DefaultParagraphFont"/>
    <w:uiPriority w:val="99"/>
    <w:semiHidden w:val="on"/>
    <w:unhideWhenUsed w:val="on"/>
    <w:rPr>
      <w:color w:val="96607d"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Caption">
    <w:name w:val="Caption"/>
    <w:basedOn w:val="Normal"/>
    <w:next w:val="Normal"/>
    <w:uiPriority w:val="35"/>
    <w:unhideWhenUsed w:val="on"/>
    <w:qFormat w:val="on"/>
    <w:pPr>
      <w:spacing w:after="200" w:line="240" w:lineRule="auto"/>
    </w:pPr>
    <w:rPr>
      <w:i/>
      <w:iCs/>
      <w:color w:val="0e2841" w:themeColor="text2"/>
      <w:sz w:val="18"/>
      <w:szCs w:val="18"/>
    </w:rPr>
  </w:style>
  <w:style w:type="paragraph" w:default="1" w:styleId="Normal">
    <w:name w:val="Normal"/>
    <w:uiPriority w:val="99"/>
    <w:qFormat w:val="on"/>
    <w:pPr>
      <w:spacing w:after="160" w:line="259" w:lineRule="auto"/>
    </w:pPr>
  </w:style>
  <w:style w:type="paragraph" w:styleId="Heading1">
    <w:name w:val="Heading 1"/>
    <w:basedOn w:val="Normal"/>
    <w:next w:val="Normal"/>
    <w:link w:val="Heading1Char"/>
    <w:uiPriority w:val="9"/>
    <w:qFormat w:val="on"/>
    <w:pPr>
      <w:keepNext w:val="on"/>
      <w:keepLines w:val="on"/>
      <w:spacing w:before="360" w:after="80"/>
    </w:pPr>
    <w:rPr>
      <w:rFonts w:asciiTheme="majorHAnsi" w:cstheme="majorBidi" w:eastAsiaTheme="majorEastAsia" w:hAnsiTheme="majorHAnsi"/>
      <w:color w:val="104760" w:themeColor="accent1" w:themeShade="bf"/>
      <w:sz w:val="40"/>
      <w:szCs w:val="40"/>
    </w:rPr>
  </w:style>
  <w:style w:type="paragraph" w:styleId="Heading2">
    <w:name w:val="Heading 2"/>
    <w:basedOn w:val="Normal"/>
    <w:next w:val="Normal"/>
    <w:link w:val="Heading2Char"/>
    <w:uiPriority w:val="9"/>
    <w:unhideWhenUsed w:val="on"/>
    <w:qFormat w:val="on"/>
    <w:pPr>
      <w:keepNext w:val="on"/>
      <w:keepLines w:val="on"/>
      <w:spacing w:before="160" w:after="80"/>
    </w:pPr>
    <w:rPr>
      <w:rFonts w:asciiTheme="majorHAnsi" w:cstheme="majorBidi" w:eastAsiaTheme="majorEastAsia" w:hAnsiTheme="majorHAnsi"/>
      <w:color w:val="104760" w:themeColor="accent1" w:themeShade="bf"/>
      <w:sz w:val="32"/>
      <w:szCs w:val="32"/>
    </w:rPr>
  </w:style>
  <w:style w:type="paragraph" w:styleId="Heading3">
    <w:name w:val="Heading 3"/>
    <w:basedOn w:val="Normal"/>
    <w:next w:val="Normal"/>
    <w:link w:val="Heading3Char"/>
    <w:uiPriority w:val="9"/>
    <w:unhideWhenUsed w:val="on"/>
    <w:qFormat w:val="on"/>
    <w:pPr>
      <w:keepNext w:val="on"/>
      <w:keepLines w:val="on"/>
      <w:spacing w:before="160" w:after="80"/>
    </w:pPr>
    <w:rPr>
      <w:rFonts w:cstheme="majorBidi" w:eastAsiaTheme="majorEastAsia"/>
      <w:color w:val="104760" w:themeColor="accent1" w:themeShade="bf"/>
      <w:sz w:val="28"/>
      <w:szCs w:val="28"/>
    </w:rPr>
  </w:style>
  <w:style w:type="paragraph" w:styleId="Heading4">
    <w:name w:val="Heading 4"/>
    <w:basedOn w:val="Normal"/>
    <w:next w:val="Normal"/>
    <w:link w:val="Heading4Char"/>
    <w:uiPriority w:val="9"/>
    <w:semiHidden w:val="on"/>
    <w:unhideWhenUsed w:val="on"/>
    <w:qFormat w:val="on"/>
    <w:pPr>
      <w:keepNext w:val="on"/>
      <w:keepLines w:val="on"/>
      <w:spacing w:before="80" w:after="40"/>
    </w:pPr>
    <w:rPr>
      <w:rFonts w:cstheme="majorBidi" w:eastAsiaTheme="majorEastAsia"/>
      <w:i/>
      <w:iCs/>
      <w:color w:val="104760" w:themeColor="accent1" w:themeShade="bf"/>
    </w:rPr>
  </w:style>
  <w:style w:type="paragraph" w:styleId="Heading5">
    <w:name w:val="Heading 5"/>
    <w:basedOn w:val="Normal"/>
    <w:next w:val="Normal"/>
    <w:link w:val="Heading5Char"/>
    <w:uiPriority w:val="9"/>
    <w:semiHidden w:val="on"/>
    <w:unhideWhenUsed w:val="on"/>
    <w:qFormat w:val="on"/>
    <w:pPr>
      <w:keepNext w:val="on"/>
      <w:keepLines w:val="on"/>
      <w:spacing w:before="80" w:after="40"/>
    </w:pPr>
    <w:rPr>
      <w:rFonts w:cstheme="majorBidi" w:eastAsiaTheme="majorEastAsia"/>
      <w:color w:val="104760" w:themeColor="accent1" w:themeShade="bf"/>
    </w:rPr>
  </w:style>
  <w:style w:type="paragraph" w:styleId="Heading6">
    <w:name w:val="Heading 6"/>
    <w:basedOn w:val="Normal"/>
    <w:next w:val="Normal"/>
    <w:link w:val="Heading6Char"/>
    <w:uiPriority w:val="9"/>
    <w:semiHidden w:val="on"/>
    <w:unhideWhenUsed w:val="on"/>
    <w:qFormat w:val="on"/>
    <w:pPr>
      <w:keepNext w:val="on"/>
      <w:keepLines w:val="on"/>
      <w:spacing w:before="40"/>
    </w:pPr>
    <w:rPr>
      <w:rFonts w:cstheme="majorBidi" w:eastAsiaTheme="majorEastAsia"/>
      <w:i/>
      <w:iCs/>
      <w:color w:val="595959" w:themeColor="text1" w:themeTint="a6"/>
    </w:rPr>
  </w:style>
  <w:style w:type="paragraph" w:styleId="Heading7">
    <w:name w:val="Heading 7"/>
    <w:basedOn w:val="Normal"/>
    <w:next w:val="Normal"/>
    <w:link w:val="Heading7Char"/>
    <w:uiPriority w:val="9"/>
    <w:semiHidden w:val="on"/>
    <w:unhideWhenUsed w:val="on"/>
    <w:qFormat w:val="on"/>
    <w:pPr>
      <w:keepNext w:val="on"/>
      <w:keepLines w:val="on"/>
      <w:spacing w:before="40"/>
    </w:pPr>
    <w:rPr>
      <w:rFonts w:cstheme="majorBidi" w:eastAsiaTheme="majorEastAsia"/>
      <w:color w:val="595959" w:themeColor="text1" w:themeTint="a6"/>
    </w:rPr>
  </w:style>
  <w:style w:type="paragraph" w:styleId="Heading8">
    <w:name w:val="Heading 8"/>
    <w:basedOn w:val="Normal"/>
    <w:next w:val="Normal"/>
    <w:link w:val="Heading8Char"/>
    <w:uiPriority w:val="9"/>
    <w:semiHidden w:val="on"/>
    <w:unhideWhenUsed w:val="on"/>
    <w:qFormat w:val="on"/>
    <w:pPr>
      <w:keepNext w:val="on"/>
      <w:keepLines w:val="on"/>
    </w:pPr>
    <w:rPr>
      <w:rFonts w:cstheme="majorBidi" w:eastAsiaTheme="majorEastAsia"/>
      <w:i/>
      <w:iCs/>
      <w:color w:val="272727" w:themeColor="text1" w:themeTint="d8"/>
    </w:rPr>
  </w:style>
  <w:style w:type="paragraph" w:styleId="Heading9">
    <w:name w:val="Heading 9"/>
    <w:basedOn w:val="Normal"/>
    <w:next w:val="Normal"/>
    <w:link w:val="Heading9Char"/>
    <w:uiPriority w:val="9"/>
    <w:semiHidden w:val="on"/>
    <w:unhideWhenUsed w:val="on"/>
    <w:qFormat w:val="on"/>
    <w:pPr>
      <w:keepNext w:val="on"/>
      <w:keepLines w:val="on"/>
    </w:pPr>
    <w:rPr>
      <w:rFonts w:cstheme="majorBidi" w:eastAsiaTheme="majorEastAsia"/>
      <w:color w:val="272727" w:themeColor="text1" w:themeTint="d8"/>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character" w:customStyle="1" w:styleId="Heading1Char">
    <w:name w:val="Heading 1 Char"/>
    <w:basedOn w:val="DefaultParagraphFont"/>
    <w:link w:val="Heading1"/>
    <w:uiPriority w:val="9"/>
    <w:rPr>
      <w:rFonts w:asciiTheme="majorHAnsi" w:cstheme="majorBidi" w:eastAsiaTheme="majorEastAsia" w:hAnsiTheme="majorHAnsi"/>
      <w:color w:val="104760" w:themeColor="accent1" w:themeShade="bf"/>
      <w:sz w:val="40"/>
      <w:szCs w:val="40"/>
    </w:rPr>
  </w:style>
  <w:style w:type="character" w:customStyle="1" w:styleId="Heading2Char">
    <w:name w:val="Heading 2 Char"/>
    <w:basedOn w:val="DefaultParagraphFont"/>
    <w:link w:val="Heading2"/>
    <w:uiPriority w:val="99"/>
    <w:rPr>
      <w:rFonts w:asciiTheme="majorHAnsi" w:cstheme="majorBidi" w:eastAsiaTheme="majorEastAsia" w:hAnsiTheme="majorHAnsi"/>
      <w:color w:val="104760" w:themeColor="accent1" w:themeShade="bf"/>
      <w:sz w:val="32"/>
      <w:szCs w:val="32"/>
    </w:rPr>
  </w:style>
  <w:style w:type="character" w:customStyle="1" w:styleId="Heading3Char">
    <w:name w:val="Heading 3 Char"/>
    <w:basedOn w:val="DefaultParagraphFont"/>
    <w:link w:val="Heading3"/>
    <w:uiPriority w:val="99"/>
    <w:rPr>
      <w:rFonts w:cstheme="majorBidi" w:eastAsiaTheme="majorEastAsia"/>
      <w:color w:val="104760" w:themeColor="accent1" w:themeShade="bf"/>
      <w:sz w:val="28"/>
      <w:szCs w:val="28"/>
    </w:rPr>
  </w:style>
  <w:style w:type="character" w:customStyle="1" w:styleId="Heading4Char">
    <w:name w:val="Heading 4 Char"/>
    <w:basedOn w:val="DefaultParagraphFont"/>
    <w:link w:val="Heading4"/>
    <w:uiPriority w:val="9"/>
    <w:semiHidden w:val="on"/>
    <w:rPr>
      <w:rFonts w:cstheme="majorBidi" w:eastAsiaTheme="majorEastAsia"/>
      <w:i/>
      <w:iCs/>
      <w:color w:val="104760" w:themeColor="accent1" w:themeShade="bf"/>
    </w:rPr>
  </w:style>
  <w:style w:type="character" w:customStyle="1" w:styleId="Heading5Char">
    <w:name w:val="Heading 5 Char"/>
    <w:basedOn w:val="DefaultParagraphFont"/>
    <w:link w:val="Heading5"/>
    <w:uiPriority w:val="9"/>
    <w:semiHidden w:val="on"/>
    <w:rPr>
      <w:rFonts w:cstheme="majorBidi" w:eastAsiaTheme="majorEastAsia"/>
      <w:color w:val="104760" w:themeColor="accent1" w:themeShade="bf"/>
    </w:rPr>
  </w:style>
  <w:style w:type="character" w:customStyle="1" w:styleId="Heading6Char">
    <w:name w:val="Heading 6 Char"/>
    <w:basedOn w:val="DefaultParagraphFont"/>
    <w:link w:val="Heading6"/>
    <w:uiPriority w:val="9"/>
    <w:semiHidden w:val="on"/>
    <w:rPr>
      <w:rFonts w:cstheme="majorBidi" w:eastAsiaTheme="majorEastAsia"/>
      <w:i/>
      <w:iCs/>
      <w:color w:val="595959" w:themeColor="text1" w:themeTint="a6"/>
    </w:rPr>
  </w:style>
  <w:style w:type="character" w:customStyle="1" w:styleId="Heading7Char">
    <w:name w:val="Heading 7 Char"/>
    <w:basedOn w:val="DefaultParagraphFont"/>
    <w:link w:val="Heading7"/>
    <w:uiPriority w:val="9"/>
    <w:semiHidden w:val="on"/>
    <w:rPr>
      <w:rFonts w:cstheme="majorBidi" w:eastAsiaTheme="majorEastAsia"/>
      <w:color w:val="595959" w:themeColor="text1" w:themeTint="a6"/>
    </w:rPr>
  </w:style>
  <w:style w:type="character" w:customStyle="1" w:styleId="Heading8Char">
    <w:name w:val="Heading 8 Char"/>
    <w:basedOn w:val="DefaultParagraphFont"/>
    <w:link w:val="Heading8"/>
    <w:uiPriority w:val="9"/>
    <w:semiHidden w:val="on"/>
    <w:rPr>
      <w:rFonts w:cstheme="majorBidi" w:eastAsiaTheme="majorEastAsia"/>
      <w:i/>
      <w:iCs/>
      <w:color w:val="272727" w:themeColor="text1" w:themeTint="d8"/>
    </w:rPr>
  </w:style>
  <w:style w:type="character" w:customStyle="1" w:styleId="Heading9Char">
    <w:name w:val="Heading 9 Char"/>
    <w:basedOn w:val="DefaultParagraphFont"/>
    <w:link w:val="Heading9"/>
    <w:uiPriority w:val="9"/>
    <w:semiHidden w:val="on"/>
    <w:rPr>
      <w:rFonts w:cstheme="majorBidi" w:eastAsiaTheme="majorEastAsia"/>
      <w:color w:val="272727" w:themeColor="text1" w:themeTint="d8"/>
    </w:rPr>
  </w:style>
  <w:style w:type="paragraph" w:styleId="Title">
    <w:name w:val="Title"/>
    <w:basedOn w:val="Normal"/>
    <w:next w:val="Normal"/>
    <w:link w:val="TitleChar"/>
    <w:uiPriority w:val="10"/>
    <w:qFormat w:val="on"/>
    <w:pPr>
      <w:spacing w:after="80" w:line="240" w:lineRule="auto"/>
      <w:contextualSpacing w:val="on"/>
    </w:pPr>
    <w:rPr>
      <w:rFonts w:asciiTheme="majorHAnsi" w:cstheme="majorBidi" w:eastAsiaTheme="majorEastAsia" w:hAnsiTheme="majorHAnsi"/>
      <w:spacing w:val="-10"/>
      <w:sz w:val="56"/>
      <w:szCs w:val="56"/>
    </w:rPr>
  </w:style>
  <w:style w:type="character" w:customStyle="1" w:styleId="TitleChar">
    <w:name w:val="Title Char"/>
    <w:basedOn w:val="DefaultParagraphFont"/>
    <w:link w:val="Title"/>
    <w:uiPriority w:val="10"/>
    <w:rPr>
      <w:rFonts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val="on"/>
    <w:pPr/>
    <w:rPr>
      <w:rFonts w:cstheme="majorBidi"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Pr>
      <w:rFont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val="on"/>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val="on"/>
    <w:pPr>
      <w:ind w:left="720"/>
      <w:contextualSpacing w:val="on"/>
    </w:pPr>
  </w:style>
  <w:style w:type="character" w:styleId="IntenseEmphasis">
    <w:name w:val="Intense Emphasis"/>
    <w:basedOn w:val="DefaultParagraphFont"/>
    <w:uiPriority w:val="21"/>
    <w:qFormat w:val="on"/>
    <w:rPr>
      <w:i/>
      <w:iCs/>
      <w:color w:val="104760" w:themeColor="accent1" w:themeShade="bf"/>
    </w:rPr>
  </w:style>
  <w:style w:type="paragraph" w:styleId="IntenseQuote">
    <w:name w:val="Intense Quote"/>
    <w:basedOn w:val="Normal"/>
    <w:next w:val="Normal"/>
    <w:link w:val="IntenseQuoteChar"/>
    <w:uiPriority w:val="30"/>
    <w:qFormat w:val="on"/>
    <w:pPr>
      <w:pBdr>
        <w:top w:val="single" w:color="104760" w:themeColor="accent1" w:themeShade="bf" w:sz="4" w:space="10"/>
        <w:bottom w:val="single" w:color="104760" w:themeColor="accent1" w:themeShade="bf" w:sz="4" w:space="10"/>
      </w:pBdr>
      <w:spacing w:before="360" w:after="360"/>
      <w:ind w:left="864" w:right="864"/>
      <w:jc w:val="center"/>
    </w:pPr>
    <w:rPr>
      <w:i/>
      <w:iCs/>
      <w:color w:val="104760" w:themeColor="accent1" w:themeShade="bf"/>
    </w:rPr>
  </w:style>
  <w:style w:type="character" w:customStyle="1" w:styleId="IntenseQuoteChar">
    <w:name w:val="Intense Quote Char"/>
    <w:basedOn w:val="DefaultParagraphFont"/>
    <w:link w:val="IntenseQuote"/>
    <w:uiPriority w:val="30"/>
    <w:rPr>
      <w:i/>
      <w:iCs/>
      <w:color w:val="104760" w:themeColor="accent1" w:themeShade="bf"/>
    </w:rPr>
  </w:style>
  <w:style w:type="character" w:styleId="IntenseReference">
    <w:name w:val="Intense Reference"/>
    <w:basedOn w:val="DefaultParagraphFont"/>
    <w:uiPriority w:val="32"/>
    <w:qFormat w:val="on"/>
    <w:rPr>
      <w:b/>
      <w:bCs/>
      <w:smallCaps/>
      <w:color w:val="104760" w:themeColor="accent1" w:themeShade="bf"/>
      <w:spacing w:val="5"/>
    </w:rPr>
  </w:style>
  <w:style w:type="paragraph" w:styleId="Header">
    <w:name w:val="Header"/>
    <w:basedOn w:val="Normal"/>
    <w:link w:val="HeaderChar"/>
    <w:uiPriority w:val="99"/>
    <w:unhideWhenUsed w:val="on"/>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NormalTable"/>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val="on"/>
    <w:rPr>
      <w:color w:val="666666"/>
    </w:rPr>
  </w:style>
  <w:style w:type="table" w:customStyle="1" w:styleId="TableGrid1">
    <w:name w:val="TableGrid"/>
    <w:uiPriority w:val="99"/>
    <w:pPr>
      <w:spacing w:line="240" w:lineRule="auto"/>
    </w:pPr>
    <w:rPr>
      <w:rFonts w:eastAsiaTheme="minorEastAsia"/>
      <w:sz w:val="24"/>
      <w:szCs w:val="24"/>
      <w:lang w:eastAsia="en-GB"/>
    </w:rPr>
    <w:tblPr>
      <w:tblCellMar>
        <w:top w:w="0" w:type="dxa"/>
        <w:left w:w="0" w:type="dxa"/>
        <w:bottom w:w="0" w:type="dxa"/>
        <w:right w:w="0" w:type="dxa"/>
      </w:tblCellMar>
    </w:tblPr>
  </w:style>
  <w:style w:type="paragraph" w:styleId="Normal(Web)">
    <w:name w:val="Normal (Web)"/>
    <w:basedOn w:val="Normal"/>
    <w:uiPriority w:val="99"/>
    <w:semiHidden w:val="on"/>
    <w:unhideWhenUsed w:val="on"/>
    <w:pPr>
      <w:spacing w:before="100" w:after="100" w:line="240" w:lineRule="auto"/>
    </w:pPr>
    <w:rPr>
      <w:rFonts w:ascii="Times New Roman" w:cs="Times New Roman" w:eastAsia="Times New Roman" w:hAnsi="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10" Type="http://schemas.openxmlformats.org/officeDocument/2006/relationships/theme" Target="theme/theme1.xml"/><Relationship Id="rId11" Type="http://schemas.openxmlformats.org/officeDocument/2006/relationships/header" Target="header1.xml"/><Relationship Id="rId12" Type="http://schemas.openxmlformats.org/officeDocument/2006/relationships/footer" Target="footer1.xml"/><Relationship Id="rId2" Type="http://schemas.openxmlformats.org/officeDocument/2006/relationships/styles" Target="styles.xml"/><Relationship Id="rId3" Type="http://schemas.openxmlformats.org/officeDocument/2006/relationships/settings" Target="settings.xml"/><Relationship Id="rId5" Type="http://schemas.openxmlformats.org/officeDocument/2006/relationships/footnotes" Target="footnotes.xml"/><Relationship Id="rId6" Type="http://schemas.openxmlformats.org/officeDocument/2006/relationships/endnotes" Target="endnotes.xml"/><Relationship Id="rId9" Type="http://schemas.openxmlformats.org/officeDocument/2006/relationships/fontTable" Target="fontTable.xml"/><Relationship Id="rId4" Type="http://schemas.openxmlformats.org/officeDocument/2006/relationships/webSettings" Target="webSettings.xml"/></Relationships>
</file>

<file path=word/_rels/endnotes.xml.rels><?xml version="1.0" encoding="UTF-8" standalone="yes"?>
<Relationships xmlns="http://schemas.openxmlformats.org/package/2006/relationships"></Relationships>
</file>

<file path=word/_rels/footer1.xml.rels><?xml version="1.0" encoding="UTF-8" standalone="yes"?>
<Relationships xmlns="http://schemas.openxmlformats.org/package/2006/relationships"><Relationship Id="rId10" Type="http://schemas.openxmlformats.org/officeDocument/2006/relationships/image" Target="media/image11.png"/><Relationship Id="rId11" Type="http://schemas.openxmlformats.org/officeDocument/2006/relationships/image" Target="media/image12.png"/><Relationship Id="rId12" Type="http://schemas.openxmlformats.org/officeDocument/2006/relationships/image" Target="media/image13.png"/><Relationship Id="rId13" Type="http://schemas.openxmlformats.org/officeDocument/2006/relationships/image" Target="media/image14.png"/><Relationship Id="rId14" Type="http://schemas.openxmlformats.org/officeDocument/2006/relationships/image" Target="media/image15.jpeg"/><Relationship Id="rId15" Type="http://schemas.openxmlformats.org/officeDocument/2006/relationships/image" Target="media/image16.jpeg"/><Relationship Id="rId16" Type="http://schemas.openxmlformats.org/officeDocument/2006/relationships/image" Target="media/image17.jpe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9" Type="http://schemas.openxmlformats.org/officeDocument/2006/relationships/image" Target="media/image10.png"/></Relationships>
</file>

<file path=word/_rels/footnotes.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Aptos" panose="0211000402020202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15</Pages>
  <Words>4116</Words>
  <Characters>24782</Characters>
  <Application>Microsoft Office Word</Application>
  <DocSecurity>0</DocSecurity>
  <Lines>6195</Lines>
  <Paragraphs>2627</Paragraphs>
  <ScaleCrop>false</ScaleCrop>
  <Company/>
  <LinksUpToDate>false</LinksUpToDate>
  <CharactersWithSpaces>26271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 Geary</dc:creator>
  <cp:lastModifiedBy>MUSADDIQ ATIQUE</cp:lastModifiedBy>
</cp:coreProperties>
</file>