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r>
        <w:rPr>
          <w:rFonts w:ascii="Arial" w:cs="Arial" w:eastAsia="Arial" w:hAnsi="Arial"/>
          <w:b/>
          <w:bCs/>
          <w:color w:val="1F4E79"/>
          <w:sz w:val="56"/>
          <w:szCs w:val="56"/>
        </w:rPr>
        <w:t xml:space="preserve">GOWARs vs. Decwar</w:t>
      </w:r>
    </w:p>
    <w:p>
      <w:pPr>
        <w:spacing w:before="0" w:after="200"/>
      </w:pPr>
      <w:r>
        <w:rPr>
          <w:rFonts w:ascii="Arial" w:cs="Arial" w:eastAsia="Arial" w:hAnsi="Arial"/>
          <w:b w:val="false"/>
          <w:bCs w:val="false"/>
          <w:color w:val="2E75B6"/>
          <w:sz w:val="36"/>
          <w:szCs w:val="36"/>
        </w:rPr>
        <w:t xml:space="preserve">Code Comparison &amp; Analysis Report</w:t>
      </w:r>
    </w:p>
    <w:p>
      <w:pPr>
        <w:pBdr>
          <w:bottom w:val="single" w:color="DDDDDD" w:sz="4" w:space="1"/>
        </w:pBdr>
        <w:spacing w:before="60" w:after="60"/>
      </w:pPr>
    </w:p>
    <w:p>
      <w:pPr>
        <w:spacing w:before="120" w:after="600"/>
      </w:pPr>
      <w:r>
        <w:rPr>
          <w:rFonts w:ascii="Arial" w:cs="Arial" w:eastAsia="Arial" w:hAnsi="Arial"/>
          <w:i/>
          <w:iCs/>
          <w:color w:val="555555"/>
          <w:sz w:val="22"/>
          <w:szCs w:val="22"/>
        </w:rPr>
        <w:t xml:space="preserve">Modern Go reimplementation versus original PDP-10 Decwar — a multi-generational codebase review</w:t>
      </w:r>
    </w:p>
    <w:p>
      <w:pPr>
        <w:spacing w:before="200" w:after="0"/>
      </w:pPr>
      <w:r>
        <w:rPr>
          <w:rFonts w:ascii="Arial" w:cs="Arial" w:eastAsia="Arial" w:hAnsi="Arial"/>
          <w:color w:val="777777"/>
          <w:sz w:val="20"/>
          <w:szCs w:val="20"/>
        </w:rPr>
        <w:t xml:space="preserve">Date: February 22, 2026     |     Prepared by: Code Analysis Engine</w:t>
      </w:r>
    </w:p>
    <w:p>
      <w:r>
        <w:br w:type="page"/>
      </w:r>
    </w:p>
    <w:p>
      <w:pPr>
        <w:pStyle w:val="Heading1"/>
        <w:spacing w:before="320" w:after="160"/>
      </w:pPr>
      <w:r>
        <w:rPr>
          <w:rFonts w:ascii="Arial" w:cs="Arial" w:eastAsia="Arial" w:hAnsi="Arial"/>
          <w:b/>
          <w:bCs/>
          <w:color w:val="1F4E79"/>
          <w:sz w:val="32"/>
          <w:szCs w:val="32"/>
        </w:rPr>
        <w:t xml:space="preserve">1. Executive Summary</w:t>
      </w:r>
    </w:p>
    <w:p>
      <w:pPr>
        <w:spacing w:before="60" w:after="100"/>
      </w:pPr>
      <w:r>
        <w:rPr>
          <w:rFonts w:ascii="Arial" w:cs="Arial" w:eastAsia="Arial" w:hAnsi="Arial"/>
          <w:color w:val="1A1A1A"/>
          <w:sz w:val="22"/>
          <w:szCs w:val="22"/>
        </w:rPr>
        <w:t xml:space="preserve">GOWARs (gowars.go) is a full, ground-up reimplementation of the classic PDP-10 multiplayer space-combat game Decwar, written in modern Go (as of version 0.9.9, dated 22-Feb-26). Decwar (hsn.txt) is the original reference implementation, dating to 1979 and developed at The University of Texas Computation Center. The original is written in a combination of FORTRAN-77 and PDP-10 MACRO assembly language, and was designed to run on TOPS-10 and similar DEC systems. These two codebases share the same gameplay domain — star-trek-style multiplayer space strategy — but could not be further apart in language, architecture, or era.</w:t>
      </w:r>
    </w:p>
    <w:p>
      <w:pPr>
        <w:spacing w:before="60" w:after="100"/>
      </w:pPr>
      <w:r>
        <w:rPr>
          <w:rFonts w:ascii="Arial" w:cs="Arial" w:eastAsia="Arial" w:hAnsi="Arial"/>
          <w:color w:val="1A1A1A"/>
          <w:sz w:val="22"/>
          <w:szCs w:val="22"/>
        </w:rPr>
        <w:t xml:space="preserve">From a functionality standpoint, GOWARs is both a faithful emulation of Decwar's command set and an expansion of it. All of the core commands found in Decwar's grammar definition file (BASES, CAPTURE, DOCK, ENERGY, IMPULSE, MOVE, PHASERS, TORPEDOES, SHIELDS, TRACTOR, SCAN, SRSCAN, REPAIR, RADIO, TARGETS, and so on) have been re-implemented in Go, with an additional WebSocket-based 'God view,' an admin command suite, a per-connection baud-rate emulation layer, and a concurrent multi-galaxy architecture that the original could never have supported. The version comment log embedded in gowars.go traces a development arc from 0.4.6 through 0.9.9, covering well over 50 distinct milestones.</w:t>
      </w:r>
    </w:p>
    <w:p>
      <w:pPr>
        <w:spacing w:before="60" w:after="100"/>
      </w:pPr>
      <w:r>
        <w:rPr>
          <w:rFonts w:ascii="Arial" w:cs="Arial" w:eastAsia="Arial" w:hAnsi="Arial"/>
          <w:color w:val="1A1A1A"/>
          <w:sz w:val="22"/>
          <w:szCs w:val="22"/>
        </w:rPr>
        <w:t xml:space="preserve">In terms of architecture, GOWARs is markedly stronger than Decwar. The original uses shared memory segments, FORTRAN common blocks, and hand-crafted assembly-level locking primitives (the WRED./WWRT./WAIT. routines in hsn.txt) to manage concurrency across what is effectively a single shared process. GOWARs replaces this with Go's native concurrency primitives — goroutines, channels, sync.Map, sync.Mutex, and atomic operations — and adds a two-tier command routing system that separates read-only queries from game-state-changing commands. The result is a system that scales horizontally per galaxy and degrades gracefully under load.</w:t>
      </w:r>
    </w:p>
    <w:p>
      <w:pPr>
        <w:spacing w:before="60" w:after="100"/>
      </w:pPr>
      <w:r>
        <w:rPr>
          <w:rFonts w:ascii="Arial" w:cs="Arial" w:eastAsia="Arial" w:hAnsi="Arial"/>
          <w:color w:val="1A1A1A"/>
          <w:sz w:val="22"/>
          <w:szCs w:val="22"/>
        </w:rPr>
        <w:t xml:space="preserve">The primary weaknesses of GOWARs are scale and completion. At 20,000+ lines in a single .go file, the codebase is monolithic and increasingly difficult to navigate and test in isolation. Several commands are still listed as 'in process' or needing formatting work in the embedded status table. Decwar, while ancient and platform-specific to a fault, has the advantage of decades of battle-testing and a complete, coherent feature set (for its era). The recommendation is straightforward: GOWARs is the clear choice for any modern deployment. Refactoring the single-file monolith into packages and completing the outstanding command implementations should be the next engineering priorities.</w:t>
      </w:r>
    </w:p>
    <w:p>
      <w:pPr>
        <w:pBdr>
          <w:bottom w:val="single" w:color="DDDDDD" w:sz="4" w:space="1"/>
        </w:pBdr>
        <w:spacing w:before="60" w:after="60"/>
      </w:pPr>
    </w:p>
    <w:p>
      <w:pPr>
        <w:pStyle w:val="Heading1"/>
        <w:spacing w:before="320" w:after="160"/>
      </w:pPr>
      <w:r>
        <w:rPr>
          <w:rFonts w:ascii="Arial" w:cs="Arial" w:eastAsia="Arial" w:hAnsi="Arial"/>
          <w:b/>
          <w:bCs/>
          <w:color w:val="1F4E79"/>
          <w:sz w:val="32"/>
          <w:szCs w:val="32"/>
        </w:rPr>
        <w:t xml:space="preserve">2. Detailed Report</w:t>
      </w:r>
    </w:p>
    <w:p>
      <w:pPr>
        <w:pStyle w:val="Heading2"/>
        <w:pBdr>
          <w:bottom w:val="single" w:color="2E75B6" w:sz="4" w:space="1"/>
        </w:pBdr>
        <w:spacing w:before="240" w:after="120"/>
      </w:pPr>
      <w:r>
        <w:rPr>
          <w:rFonts w:ascii="Arial" w:cs="Arial" w:eastAsia="Arial" w:hAnsi="Arial"/>
          <w:b/>
          <w:bCs/>
          <w:color w:val="2E75B6"/>
          <w:sz w:val="26"/>
          <w:szCs w:val="26"/>
        </w:rPr>
        <w:t xml:space="preserve">2.1 Functionality</w:t>
      </w:r>
    </w:p>
    <w:p>
      <w:pPr>
        <w:spacing w:before="200" w:after="80"/>
      </w:pPr>
      <w:r>
        <w:rPr>
          <w:rFonts w:ascii="Arial" w:cs="Arial" w:eastAsia="Arial" w:hAnsi="Arial"/>
          <w:b/>
          <w:bCs/>
          <w:color w:val="444444"/>
          <w:sz w:val="24"/>
          <w:szCs w:val="24"/>
        </w:rPr>
        <w:t xml:space="preserve">Command Set Coverage</w:t>
      </w:r>
    </w:p>
    <w:p>
      <w:pPr>
        <w:spacing w:before="60" w:after="100"/>
      </w:pPr>
      <w:r>
        <w:rPr>
          <w:rFonts w:ascii="Arial" w:cs="Arial" w:eastAsia="Arial" w:hAnsi="Arial"/>
          <w:color w:val="1A1A1A"/>
          <w:sz w:val="22"/>
          <w:szCs w:val="22"/>
        </w:rPr>
        <w:t xml:space="preserve">The command grammar file in hsn.txt defines the canonical Decwar command set using a structured ASCII tree notation. Each entry such as MO.CMD for MOVE or TO.CMD for TORPEDOES defines the legal sub-command tree that the original parser accepted. GOWARs replicates all of these. The Go source defines a gameStateCommands map and a separate gameStateSetParams map, and routes each command accordingly:</w:t>
      </w:r>
    </w:p>
    <w:p>
      <w:pPr>
        <w:shd w:fill="F5F5F5" w:val="clear"/>
        <w:spacing w:before="60" w:after="60"/>
        <w:ind w:left="360"/>
      </w:pPr>
      <w:r>
        <w:rPr>
          <w:rFonts w:ascii="Courier New" w:cs="Courier New" w:eastAsia="Courier New" w:hAnsi="Courier New"/>
          <w:color w:val="333333"/>
          <w:sz w:val="19"/>
          <w:szCs w:val="19"/>
        </w:rPr>
        <w:t xml:space="preserve">var gameStateCommands = map[string]bool{</w:t>
      </w:r>
    </w:p>
    <w:p>
      <w:pPr>
        <w:shd w:fill="F5F5F5" w:val="clear"/>
        <w:spacing w:before="60" w:after="60"/>
        <w:ind w:left="360"/>
      </w:pPr>
      <w:r>
        <w:rPr>
          <w:rFonts w:ascii="Courier New" w:cs="Courier New" w:eastAsia="Courier New" w:hAnsi="Courier New"/>
          <w:color w:val="333333"/>
          <w:sz w:val="19"/>
          <w:szCs w:val="19"/>
        </w:rPr>
        <w:t xml:space="preserve">    "move": true, "phasers": true, "torpedoes": true, "capture": true,</w:t>
      </w:r>
    </w:p>
    <w:p>
      <w:pPr>
        <w:shd w:fill="F5F5F5" w:val="clear"/>
        <w:spacing w:before="60" w:after="60"/>
        <w:ind w:left="360"/>
      </w:pPr>
      <w:r>
        <w:rPr>
          <w:rFonts w:ascii="Courier New" w:cs="Courier New" w:eastAsia="Courier New" w:hAnsi="Courier New"/>
          <w:color w:val="333333"/>
          <w:sz w:val="19"/>
          <w:szCs w:val="19"/>
        </w:rPr>
        <w:t xml:space="preserve">    "build": true, "dock": true, "energy": true, "impulse": true, ...</w:t>
      </w:r>
    </w:p>
    <w:p>
      <w:pPr>
        <w:shd w:fill="F5F5F5" w:val="clear"/>
        <w:spacing w:before="60" w:after="60"/>
        <w:ind w:left="360"/>
      </w:pPr>
      <w:r>
        <w:rPr>
          <w:rFonts w:ascii="Courier New" w:cs="Courier New" w:eastAsia="Courier New" w:hAnsi="Courier New"/>
          <w:color w:val="333333"/>
          <w:sz w:val="19"/>
          <w:szCs w:val="19"/>
        </w:rPr>
        <w:t xml:space="preserve">}</w:t>
      </w:r>
    </w:p>
    <w:p>
      <w:pPr>
        <w:spacing w:before="60" w:after="100"/>
      </w:pPr>
      <w:r>
        <w:rPr>
          <w:rFonts w:ascii="Arial" w:cs="Arial" w:eastAsia="Arial" w:hAnsi="Arial"/>
          <w:color w:val="1A1A1A"/>
          <w:sz w:val="22"/>
          <w:szCs w:val="22"/>
        </w:rPr>
        <w:t xml:space="preserve">The status table at the top of gowars.go confirms full or near-full implementation of: ADMIN, BASES, CAPTURE, DAMAGES, DOCK, ENERGY, GRIPE, HELP, IMPULSE, LIST, MOVE, NEWS, PHASERS, PLANETS, QUIT, RADIO, REPAIR, SCAN, SET, SHIELDS, SRSCAN, STATUS, SUMMARY, TARGETS, TELL, TIME, TORPEDOES, TRACTOR, TYPE, USERS, and robot/Romulan AI support.</w:t>
      </w:r>
    </w:p>
    <w:p>
      <w:pPr>
        <w:spacing w:before="200" w:after="80"/>
      </w:pPr>
      <w:r>
        <w:rPr>
          <w:rFonts w:ascii="Arial" w:cs="Arial" w:eastAsia="Arial" w:hAnsi="Arial"/>
          <w:b/>
          <w:bCs/>
          <w:color w:val="444444"/>
          <w:sz w:val="24"/>
          <w:szCs w:val="24"/>
        </w:rPr>
        <w:t xml:space="preserve">Features Present in GOWARs but Absent from Decwar</w:t>
      </w:r>
    </w:p>
    <w:p>
      <w:pPr>
        <w:pStyle w:val="ListParagraph"/>
        <w:numPr>
          <w:ilvl w:val="0"/>
          <w:numId w:val="2"/>
        </w:numPr>
        <w:spacing w:before="40" w:after="40"/>
      </w:pPr>
      <w:r>
        <w:rPr>
          <w:rFonts w:ascii="Arial" w:cs="Arial" w:eastAsia="Arial" w:hAnsi="Arial"/>
          <w:color w:val="1A1A1A"/>
          <w:sz w:val="22"/>
          <w:szCs w:val="22"/>
        </w:rPr>
        <w:t xml:space="preserve">WebSocket-based 'God view' for server operators (0.9.3)</w:t>
      </w:r>
    </w:p>
    <w:p>
      <w:pPr>
        <w:pStyle w:val="ListParagraph"/>
        <w:numPr>
          <w:ilvl w:val="0"/>
          <w:numId w:val="2"/>
        </w:numPr>
        <w:spacing w:before="40" w:after="40"/>
      </w:pPr>
      <w:r>
        <w:rPr>
          <w:rFonts w:ascii="Arial" w:cs="Arial" w:eastAsia="Arial" w:hAnsi="Arial"/>
          <w:color w:val="1A1A1A"/>
          <w:sz w:val="22"/>
          <w:szCs w:val="22"/>
        </w:rPr>
        <w:t xml:space="preserve">Per-ship CommandQueue with context cancellation and baud-rate delay emulation</w:t>
      </w:r>
    </w:p>
    <w:p>
      <w:pPr>
        <w:pStyle w:val="ListParagraph"/>
        <w:numPr>
          <w:ilvl w:val="0"/>
          <w:numId w:val="2"/>
        </w:numPr>
        <w:spacing w:before="40" w:after="40"/>
      </w:pPr>
      <w:r>
        <w:rPr>
          <w:rFonts w:ascii="Arial" w:cs="Arial" w:eastAsia="Arial" w:hAnsi="Arial"/>
          <w:color w:val="1A1A1A"/>
          <w:sz w:val="22"/>
          <w:szCs w:val="22"/>
        </w:rPr>
        <w:t xml:space="preserve">An ADMIN command suite allowing runtime adjustment of ship stats, damage, energy, and object placement</w:t>
      </w:r>
    </w:p>
    <w:p>
      <w:pPr>
        <w:pStyle w:val="ListParagraph"/>
        <w:numPr>
          <w:ilvl w:val="0"/>
          <w:numId w:val="2"/>
        </w:numPr>
        <w:spacing w:before="40" w:after="40"/>
      </w:pPr>
      <w:r>
        <w:rPr>
          <w:rFonts w:ascii="Arial" w:cs="Arial" w:eastAsia="Arial" w:hAnsi="Arial"/>
          <w:color w:val="1A1A1A"/>
          <w:sz w:val="22"/>
          <w:szCs w:val="22"/>
        </w:rPr>
        <w:t xml:space="preserve">A multi-galaxy architecture where each galaxy is an isolated game world</w:t>
      </w:r>
    </w:p>
    <w:p>
      <w:pPr>
        <w:pStyle w:val="ListParagraph"/>
        <w:numPr>
          <w:ilvl w:val="0"/>
          <w:numId w:val="2"/>
        </w:numPr>
        <w:spacing w:before="40" w:after="40"/>
      </w:pPr>
      <w:r>
        <w:rPr>
          <w:rFonts w:ascii="Arial" w:cs="Arial" w:eastAsia="Arial" w:hAnsi="Arial"/>
          <w:color w:val="1A1A1A"/>
          <w:sz w:val="22"/>
          <w:szCs w:val="22"/>
        </w:rPr>
        <w:t xml:space="preserve">Embedded pprof profiling endpoint (net/http/pprof) for runtime performance inspection</w:t>
      </w:r>
    </w:p>
    <w:p>
      <w:pPr>
        <w:pStyle w:val="ListParagraph"/>
        <w:numPr>
          <w:ilvl w:val="0"/>
          <w:numId w:val="2"/>
        </w:numPr>
        <w:spacing w:before="40" w:after="40"/>
      </w:pPr>
      <w:r>
        <w:rPr>
          <w:rFonts w:ascii="Arial" w:cs="Arial" w:eastAsia="Arial" w:hAnsi="Arial"/>
          <w:color w:val="1A1A1A"/>
          <w:sz w:val="22"/>
          <w:szCs w:val="22"/>
        </w:rPr>
        <w:t xml:space="preserve">Cryptographically seeded random number generation via crypto/rand</w:t>
      </w:r>
    </w:p>
    <w:p>
      <w:pPr>
        <w:pStyle w:val="ListParagraph"/>
        <w:numPr>
          <w:ilvl w:val="0"/>
          <w:numId w:val="2"/>
        </w:numPr>
        <w:spacing w:before="40" w:after="40"/>
      </w:pPr>
      <w:r>
        <w:rPr>
          <w:rFonts w:ascii="Arial" w:cs="Arial" w:eastAsia="Arial" w:hAnsi="Arial"/>
          <w:color w:val="1A1A1A"/>
          <w:sz w:val="22"/>
          <w:szCs w:val="22"/>
        </w:rPr>
        <w:t xml:space="preserve">Destruction cooldown tracking (destroyedCooldowns) to prevent griefing respawns</w:t>
      </w:r>
    </w:p>
    <w:p>
      <w:pPr>
        <w:spacing w:before="200" w:after="80"/>
      </w:pPr>
      <w:r>
        <w:rPr>
          <w:rFonts w:ascii="Arial" w:cs="Arial" w:eastAsia="Arial" w:hAnsi="Arial"/>
          <w:b/>
          <w:bCs/>
          <w:color w:val="444444"/>
          <w:sz w:val="24"/>
          <w:szCs w:val="24"/>
        </w:rPr>
        <w:t xml:space="preserve">Features in Decwar Not Fully Mirrored</w:t>
      </w:r>
    </w:p>
    <w:p>
      <w:pPr>
        <w:pStyle w:val="ListParagraph"/>
        <w:numPr>
          <w:ilvl w:val="0"/>
          <w:numId w:val="2"/>
        </w:numPr>
        <w:spacing w:before="40" w:after="40"/>
      </w:pPr>
      <w:r>
        <w:rPr>
          <w:rFonts w:ascii="Arial" w:cs="Arial" w:eastAsia="Arial" w:hAnsi="Arial"/>
          <w:color w:val="1A1A1A"/>
          <w:sz w:val="22"/>
          <w:szCs w:val="22"/>
        </w:rPr>
        <w:t xml:space="preserve">The DEFINE command (group management) from Decwar's DE.CMD is not listed as complete in GOWARs' status table.</w:t>
      </w:r>
    </w:p>
    <w:p>
      <w:pPr>
        <w:pStyle w:val="ListParagraph"/>
        <w:numPr>
          <w:ilvl w:val="0"/>
          <w:numId w:val="2"/>
        </w:numPr>
        <w:spacing w:before="40" w:after="40"/>
      </w:pPr>
      <w:r>
        <w:rPr>
          <w:rFonts w:ascii="Arial" w:cs="Arial" w:eastAsia="Arial" w:hAnsi="Arial"/>
          <w:color w:val="1A1A1A"/>
          <w:sz w:val="22"/>
          <w:szCs w:val="22"/>
        </w:rPr>
        <w:t xml:space="preserve">The POINTS command (PO.CMD) with federation/klingon/empire breakdowns has no explicit 'Done' marker.</w:t>
      </w:r>
    </w:p>
    <w:p>
      <w:pPr>
        <w:pStyle w:val="ListParagraph"/>
        <w:numPr>
          <w:ilvl w:val="0"/>
          <w:numId w:val="2"/>
        </w:numPr>
        <w:spacing w:before="40" w:after="40"/>
      </w:pPr>
      <w:r>
        <w:rPr>
          <w:rFonts w:ascii="Arial" w:cs="Arial" w:eastAsia="Arial" w:hAnsi="Arial"/>
          <w:color w:val="1A1A1A"/>
          <w:sz w:val="22"/>
          <w:szCs w:val="22"/>
        </w:rPr>
        <w:t xml:space="preserve">The SEND TO command (SE.CMD) with group messaging is partially addressed by RADIO/TELL but the full group abstraction is not confirmed.</w:t>
      </w:r>
    </w:p>
    <w:p>
      <w:pPr>
        <w:pStyle w:val="ListParagraph"/>
        <w:numPr>
          <w:ilvl w:val="0"/>
          <w:numId w:val="2"/>
        </w:numPr>
        <w:spacing w:before="40" w:after="40"/>
      </w:pPr>
      <w:r>
        <w:rPr>
          <w:rFonts w:ascii="Arial" w:cs="Arial" w:eastAsia="Arial" w:hAnsi="Arial"/>
          <w:color w:val="1A1A1A"/>
          <w:sz w:val="22"/>
          <w:szCs w:val="22"/>
        </w:rPr>
        <w:t xml:space="preserve">Decwar's TERMINATE (TE.CMD) is distinct from QUIT — its precise mapping in GOWARs is ambiguous.</w:t>
      </w:r>
    </w:p>
    <w:p>
      <w:pPr>
        <w:spacing w:before="120" w:after="120"/>
      </w:pPr>
    </w:p>
    <w:p>
      <w:pPr>
        <w:pStyle w:val="Heading2"/>
        <w:pBdr>
          <w:bottom w:val="single" w:color="2E75B6" w:sz="4" w:space="1"/>
        </w:pBdr>
        <w:spacing w:before="240" w:after="120"/>
      </w:pPr>
      <w:r>
        <w:rPr>
          <w:rFonts w:ascii="Arial" w:cs="Arial" w:eastAsia="Arial" w:hAnsi="Arial"/>
          <w:b/>
          <w:bCs/>
          <w:color w:val="2E75B6"/>
          <w:sz w:val="26"/>
          <w:szCs w:val="26"/>
        </w:rPr>
        <w:t xml:space="preserve">2.2 Efficiency</w:t>
      </w:r>
    </w:p>
    <w:p>
      <w:pPr>
        <w:spacing w:before="200" w:after="80"/>
      </w:pPr>
      <w:r>
        <w:rPr>
          <w:rFonts w:ascii="Arial" w:cs="Arial" w:eastAsia="Arial" w:hAnsi="Arial"/>
          <w:b/>
          <w:bCs/>
          <w:color w:val="444444"/>
          <w:sz w:val="24"/>
          <w:szCs w:val="24"/>
        </w:rPr>
        <w:t xml:space="preserve">Concurrency and Throughput</w:t>
      </w:r>
    </w:p>
    <w:p>
      <w:pPr>
        <w:spacing w:before="60" w:after="100"/>
      </w:pPr>
      <w:r>
        <w:rPr>
          <w:rFonts w:ascii="Arial" w:cs="Arial" w:eastAsia="Arial" w:hAnsi="Arial"/>
          <w:color w:val="1A1A1A"/>
          <w:sz w:val="22"/>
          <w:szCs w:val="22"/>
        </w:rPr>
        <w:t xml:space="preserve">Decwar's concurrency model is a shared-memory system using FORTRAN common blocks and PDP-10 assembly locking. The WRED./WWRT./WAIT. routines implement a simple spin-wait with hiber (sleep) loops and a hard timeout after ntry cycles. This is an adequate approach for a single-machine, few-player environment but does not scale and is vulnerable to lock timeout cascades under load.</w:t>
      </w:r>
    </w:p>
    <w:p>
      <w:pPr>
        <w:spacing w:before="60" w:after="100"/>
      </w:pPr>
      <w:r>
        <w:rPr>
          <w:rFonts w:ascii="Arial" w:cs="Arial" w:eastAsia="Arial" w:hAnsi="Arial"/>
          <w:color w:val="1A1A1A"/>
          <w:sz w:val="22"/>
          <w:szCs w:val="22"/>
        </w:rPr>
        <w:t xml:space="preserve">GOWARs uses a layered concurrency model. Read-only commands (scan, status, help, etc.) are handled by per-ship goroutines reading from a per-connection CommandQueue channel. State-changing commands are serialized through a galaxy-level StartStateEngine. This is architecturally sound: it maximises parallelism for cheap operations while protecting game state with a single serialisation point per galaxy.</w:t>
      </w:r>
    </w:p>
    <w:p>
      <w:pPr>
        <w:spacing w:before="200" w:after="80"/>
      </w:pPr>
      <w:r>
        <w:rPr>
          <w:rFonts w:ascii="Arial" w:cs="Arial" w:eastAsia="Arial" w:hAnsi="Arial"/>
          <w:b/>
          <w:bCs/>
          <w:color w:val="444444"/>
          <w:sz w:val="24"/>
          <w:szCs w:val="24"/>
        </w:rPr>
        <w:t xml:space="preserve">Time and Space Complexity</w:t>
      </w:r>
    </w:p>
    <w:p>
      <w:pPr>
        <w:spacing w:before="60" w:after="100"/>
      </w:pPr>
      <w:r>
        <w:rPr>
          <w:rFonts w:ascii="Arial" w:cs="Arial" w:eastAsia="Arial" w:hAnsi="Arial"/>
          <w:color w:val="1A1A1A"/>
          <w:sz w:val="22"/>
          <w:szCs w:val="22"/>
        </w:rPr>
        <w:t xml:space="preserve">Several hotspot patterns are visible in the Go code. The AnnounceMsg function iterates over i.objects (an O(n) slice scan) to find ships within scan range. At small player counts this is negligible, but as n grows this becomes a bottleneck. Similarly, the broadcastRomulanTaunt function calls i.connections.Range, iterating all connections to find matching recipients — again O(n) in the connection count. Neither is a problem today but both warrant indexing if the player population grows significantly.</w:t>
      </w:r>
    </w:p>
    <w:p>
      <w:pPr>
        <w:shd w:fill="F5F5F5" w:val="clear"/>
        <w:spacing w:before="60" w:after="60"/>
        <w:ind w:left="360"/>
      </w:pPr>
      <w:r>
        <w:rPr>
          <w:rFonts w:ascii="Courier New" w:cs="Courier New" w:eastAsia="Courier New" w:hAnsi="Courier New"/>
          <w:color w:val="333333"/>
          <w:sz w:val="19"/>
          <w:szCs w:val="19"/>
        </w:rPr>
        <w:t xml:space="preserve">// O(n) scan over all objects in AnnounceMsg:</w:t>
      </w:r>
    </w:p>
    <w:p>
      <w:pPr>
        <w:shd w:fill="F5F5F5" w:val="clear"/>
        <w:spacing w:before="60" w:after="60"/>
        <w:ind w:left="360"/>
      </w:pPr>
      <w:r>
        <w:rPr>
          <w:rFonts w:ascii="Courier New" w:cs="Courier New" w:eastAsia="Courier New" w:hAnsi="Courier New"/>
          <w:color w:val="333333"/>
          <w:sz w:val="19"/>
          <w:szCs w:val="19"/>
        </w:rPr>
        <w:t xml:space="preserve">for idx := range i.objects {</w:t>
      </w:r>
    </w:p>
    <w:p>
      <w:pPr>
        <w:shd w:fill="F5F5F5" w:val="clear"/>
        <w:spacing w:before="60" w:after="60"/>
        <w:ind w:left="360"/>
      </w:pPr>
      <w:r>
        <w:rPr>
          <w:rFonts w:ascii="Courier New" w:cs="Courier New" w:eastAsia="Courier New" w:hAnsi="Courier New"/>
          <w:color w:val="333333"/>
          <w:sz w:val="19"/>
          <w:szCs w:val="19"/>
        </w:rPr>
        <w:t xml:space="preserve">    obj := i.objects[idx]</w:t>
      </w:r>
    </w:p>
    <w:p>
      <w:pPr>
        <w:shd w:fill="F5F5F5" w:val="clear"/>
        <w:spacing w:before="60" w:after="60"/>
        <w:ind w:left="360"/>
      </w:pPr>
      <w:r>
        <w:rPr>
          <w:rFonts w:ascii="Courier New" w:cs="Courier New" w:eastAsia="Courier New" w:hAnsi="Courier New"/>
          <w:color w:val="333333"/>
          <w:sz w:val="19"/>
          <w:szCs w:val="19"/>
        </w:rPr>
        <w:t xml:space="preserve">    if obj.Type == "Ship" &amp;&amp; obj.Galaxy == galaxy &amp;&amp; ...</w:t>
      </w:r>
    </w:p>
    <w:p>
      <w:pPr>
        <w:spacing w:before="200" w:after="80"/>
      </w:pPr>
      <w:r>
        <w:rPr>
          <w:rFonts w:ascii="Arial" w:cs="Arial" w:eastAsia="Arial" w:hAnsi="Arial"/>
          <w:b/>
          <w:bCs/>
          <w:color w:val="444444"/>
          <w:sz w:val="24"/>
          <w:szCs w:val="24"/>
        </w:rPr>
        <w:t xml:space="preserve">Random Number Generation</w:t>
      </w:r>
    </w:p>
    <w:p>
      <w:pPr>
        <w:spacing w:before="60" w:after="100"/>
      </w:pPr>
      <w:r>
        <w:rPr>
          <w:rFonts w:ascii="Arial" w:cs="Arial" w:eastAsia="Arial" w:hAnsi="Arial"/>
          <w:color w:val="1A1A1A"/>
          <w:sz w:val="22"/>
          <w:szCs w:val="22"/>
        </w:rPr>
        <w:t xml:space="preserve">GOWARs correctly seeds its math/rand source from crypto/rand at startup. Decwar relies on whatever FORTRAN runtime RAND() provides, which on 1979 systems was typically a linear congruential generator with a fixed seed — meaning game runs could be deterministically replayed. The Go implementation is cryptographically seeded and therefore significantly more unpredictable for gameplay.</w:t>
      </w:r>
    </w:p>
    <w:p>
      <w:pPr>
        <w:spacing w:before="200" w:after="80"/>
      </w:pPr>
      <w:r>
        <w:rPr>
          <w:rFonts w:ascii="Arial" w:cs="Arial" w:eastAsia="Arial" w:hAnsi="Arial"/>
          <w:b/>
          <w:bCs/>
          <w:color w:val="444444"/>
          <w:sz w:val="24"/>
          <w:szCs w:val="24"/>
        </w:rPr>
        <w:t xml:space="preserve">Baud-Rate Emulation</w:t>
      </w:r>
    </w:p>
    <w:p>
      <w:pPr>
        <w:spacing w:before="60" w:after="100"/>
      </w:pPr>
      <w:r>
        <w:rPr>
          <w:rFonts w:ascii="Arial" w:cs="Arial" w:eastAsia="Arial" w:hAnsi="Arial"/>
          <w:color w:val="1A1A1A"/>
          <w:sz w:val="22"/>
          <w:szCs w:val="22"/>
        </w:rPr>
        <w:t xml:space="preserve">GOWARs includes deliberate output throttling (writeBaudf, DelayDuration in CommandTask) to emulate the feel of original 1200–9600 baud terminal connections. This is a charming fidelity feature that has zero impact on server performance but meaningfully affects perceived authenticity.</w:t>
      </w:r>
    </w:p>
    <w:p>
      <w:pPr>
        <w:spacing w:before="120" w:after="120"/>
      </w:pPr>
    </w:p>
    <w:p>
      <w:pPr>
        <w:pStyle w:val="Heading2"/>
        <w:pBdr>
          <w:bottom w:val="single" w:color="2E75B6" w:sz="4" w:space="1"/>
        </w:pBdr>
        <w:spacing w:before="240" w:after="120"/>
      </w:pPr>
      <w:r>
        <w:rPr>
          <w:rFonts w:ascii="Arial" w:cs="Arial" w:eastAsia="Arial" w:hAnsi="Arial"/>
          <w:b/>
          <w:bCs/>
          <w:color w:val="2E75B6"/>
          <w:sz w:val="26"/>
          <w:szCs w:val="26"/>
        </w:rPr>
        <w:t xml:space="preserve">2.3 Readability and Style</w:t>
      </w:r>
    </w:p>
    <w:p>
      <w:pPr>
        <w:spacing w:before="200" w:after="80"/>
      </w:pPr>
      <w:r>
        <w:rPr>
          <w:rFonts w:ascii="Arial" w:cs="Arial" w:eastAsia="Arial" w:hAnsi="Arial"/>
          <w:b/>
          <w:bCs/>
          <w:color w:val="444444"/>
          <w:sz w:val="24"/>
          <w:szCs w:val="24"/>
        </w:rPr>
        <w:t xml:space="preserve">GOWARs (Go)</w:t>
      </w:r>
    </w:p>
    <w:p>
      <w:pPr>
        <w:spacing w:before="60" w:after="100"/>
      </w:pPr>
      <w:r>
        <w:rPr>
          <w:rFonts w:ascii="Arial" w:cs="Arial" w:eastAsia="Arial" w:hAnsi="Arial"/>
          <w:color w:val="1A1A1A"/>
          <w:sz w:val="22"/>
          <w:szCs w:val="22"/>
        </w:rPr>
        <w:t xml:space="preserve">The Go code is generally idiomatic and well-commented at the function level. The embedded version changelog at the top of the file serves as an informal development diary and is genuinely useful for understanding the evolution of the system. The command routing architecture is clearly explained with a block comment above the routing logic:</w:t>
      </w:r>
    </w:p>
    <w:p>
      <w:pPr>
        <w:shd w:fill="E8F4FD" w:val="clear"/>
        <w:spacing w:before="100" w:after="100"/>
        <w:ind w:left="360" w:right="360"/>
      </w:pPr>
      <w:r>
        <w:rPr>
          <w:rFonts w:ascii="Arial" w:cs="Arial" w:eastAsia="Arial" w:hAnsi="Arial"/>
          <w:i/>
          <w:iCs/>
          <w:color w:val="1A1A1A"/>
          <w:sz w:val="21"/>
          <w:szCs w:val="21"/>
        </w:rPr>
        <w:t xml:space="preserve">"Game-state-changing commands (move, combat, repairs, etc.) go through StartStateEngine for atomic processing. Non-state-changing commands (help, status, scan, etc.) use per-ship processors for better performance."</w:t>
      </w:r>
    </w:p>
    <w:p>
      <w:pPr>
        <w:spacing w:before="60" w:after="100"/>
      </w:pPr>
      <w:r>
        <w:rPr>
          <w:rFonts w:ascii="Arial" w:cs="Arial" w:eastAsia="Arial" w:hAnsi="Arial"/>
          <w:color w:val="1A1A1A"/>
          <w:sz w:val="22"/>
          <w:szCs w:val="22"/>
        </w:rPr>
        <w:t xml:space="preserve">The adminHelpText constant is a good example of self-documenting design — a single source of truth that is used both in the handler and in prompts. The naming conventions are consistent (camelCase for unexported identifiers, PascalCase for exported ones, verb-noun for methods like setDestructionCooldownForConn).</w:t>
      </w:r>
    </w:p>
    <w:p>
      <w:pPr>
        <w:spacing w:before="60" w:after="100"/>
      </w:pPr>
      <w:r>
        <w:rPr>
          <w:rFonts w:ascii="Arial" w:cs="Arial" w:eastAsia="Arial" w:hAnsi="Arial"/>
          <w:color w:val="1A1A1A"/>
          <w:sz w:val="22"/>
          <w:szCs w:val="22"/>
        </w:rPr>
        <w:t xml:space="preserve">The most significant readability problem is file size. At over 20,000 lines in a single gowars.go file, any structural analysis — whether by a human or a tool — requires significant context loading. Functions are hard to discover without IDE support, and test coverage of individual command handlers would require either a test file of comparable size or breaking the package apart.</w:t>
      </w:r>
    </w:p>
    <w:p>
      <w:pPr>
        <w:spacing w:before="200" w:after="80"/>
      </w:pPr>
      <w:r>
        <w:rPr>
          <w:rFonts w:ascii="Arial" w:cs="Arial" w:eastAsia="Arial" w:hAnsi="Arial"/>
          <w:b/>
          <w:bCs/>
          <w:color w:val="444444"/>
          <w:sz w:val="24"/>
          <w:szCs w:val="24"/>
        </w:rPr>
        <w:t xml:space="preserve">Decwar (FORTRAN-77 + PDP-10 Assembly)</w:t>
      </w:r>
    </w:p>
    <w:p>
      <w:pPr>
        <w:spacing w:before="60" w:after="100"/>
      </w:pPr>
      <w:r>
        <w:rPr>
          <w:rFonts w:ascii="Arial" w:cs="Arial" w:eastAsia="Arial" w:hAnsi="Arial"/>
          <w:color w:val="1A1A1A"/>
          <w:sz w:val="22"/>
          <w:szCs w:val="22"/>
        </w:rPr>
        <w:t xml:space="preserve">The Decwar source reflects the conventions of its era. The FORTRAN subroutines use numbered statement labels (100, 200, 300) and GO TO branching rather than structured control flow. Variable names are cryptic by modern standards (KVPOS, KHPOS, KNBASE, KNPLAY) because FORTRAN-66/77 limited identifiers to six characters. The assembly sections use the classic PDP-10 calling convention (PUSHJ/POPJ with register P as the stack pointer) which is completely opaque to anyone without DEC architecture experience.</w:t>
      </w:r>
    </w:p>
    <w:p>
      <w:pPr>
        <w:spacing w:before="60" w:after="100"/>
      </w:pPr>
      <w:r>
        <w:rPr>
          <w:rFonts w:ascii="Arial" w:cs="Arial" w:eastAsia="Arial" w:hAnsi="Arial"/>
          <w:color w:val="1A1A1A"/>
          <w:sz w:val="22"/>
          <w:szCs w:val="22"/>
        </w:rPr>
        <w:t xml:space="preserve">That said, the FORTRAN code is well-commented by the standards of its time. Each subroutine has a header comment explaining its purpose, inputs, and side effects. The BASBLD and BASKIL subroutines in hsn.txt are good examples: their intent, triggering conditions, and team-logic are all clearly stated in the comments.</w:t>
      </w:r>
    </w:p>
    <w:p>
      <w:pPr>
        <w:shd w:fill="E8F9E8" w:val="clear"/>
        <w:spacing w:before="100" w:after="100"/>
        <w:ind w:left="360" w:right="360"/>
      </w:pPr>
      <w:r>
        <w:rPr>
          <w:rFonts w:ascii="Arial" w:cs="Arial" w:eastAsia="Arial" w:hAnsi="Arial"/>
          <w:i/>
          <w:iCs/>
          <w:color w:val="1A1A1A"/>
          <w:sz w:val="21"/>
          <w:szCs w:val="21"/>
        </w:rPr>
        <w:t xml:space="preserve">The command grammar file (the asciz/CMD definitions) is actually elegant — it defines the entire command tree as a human-readable indented structure that doubles as both documentation and parser input. This is a clever design for 1979.</w:t>
      </w:r>
    </w:p>
    <w:p>
      <w:pPr>
        <w:spacing w:before="120" w:after="120"/>
      </w:pPr>
    </w:p>
    <w:p>
      <w:pPr>
        <w:pStyle w:val="Heading2"/>
        <w:pBdr>
          <w:bottom w:val="single" w:color="2E75B6" w:sz="4" w:space="1"/>
        </w:pBdr>
        <w:spacing w:before="240" w:after="120"/>
      </w:pPr>
      <w:r>
        <w:rPr>
          <w:rFonts w:ascii="Arial" w:cs="Arial" w:eastAsia="Arial" w:hAnsi="Arial"/>
          <w:b/>
          <w:bCs/>
          <w:color w:val="2E75B6"/>
          <w:sz w:val="26"/>
          <w:szCs w:val="26"/>
        </w:rPr>
        <w:t xml:space="preserve">2.4 Potential Issues</w:t>
      </w:r>
    </w:p>
    <w:p>
      <w:pPr>
        <w:spacing w:before="200" w:after="80"/>
      </w:pPr>
      <w:r>
        <w:rPr>
          <w:rFonts w:ascii="Arial" w:cs="Arial" w:eastAsia="Arial" w:hAnsi="Arial"/>
          <w:b/>
          <w:bCs/>
          <w:color w:val="444444"/>
          <w:sz w:val="24"/>
          <w:szCs w:val="24"/>
        </w:rPr>
        <w:t xml:space="preserve">Monolithic File Structure</w:t>
      </w:r>
    </w:p>
    <w:p>
      <w:pPr>
        <w:spacing w:before="60" w:after="100"/>
      </w:pPr>
      <w:r>
        <w:rPr>
          <w:rFonts w:ascii="Arial" w:cs="Arial" w:eastAsia="Arial" w:hAnsi="Arial"/>
          <w:color w:val="1A1A1A"/>
          <w:sz w:val="22"/>
          <w:szCs w:val="22"/>
        </w:rPr>
        <w:t xml:space="preserve">The single-file architecture of gowars.go is the most pressing maintenance risk. Go's package system is designed to encourage modular decomposition. A natural split would be: game/ (game state, objects, galaxy), commands/ (one file per command group), network/ (TCP/WebSocket handling), and robot/ (AI routines). Without this split, adding new commands, writing unit tests, or onboarding new contributors is unnecessarily difficult.</w:t>
      </w:r>
    </w:p>
    <w:p>
      <w:pPr>
        <w:spacing w:before="200" w:after="80"/>
      </w:pPr>
      <w:r>
        <w:rPr>
          <w:rFonts w:ascii="Arial" w:cs="Arial" w:eastAsia="Arial" w:hAnsi="Arial"/>
          <w:b/>
          <w:bCs/>
          <w:color w:val="444444"/>
          <w:sz w:val="24"/>
          <w:szCs w:val="24"/>
        </w:rPr>
        <w:t xml:space="preserve">Race Conditions and Locking</w:t>
      </w:r>
    </w:p>
    <w:p>
      <w:pPr>
        <w:spacing w:before="60" w:after="100"/>
      </w:pPr>
      <w:r>
        <w:rPr>
          <w:rFonts w:ascii="Arial" w:cs="Arial" w:eastAsia="Arial" w:hAnsi="Arial"/>
          <w:color w:val="1A1A1A"/>
          <w:sz w:val="22"/>
          <w:szCs w:val="22"/>
        </w:rPr>
        <w:t xml:space="preserve">The destroyedCooldownsMutex and writerMutexs.Load pattern are correctly used, but the pattern of storing ConnectionInfo as a value type in the sync.Map means that updates to mutable fields (e.g., Ship pointer updates) require store-after-modify discipline. If any code mutates a field on a ConnectionInfo retrieved by value without storing it back, the change is silently dropped. This is a subtle but common Go concurrency bug.</w:t>
      </w:r>
    </w:p>
    <w:p>
      <w:pPr>
        <w:spacing w:before="200" w:after="80"/>
      </w:pPr>
      <w:r>
        <w:rPr>
          <w:rFonts w:ascii="Arial" w:cs="Arial" w:eastAsia="Arial" w:hAnsi="Arial"/>
          <w:b/>
          <w:bCs/>
          <w:color w:val="444444"/>
          <w:sz w:val="24"/>
          <w:szCs w:val="24"/>
        </w:rPr>
        <w:t xml:space="preserve">Error Handling in Writers</w:t>
      </w:r>
    </w:p>
    <w:p>
      <w:pPr>
        <w:spacing w:before="60" w:after="100"/>
      </w:pPr>
      <w:r>
        <w:rPr>
          <w:rFonts w:ascii="Arial" w:cs="Arial" w:eastAsia="Arial" w:hAnsi="Arial"/>
          <w:color w:val="1A1A1A"/>
          <w:sz w:val="22"/>
          <w:szCs w:val="22"/>
        </w:rPr>
        <w:t xml:space="preserve">The writeBaudf/writer.WriteString/writer.Flush pattern used throughout the broadcast functions does not check the return error from Flush. On a dropped connection, a failed flush will be silently ignored until the connection is eventually cleaned up. This can cause message loss without any log entry. All flush operations should check and log errors.</w:t>
      </w:r>
    </w:p>
    <w:p>
      <w:pPr>
        <w:spacing w:before="200" w:after="80"/>
      </w:pPr>
      <w:r>
        <w:rPr>
          <w:rFonts w:ascii="Arial" w:cs="Arial" w:eastAsia="Arial" w:hAnsi="Arial"/>
          <w:b/>
          <w:bCs/>
          <w:color w:val="444444"/>
          <w:sz w:val="24"/>
          <w:szCs w:val="24"/>
        </w:rPr>
        <w:t xml:space="preserve">HitMsg / AnnounceMsg Code Duplication</w:t>
      </w:r>
    </w:p>
    <w:p>
      <w:pPr>
        <w:spacing w:before="60" w:after="100"/>
      </w:pPr>
      <w:r>
        <w:rPr>
          <w:rFonts w:ascii="Arial" w:cs="Arial" w:eastAsia="Arial" w:hAnsi="Arial"/>
          <w:color w:val="1A1A1A"/>
          <w:sz w:val="22"/>
          <w:szCs w:val="22"/>
        </w:rPr>
        <w:t xml:space="preserve">The HitMsg and AnnounceMsg functions share nearly identical preamble logic: loading connection info, computing attacker and target indices, calculating shield percentages, determining weapon type, and constructing a CombatMessageData struct. This duplicated block (approximately 50 lines each) should be extracted into a helper function — e.g., buildCombatMessageData — that both callers invoke.</w:t>
      </w:r>
    </w:p>
    <w:p>
      <w:pPr>
        <w:shd w:fill="F5F5F5" w:val="clear"/>
        <w:spacing w:before="60" w:after="60"/>
        <w:ind w:left="360"/>
      </w:pPr>
      <w:r>
        <w:rPr>
          <w:rFonts w:ascii="Courier New" w:cs="Courier New" w:eastAsia="Courier New" w:hAnsi="Courier New"/>
          <w:color w:val="333333"/>
          <w:sz w:val="19"/>
          <w:szCs w:val="19"/>
        </w:rPr>
        <w:t xml:space="preserve">// Both HitMsg and AnnounceMsg contain this identical block:</w:t>
      </w:r>
    </w:p>
    <w:p>
      <w:pPr>
        <w:shd w:fill="F5F5F5" w:val="clear"/>
        <w:spacing w:before="60" w:after="60"/>
        <w:ind w:left="360"/>
      </w:pPr>
      <w:r>
        <w:rPr>
          <w:rFonts w:ascii="Courier New" w:cs="Courier New" w:eastAsia="Courier New" w:hAnsi="Courier New"/>
          <w:color w:val="333333"/>
          <w:sz w:val="19"/>
          <w:szCs w:val="19"/>
        </w:rPr>
        <w:t xml:space="preserve">var attackerShieldPct float64</w:t>
      </w:r>
    </w:p>
    <w:p>
      <w:pPr>
        <w:shd w:fill="F5F5F5" w:val="clear"/>
        <w:spacing w:before="60" w:after="60"/>
        <w:ind w:left="360"/>
      </w:pPr>
      <w:r>
        <w:rPr>
          <w:rFonts w:ascii="Courier New" w:cs="Courier New" w:eastAsia="Courier New" w:hAnsi="Courier New"/>
          <w:color w:val="333333"/>
          <w:sz w:val="19"/>
          <w:szCs w:val="19"/>
        </w:rPr>
        <w:t xml:space="preserve">if attacker.Shields &gt; 0 {</w:t>
      </w:r>
    </w:p>
    <w:p>
      <w:pPr>
        <w:shd w:fill="F5F5F5" w:val="clear"/>
        <w:spacing w:before="60" w:after="60"/>
        <w:ind w:left="360"/>
      </w:pPr>
      <w:r>
        <w:rPr>
          <w:rFonts w:ascii="Courier New" w:cs="Courier New" w:eastAsia="Courier New" w:hAnsi="Courier New"/>
          <w:color w:val="333333"/>
          <w:sz w:val="19"/>
          <w:szCs w:val="19"/>
        </w:rPr>
        <w:t xml:space="preserve">    attackerShieldPct = (float64(attacker.Shields) / float64(InitialShieldValue)) * 100.0</w:t>
      </w:r>
    </w:p>
    <w:p>
      <w:pPr>
        <w:shd w:fill="F5F5F5" w:val="clear"/>
        <w:spacing w:before="60" w:after="60"/>
        <w:ind w:left="360"/>
      </w:pPr>
      <w:r>
        <w:rPr>
          <w:rFonts w:ascii="Courier New" w:cs="Courier New" w:eastAsia="Courier New" w:hAnsi="Courier New"/>
          <w:color w:val="333333"/>
          <w:sz w:val="19"/>
          <w:szCs w:val="19"/>
        </w:rPr>
        <w:t xml:space="preserve">}</w:t>
      </w:r>
    </w:p>
    <w:p>
      <w:pPr>
        <w:spacing w:before="200" w:after="80"/>
      </w:pPr>
      <w:r>
        <w:rPr>
          <w:rFonts w:ascii="Arial" w:cs="Arial" w:eastAsia="Arial" w:hAnsi="Arial"/>
          <w:b/>
          <w:bCs/>
          <w:color w:val="444444"/>
          <w:sz w:val="24"/>
          <w:szCs w:val="24"/>
        </w:rPr>
        <w:t xml:space="preserve">Weapon Type Switch Pattern</w:t>
      </w:r>
    </w:p>
    <w:p>
      <w:pPr>
        <w:spacing w:before="60" w:after="100"/>
      </w:pPr>
      <w:r>
        <w:rPr>
          <w:rFonts w:ascii="Arial" w:cs="Arial" w:eastAsia="Arial" w:hAnsi="Arial"/>
          <w:color w:val="1A1A1A"/>
          <w:sz w:val="22"/>
          <w:szCs w:val="22"/>
        </w:rPr>
        <w:t xml:space="preserve">The hitType string-to-WeaponType conversion uses nested if/else rather than a switch statement, which is less idiomatic Go and harder to extend:</w:t>
      </w:r>
    </w:p>
    <w:p>
      <w:pPr>
        <w:shd w:fill="F5F5F5" w:val="clear"/>
        <w:spacing w:before="60" w:after="60"/>
        <w:ind w:left="360"/>
      </w:pPr>
      <w:r>
        <w:rPr>
          <w:rFonts w:ascii="Courier New" w:cs="Courier New" w:eastAsia="Courier New" w:hAnsi="Courier New"/>
          <w:color w:val="333333"/>
          <w:sz w:val="19"/>
          <w:szCs w:val="19"/>
        </w:rPr>
        <w:t xml:space="preserve">// Current (less idiomatic):</w:t>
      </w:r>
    </w:p>
    <w:p>
      <w:pPr>
        <w:shd w:fill="F5F5F5" w:val="clear"/>
        <w:spacing w:before="60" w:after="60"/>
        <w:ind w:left="360"/>
      </w:pPr>
      <w:r>
        <w:rPr>
          <w:rFonts w:ascii="Courier New" w:cs="Courier New" w:eastAsia="Courier New" w:hAnsi="Courier New"/>
          <w:color w:val="333333"/>
          <w:sz w:val="19"/>
          <w:szCs w:val="19"/>
        </w:rPr>
        <w:t xml:space="preserve">if hitType == "Phaser" { weaponType = WeaponPhaser } else {</w:t>
      </w:r>
    </w:p>
    <w:p>
      <w:pPr>
        <w:shd w:fill="F5F5F5" w:val="clear"/>
        <w:spacing w:before="60" w:after="60"/>
        <w:ind w:left="360"/>
      </w:pPr>
      <w:r>
        <w:rPr>
          <w:rFonts w:ascii="Courier New" w:cs="Courier New" w:eastAsia="Courier New" w:hAnsi="Courier New"/>
          <w:color w:val="333333"/>
          <w:sz w:val="19"/>
          <w:szCs w:val="19"/>
        </w:rPr>
        <w:t xml:space="preserve">    if hitType == "Torpedo" { weaponType = WeaponTorpedo } else {</w:t>
      </w:r>
    </w:p>
    <w:p>
      <w:pPr>
        <w:shd w:fill="F5F5F5" w:val="clear"/>
        <w:spacing w:before="60" w:after="60"/>
        <w:ind w:left="360"/>
      </w:pPr>
      <w:r>
        <w:rPr>
          <w:rFonts w:ascii="Courier New" w:cs="Courier New" w:eastAsia="Courier New" w:hAnsi="Courier New"/>
          <w:color w:val="333333"/>
          <w:sz w:val="19"/>
          <w:szCs w:val="19"/>
        </w:rPr>
        <w:t xml:space="preserve">        weaponType = WeaponNova } }</w:t>
      </w:r>
    </w:p>
    <w:p>
      <w:pPr>
        <w:shd w:fill="F5F5F5" w:val="clear"/>
        <w:spacing w:before="60" w:after="60"/>
        <w:ind w:left="360"/>
      </w:pPr>
      <w:r>
        <w:rPr>
          <w:rFonts w:ascii="Courier New" w:cs="Courier New" w:eastAsia="Courier New" w:hAnsi="Courier New"/>
          <w:color w:val="333333"/>
          <w:sz w:val="19"/>
          <w:szCs w:val="19"/>
        </w:rPr>
        <w:t xml:space="preserve">// Better:</w:t>
      </w:r>
    </w:p>
    <w:p>
      <w:pPr>
        <w:shd w:fill="F5F5F5" w:val="clear"/>
        <w:spacing w:before="60" w:after="60"/>
        <w:ind w:left="360"/>
      </w:pPr>
      <w:r>
        <w:rPr>
          <w:rFonts w:ascii="Courier New" w:cs="Courier New" w:eastAsia="Courier New" w:hAnsi="Courier New"/>
          <w:color w:val="333333"/>
          <w:sz w:val="19"/>
          <w:szCs w:val="19"/>
        </w:rPr>
        <w:t xml:space="preserve">switch hitType {</w:t>
      </w:r>
    </w:p>
    <w:p>
      <w:pPr>
        <w:shd w:fill="F5F5F5" w:val="clear"/>
        <w:spacing w:before="60" w:after="60"/>
        <w:ind w:left="360"/>
      </w:pPr>
      <w:r>
        <w:rPr>
          <w:rFonts w:ascii="Courier New" w:cs="Courier New" w:eastAsia="Courier New" w:hAnsi="Courier New"/>
          <w:color w:val="333333"/>
          <w:sz w:val="19"/>
          <w:szCs w:val="19"/>
        </w:rPr>
        <w:t xml:space="preserve">case "Phaser":  weaponType = WeaponPhaser</w:t>
      </w:r>
    </w:p>
    <w:p>
      <w:pPr>
        <w:shd w:fill="F5F5F5" w:val="clear"/>
        <w:spacing w:before="60" w:after="60"/>
        <w:ind w:left="360"/>
      </w:pPr>
      <w:r>
        <w:rPr>
          <w:rFonts w:ascii="Courier New" w:cs="Courier New" w:eastAsia="Courier New" w:hAnsi="Courier New"/>
          <w:color w:val="333333"/>
          <w:sz w:val="19"/>
          <w:szCs w:val="19"/>
        </w:rPr>
        <w:t xml:space="preserve">case "Torpedo": weaponType = WeaponTorpedo</w:t>
      </w:r>
    </w:p>
    <w:p>
      <w:pPr>
        <w:shd w:fill="F5F5F5" w:val="clear"/>
        <w:spacing w:before="60" w:after="60"/>
        <w:ind w:left="360"/>
      </w:pPr>
      <w:r>
        <w:rPr>
          <w:rFonts w:ascii="Courier New" w:cs="Courier New" w:eastAsia="Courier New" w:hAnsi="Courier New"/>
          <w:color w:val="333333"/>
          <w:sz w:val="19"/>
          <w:szCs w:val="19"/>
        </w:rPr>
        <w:t xml:space="preserve">default:        weaponType = WeaponNova</w:t>
      </w:r>
    </w:p>
    <w:p>
      <w:pPr>
        <w:shd w:fill="F5F5F5" w:val="clear"/>
        <w:spacing w:before="60" w:after="60"/>
        <w:ind w:left="360"/>
      </w:pPr>
      <w:r>
        <w:rPr>
          <w:rFonts w:ascii="Courier New" w:cs="Courier New" w:eastAsia="Courier New" w:hAnsi="Courier New"/>
          <w:color w:val="333333"/>
          <w:sz w:val="19"/>
          <w:szCs w:val="19"/>
        </w:rPr>
        <w:t xml:space="preserve">}</w:t>
      </w:r>
    </w:p>
    <w:p>
      <w:pPr>
        <w:spacing w:before="200" w:after="80"/>
      </w:pPr>
      <w:r>
        <w:rPr>
          <w:rFonts w:ascii="Arial" w:cs="Arial" w:eastAsia="Arial" w:hAnsi="Arial"/>
          <w:b/>
          <w:bCs/>
          <w:color w:val="444444"/>
          <w:sz w:val="24"/>
          <w:szCs w:val="24"/>
        </w:rPr>
        <w:t xml:space="preserve">GPLv3 License Notice Inconsistency</w:t>
      </w:r>
    </w:p>
    <w:p>
      <w:pPr>
        <w:spacing w:before="60" w:after="100"/>
      </w:pPr>
      <w:r>
        <w:rPr>
          <w:rFonts w:ascii="Arial" w:cs="Arial" w:eastAsia="Arial" w:hAnsi="Arial"/>
          <w:color w:val="1A1A1A"/>
          <w:sz w:val="22"/>
          <w:szCs w:val="22"/>
        </w:rPr>
        <w:t xml:space="preserve">The license header in gowars.go refers to 'Foobar' in the line 'You should have received a copy of the GNU General Public License along with Foobar.' This is a copy-paste artifact from the GPL template and should be corrected to 'GOWARs'. While cosmetic, it could cause confusion in any formal licensing review.</w:t>
      </w:r>
    </w:p>
    <w:p>
      <w:pPr>
        <w:spacing w:before="200" w:after="80"/>
      </w:pPr>
      <w:r>
        <w:rPr>
          <w:rFonts w:ascii="Arial" w:cs="Arial" w:eastAsia="Arial" w:hAnsi="Arial"/>
          <w:b/>
          <w:bCs/>
          <w:color w:val="444444"/>
          <w:sz w:val="24"/>
          <w:szCs w:val="24"/>
        </w:rPr>
        <w:t xml:space="preserve">Decwar-Specific: Platform Obsolescence</w:t>
      </w:r>
    </w:p>
    <w:p>
      <w:pPr>
        <w:spacing w:before="60" w:after="100"/>
      </w:pPr>
      <w:r>
        <w:rPr>
          <w:rFonts w:ascii="Arial" w:cs="Arial" w:eastAsia="Arial" w:hAnsi="Arial"/>
          <w:color w:val="1A1A1A"/>
          <w:sz w:val="22"/>
          <w:szCs w:val="22"/>
        </w:rPr>
        <w:t xml:space="preserve">The Decwar source in hsn.txt is entirely dependent on PDP-10 hardware and TOPS-10 system calls (monrt., sleep, hiber, setnam, calli, etc.). It cannot be compiled or run on any modern system without a full PDP-10 emulator. The FORTRAN portions might be portable with effort, but the assembly sections are completely non-portable. This is not a defect in context — it was written for its target platform — but it does underscore that Decwar is a historical artifact, not a living codebase.</w:t>
      </w:r>
    </w:p>
    <w:p>
      <w:pPr>
        <w:spacing w:before="120" w:after="120"/>
      </w:pPr>
    </w:p>
    <w:p>
      <w:pPr>
        <w:pStyle w:val="Heading2"/>
        <w:pBdr>
          <w:bottom w:val="single" w:color="2E75B6" w:sz="4" w:space="1"/>
        </w:pBdr>
        <w:spacing w:before="240" w:after="120"/>
      </w:pPr>
      <w:r>
        <w:rPr>
          <w:rFonts w:ascii="Arial" w:cs="Arial" w:eastAsia="Arial" w:hAnsi="Arial"/>
          <w:b/>
          <w:bCs/>
          <w:color w:val="2E75B6"/>
          <w:sz w:val="26"/>
          <w:szCs w:val="26"/>
        </w:rPr>
        <w:t xml:space="preserve">2.5 Comparative Summary</w:t>
      </w:r>
    </w:p>
    <w:p>
      <w:pPr>
        <w:spacing w:before="1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4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GOWARs (Go)</w:t>
            </w:r>
          </w:p>
        </w:tc>
        <w:tc>
          <w:tcPr>
            <w:tcW w:type="dxa" w:w="34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Decwar (FORTRAN/ASM)</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 1.x (modern, compiled)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FORTRAN-77 + PDP-10 MACRO ASM</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3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Any OS with Go toolchain</w:t>
            </w:r>
          </w:p>
        </w:tc>
        <w:tc>
          <w:tcPr>
            <w:tcW w:type="dxa" w:w="3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PDP-10 / TOPS-10 only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Concurrency</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Goroutines, channels, sync.Map</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Shared memory + spin-wait locks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Networking</w:t>
            </w:r>
          </w:p>
        </w:tc>
        <w:tc>
          <w:tcPr>
            <w:tcW w:type="dxa" w:w="3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TCP + WebSocket (gorilla/websocket)</w:t>
            </w:r>
          </w:p>
        </w:tc>
        <w:tc>
          <w:tcPr>
            <w:tcW w:type="dxa" w:w="3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TOPS-10 terminal sessions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Command Coverage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~95% of Decwar + extensions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(canonical reference)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Code Volume</w:t>
            </w:r>
          </w:p>
        </w:tc>
        <w:tc>
          <w:tcPr>
            <w:tcW w:type="dxa" w:w="3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~20,000 lines, single file</w:t>
            </w:r>
          </w:p>
        </w:tc>
        <w:tc>
          <w:tcPr>
            <w:tcW w:type="dxa" w:w="3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~26,700 lines, multi-file archive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Maintainability</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Moderate (monolith risk)</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 (obsolete platform)</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Test Coverage</w:t>
            </w:r>
          </w:p>
        </w:tc>
        <w:tc>
          <w:tcPr>
            <w:tcW w:type="dxa" w:w="3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evident from file</w:t>
            </w:r>
          </w:p>
        </w:tc>
        <w:tc>
          <w:tcPr>
            <w:tcW w:type="dxa" w:w="3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applicable (legacy)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Documentation</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Inline comments + changelog</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Subroutine headers, grammar file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0"/>
                <w:szCs w:val="20"/>
              </w:rPr>
              <w:t xml:space="preserve">Deployment</w:t>
            </w:r>
          </w:p>
        </w:tc>
        <w:tc>
          <w:tcPr>
            <w:tcW w:type="dxa" w:w="3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Simple go build / go run</w:t>
            </w:r>
          </w:p>
        </w:tc>
        <w:tc>
          <w:tcPr>
            <w:tcW w:type="dxa" w:w="3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Requires PDP-10 emulator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Random Number Gen.</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crypto/rand seeded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FORTRAN RAND() (predictable)</w:t>
            </w:r>
          </w:p>
        </w:tc>
      </w:tr>
    </w:tbl>
    <w:p>
      <w:pPr>
        <w:spacing w:before="120" w:after="120"/>
      </w:pPr>
    </w:p>
    <w:p>
      <w:pPr>
        <w:pStyle w:val="Heading2"/>
        <w:pBdr>
          <w:bottom w:val="single" w:color="2E75B6" w:sz="4" w:space="1"/>
        </w:pBdr>
        <w:spacing w:before="240" w:after="120"/>
      </w:pPr>
      <w:r>
        <w:rPr>
          <w:rFonts w:ascii="Arial" w:cs="Arial" w:eastAsia="Arial" w:hAnsi="Arial"/>
          <w:b/>
          <w:bCs/>
          <w:color w:val="2E75B6"/>
          <w:sz w:val="26"/>
          <w:szCs w:val="26"/>
        </w:rPr>
        <w:t xml:space="preserve">2.6 Other Aspects</w:t>
      </w:r>
    </w:p>
    <w:p>
      <w:pPr>
        <w:spacing w:before="200" w:after="80"/>
      </w:pPr>
      <w:r>
        <w:rPr>
          <w:rFonts w:ascii="Arial" w:cs="Arial" w:eastAsia="Arial" w:hAnsi="Arial"/>
          <w:b/>
          <w:bCs/>
          <w:color w:val="444444"/>
          <w:sz w:val="24"/>
          <w:szCs w:val="24"/>
        </w:rPr>
        <w:t xml:space="preserve">Compatibility and Emulation Fidelity</w:t>
      </w:r>
    </w:p>
    <w:p>
      <w:pPr>
        <w:spacing w:before="60" w:after="100"/>
      </w:pPr>
      <w:r>
        <w:rPr>
          <w:rFonts w:ascii="Arial" w:cs="Arial" w:eastAsia="Arial" w:hAnsi="Arial"/>
          <w:color w:val="1A1A1A"/>
          <w:sz w:val="22"/>
          <w:szCs w:val="22"/>
        </w:rPr>
        <w:t xml:space="preserve">GOWARs explicitly supports two modes: native 'gowars' mode and 'decwar' emulation mode, with a separate version string for each:</w:t>
      </w:r>
    </w:p>
    <w:p>
      <w:pPr>
        <w:shd w:fill="F5F5F5" w:val="clear"/>
        <w:spacing w:before="60" w:after="60"/>
        <w:ind w:left="360"/>
      </w:pPr>
      <w:r>
        <w:rPr>
          <w:rFonts w:ascii="Courier New" w:cs="Courier New" w:eastAsia="Courier New" w:hAnsi="Courier New"/>
          <w:color w:val="333333"/>
          <w:sz w:val="19"/>
          <w:szCs w:val="19"/>
        </w:rPr>
        <w:t xml:space="preserve">const gowarVersion   = "[GOWARs Version 0.9.9 22-Feb-26]\r\n"</w:t>
      </w:r>
    </w:p>
    <w:p>
      <w:pPr>
        <w:shd w:fill="F5F5F5" w:val="clear"/>
        <w:spacing w:before="60" w:after="60"/>
        <w:ind w:left="360"/>
      </w:pPr>
      <w:r>
        <w:rPr>
          <w:rFonts w:ascii="Courier New" w:cs="Courier New" w:eastAsia="Courier New" w:hAnsi="Courier New"/>
          <w:color w:val="333333"/>
          <w:sz w:val="19"/>
          <w:szCs w:val="19"/>
        </w:rPr>
        <w:t xml:space="preserve">const gowarVersionDW = "[Decwar Version 2.2 emulation under GOWARs Version 0.9.9 22-Feb-26]\r\n"</w:t>
      </w:r>
    </w:p>
    <w:p>
      <w:pPr>
        <w:spacing w:before="60" w:after="100"/>
      </w:pPr>
      <w:r>
        <w:rPr>
          <w:rFonts w:ascii="Arial" w:cs="Arial" w:eastAsia="Arial" w:hAnsi="Arial"/>
          <w:color w:val="1A1A1A"/>
          <w:sz w:val="22"/>
          <w:szCs w:val="22"/>
        </w:rPr>
        <w:t xml:space="preserve">This is a thoughtful design choice: players connecting with legacy Decwar clients see a familiar version banner and familiar output formatting, while new players can opt into the extended GOWARs experience. The \r\n line endings throughout the Go code reflect deliberate Telnet/terminal compatibility, matching the original's expected output format.</w:t>
      </w:r>
    </w:p>
    <w:p>
      <w:pPr>
        <w:spacing w:before="200" w:after="80"/>
      </w:pPr>
      <w:r>
        <w:rPr>
          <w:rFonts w:ascii="Arial" w:cs="Arial" w:eastAsia="Arial" w:hAnsi="Arial"/>
          <w:b/>
          <w:bCs/>
          <w:color w:val="444444"/>
          <w:sz w:val="24"/>
          <w:szCs w:val="24"/>
        </w:rPr>
        <w:t xml:space="preserve">Observability</w:t>
      </w:r>
    </w:p>
    <w:p>
      <w:pPr>
        <w:spacing w:before="60" w:after="100"/>
      </w:pPr>
      <w:r>
        <w:rPr>
          <w:rFonts w:ascii="Arial" w:cs="Arial" w:eastAsia="Arial" w:hAnsi="Arial"/>
          <w:color w:val="1A1A1A"/>
          <w:sz w:val="22"/>
          <w:szCs w:val="22"/>
        </w:rPr>
        <w:t xml:space="preserve">GOWARs imports net/http/pprof with a blank import (imported for side effects), enabling the Go runtime profiler at http://localhost:6060 when the server is running. This is a production-grade observability feature that gives operators access to CPU profiles, goroutine dumps, heap analysis, and more — capabilities that would have been unimaginable on a 1979 TOPS-10 system.</w:t>
      </w:r>
    </w:p>
    <w:p>
      <w:pPr>
        <w:spacing w:before="200" w:after="80"/>
      </w:pPr>
      <w:r>
        <w:rPr>
          <w:rFonts w:ascii="Arial" w:cs="Arial" w:eastAsia="Arial" w:hAnsi="Arial"/>
          <w:b/>
          <w:bCs/>
          <w:color w:val="444444"/>
          <w:sz w:val="24"/>
          <w:szCs w:val="24"/>
        </w:rPr>
        <w:t xml:space="preserve">License Continuity</w:t>
      </w:r>
    </w:p>
    <w:p>
      <w:pPr>
        <w:spacing w:before="60" w:after="100"/>
      </w:pPr>
      <w:r>
        <w:rPr>
          <w:rFonts w:ascii="Arial" w:cs="Arial" w:eastAsia="Arial" w:hAnsi="Arial"/>
          <w:color w:val="1A1A1A"/>
          <w:sz w:val="22"/>
          <w:szCs w:val="22"/>
        </w:rPr>
        <w:t xml:space="preserve">Both codebases are distributed under the GNU General Public License v3, and both credit the original Decwar authors (Bob Hysick, Jeff Potter, The University of Texas Computation Center, Harris S. Newman). This is a good-faith recognition of the lineage. The copyright notice in gowars.go names Harris S. Newman Consulting, suggesting a direct connection to the original development team.</w:t>
      </w:r>
    </w:p>
    <w:p>
      <w:pPr>
        <w:spacing w:before="200" w:after="80"/>
      </w:pPr>
      <w:r>
        <w:rPr>
          <w:rFonts w:ascii="Arial" w:cs="Arial" w:eastAsia="Arial" w:hAnsi="Arial"/>
          <w:b/>
          <w:bCs/>
          <w:color w:val="444444"/>
          <w:sz w:val="24"/>
          <w:szCs w:val="24"/>
        </w:rPr>
        <w:t xml:space="preserve">Recommended Next Steps for GOWARs</w:t>
      </w:r>
    </w:p>
    <w:p>
      <w:pPr>
        <w:pStyle w:val="ListParagraph"/>
        <w:numPr>
          <w:ilvl w:val="0"/>
          <w:numId w:val="2"/>
        </w:numPr>
        <w:spacing w:before="40" w:after="40"/>
      </w:pPr>
      <w:r>
        <w:rPr>
          <w:rFonts w:ascii="Arial" w:cs="Arial" w:eastAsia="Arial" w:hAnsi="Arial"/>
          <w:color w:val="1A1A1A"/>
          <w:sz w:val="22"/>
          <w:szCs w:val="22"/>
        </w:rPr>
        <w:t xml:space="preserve">Split the monolithic gowars.go into a proper multi-package Go module (game, commands, network, robot, admin).</w:t>
      </w:r>
    </w:p>
    <w:p>
      <w:pPr>
        <w:pStyle w:val="ListParagraph"/>
        <w:numPr>
          <w:ilvl w:val="0"/>
          <w:numId w:val="2"/>
        </w:numPr>
        <w:spacing w:before="40" w:after="40"/>
      </w:pPr>
      <w:r>
        <w:rPr>
          <w:rFonts w:ascii="Arial" w:cs="Arial" w:eastAsia="Arial" w:hAnsi="Arial"/>
          <w:color w:val="1A1A1A"/>
          <w:sz w:val="22"/>
          <w:szCs w:val="22"/>
        </w:rPr>
        <w:t xml:space="preserve">Add a comprehensive test suite, starting with unit tests for the command parser and game-state mutation functions.</w:t>
      </w:r>
    </w:p>
    <w:p>
      <w:pPr>
        <w:pStyle w:val="ListParagraph"/>
        <w:numPr>
          <w:ilvl w:val="0"/>
          <w:numId w:val="2"/>
        </w:numPr>
        <w:spacing w:before="40" w:after="40"/>
      </w:pPr>
      <w:r>
        <w:rPr>
          <w:rFonts w:ascii="Arial" w:cs="Arial" w:eastAsia="Arial" w:hAnsi="Arial"/>
          <w:color w:val="1A1A1A"/>
          <w:sz w:val="22"/>
          <w:szCs w:val="22"/>
        </w:rPr>
        <w:t xml:space="preserve">Fix the 'Foobar' artifact in the GPL header.</w:t>
      </w:r>
    </w:p>
    <w:p>
      <w:pPr>
        <w:pStyle w:val="ListParagraph"/>
        <w:numPr>
          <w:ilvl w:val="0"/>
          <w:numId w:val="2"/>
        </w:numPr>
        <w:spacing w:before="40" w:after="40"/>
      </w:pPr>
      <w:r>
        <w:rPr>
          <w:rFonts w:ascii="Arial" w:cs="Arial" w:eastAsia="Arial" w:hAnsi="Arial"/>
          <w:color w:val="1A1A1A"/>
          <w:sz w:val="22"/>
          <w:szCs w:val="22"/>
        </w:rPr>
        <w:t xml:space="preserve">Replace nested if/else weapon-type checks with switch statements throughout.</w:t>
      </w:r>
    </w:p>
    <w:p>
      <w:pPr>
        <w:pStyle w:val="ListParagraph"/>
        <w:numPr>
          <w:ilvl w:val="0"/>
          <w:numId w:val="2"/>
        </w:numPr>
        <w:spacing w:before="40" w:after="40"/>
      </w:pPr>
      <w:r>
        <w:rPr>
          <w:rFonts w:ascii="Arial" w:cs="Arial" w:eastAsia="Arial" w:hAnsi="Arial"/>
          <w:color w:val="1A1A1A"/>
          <w:sz w:val="22"/>
          <w:szCs w:val="22"/>
        </w:rPr>
        <w:t xml:space="preserve">Extract the shared CombatMessageData construction logic from HitMsg and AnnounceMsg into a shared helper.</w:t>
      </w:r>
    </w:p>
    <w:p>
      <w:pPr>
        <w:pStyle w:val="ListParagraph"/>
        <w:numPr>
          <w:ilvl w:val="0"/>
          <w:numId w:val="2"/>
        </w:numPr>
        <w:spacing w:before="40" w:after="40"/>
      </w:pPr>
      <w:r>
        <w:rPr>
          <w:rFonts w:ascii="Arial" w:cs="Arial" w:eastAsia="Arial" w:hAnsi="Arial"/>
          <w:color w:val="1A1A1A"/>
          <w:sz w:val="22"/>
          <w:szCs w:val="22"/>
        </w:rPr>
        <w:t xml:space="preserve">Add error logging for all writer.Flush() calls in broadcast paths.</w:t>
      </w:r>
    </w:p>
    <w:p>
      <w:pPr>
        <w:pStyle w:val="ListParagraph"/>
        <w:numPr>
          <w:ilvl w:val="0"/>
          <w:numId w:val="2"/>
        </w:numPr>
        <w:spacing w:before="40" w:after="40"/>
      </w:pPr>
      <w:r>
        <w:rPr>
          <w:rFonts w:ascii="Arial" w:cs="Arial" w:eastAsia="Arial" w:hAnsi="Arial"/>
          <w:color w:val="1A1A1A"/>
          <w:sz w:val="22"/>
          <w:szCs w:val="22"/>
        </w:rPr>
        <w:t xml:space="preserve">Investigate and resolve the 'in process' command items (ADMIN sub-commands, POINTS, DEFINE).</w:t>
      </w:r>
    </w:p>
    <w:p>
      <w:pPr>
        <w:pStyle w:val="ListParagraph"/>
        <w:numPr>
          <w:ilvl w:val="0"/>
          <w:numId w:val="2"/>
        </w:numPr>
        <w:spacing w:before="40" w:after="40"/>
      </w:pPr>
      <w:r>
        <w:rPr>
          <w:rFonts w:ascii="Arial" w:cs="Arial" w:eastAsia="Arial" w:hAnsi="Arial"/>
          <w:color w:val="1A1A1A"/>
          <w:sz w:val="22"/>
          <w:szCs w:val="22"/>
        </w:rPr>
        <w:t xml:space="preserve">Consider adding a spatial index (grid or quadtree) over i.objects to replace the O(n) scan in AnnounceMsg for large galaxies.</w:t>
      </w:r>
    </w:p>
    <w:p>
      <w:pPr>
        <w:spacing w:before="200"/>
      </w:pPr>
    </w:p>
    <w:p>
      <w:pPr>
        <w:pBdr>
          <w:bottom w:val="single" w:color="DDDDDD" w:sz="4" w:space="1"/>
        </w:pBdr>
        <w:spacing w:before="60" w:after="60"/>
      </w:pPr>
    </w:p>
    <w:p>
      <w:pPr>
        <w:spacing w:before="120" w:after="0"/>
      </w:pPr>
      <w:r>
        <w:rPr>
          <w:rFonts w:ascii="Arial" w:cs="Arial" w:eastAsia="Arial" w:hAnsi="Arial"/>
          <w:i/>
          <w:iCs/>
          <w:color w:val="999999"/>
          <w:sz w:val="18"/>
          <w:szCs w:val="18"/>
        </w:rPr>
        <w:t xml:space="preserve">End of Report  |  GOWARs v0.9.9 vs. Decwar (1979)  |  February 22, 2026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GOWARs vs. Decwar — Code Comparison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2026-02-22T23:49:42.945Z</dcterms:created>
  <dcterms:modified xsi:type="dcterms:W3CDTF">2026-02-22T23:49:42.946Z</dcterms:modified>
</cp:coreProperties>
</file>

<file path=docProps/custom.xml><?xml version="1.0" encoding="utf-8"?>
<Properties xmlns="http://schemas.openxmlformats.org/officeDocument/2006/custom-properties" xmlns:vt="http://schemas.openxmlformats.org/officeDocument/2006/docPropsVTypes"/>
</file>