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Response to Reviewer #1:</w:t>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Reviewer #1: The manuscript describes the algorithm, npGraph, offers a way to improve the assembly completeness and visualize the procedure in real-time using Nanopore long reads. On the synthetic and real dataset, the authors show that npGraph yields assemblies of comparative performances to other hybrid scaffolders. It is really a nice tool, which is thought to be popular in sequencing analysis. To make the results stronger in comparison, I give my suggestions and questions.</w:t>
      </w:r>
    </w:p>
    <w:p>
      <w:pPr>
        <w:pStyle w:val="Normal"/>
        <w:widowControl/>
        <w:suppressAutoHyphens w:val="false"/>
        <w:rPr>
          <w:rFonts w:ascii="Courier New" w:hAnsi="Courier New" w:cs="Courier New"/>
          <w:sz w:val="22"/>
          <w:szCs w:val="22"/>
          <w:lang w:val="en-US" w:bidi="ar-SA"/>
        </w:rPr>
      </w:pPr>
      <w:r>
        <w:rPr>
          <w:rFonts w:cs="Courier New" w:ascii="Courier New" w:hAnsi="Courier New"/>
          <w:sz w:val="22"/>
          <w:szCs w:val="22"/>
          <w:lang w:val="en-US" w:bidi="ar-SA"/>
        </w:rPr>
      </w:r>
    </w:p>
    <w:p>
      <w:pPr>
        <w:pStyle w:val="Normal"/>
        <w:widowControl/>
        <w:suppressAutoHyphens w:val="false"/>
        <w:rPr/>
      </w:pPr>
      <w:r>
        <w:rPr>
          <w:rFonts w:cs="Courier New" w:ascii="Courier New" w:hAnsi="Courier New"/>
          <w:sz w:val="22"/>
          <w:szCs w:val="22"/>
          <w:lang w:val="en-US" w:bidi="ar-SA"/>
        </w:rPr>
        <w:t xml:space="preserve">Response:  </w:t>
      </w:r>
    </w:p>
    <w:p>
      <w:pPr>
        <w:pStyle w:val="Normal"/>
        <w:widowControl/>
        <w:suppressAutoHyphens w:val="false"/>
        <w:rPr/>
      </w:pPr>
      <w:r>
        <w:rPr>
          <w:rFonts w:cs="Courier New" w:ascii="Courier New" w:hAnsi="Courier New"/>
          <w:sz w:val="22"/>
          <w:szCs w:val="22"/>
          <w:lang w:val="en-US" w:bidi="ar-SA"/>
        </w:rPr>
        <w:t>We thank the reviewer for their comment.</w:t>
      </w:r>
    </w:p>
    <w:p>
      <w:pPr>
        <w:pStyle w:val="Normal"/>
        <w:widowControl/>
        <w:suppressAutoHyphens w:val="false"/>
        <w:rPr>
          <w:rFonts w:ascii="Courier New" w:hAnsi="Courier New" w:cs="Courier New"/>
          <w:sz w:val="22"/>
          <w:szCs w:val="22"/>
          <w:lang w:val="en-US" w:bidi="ar-SA"/>
        </w:rPr>
      </w:pPr>
      <w:r>
        <w:rPr>
          <w:rFonts w:cs="Courier New" w:ascii="Courier New" w:hAnsi="Courier New"/>
          <w:sz w:val="22"/>
          <w:szCs w:val="22"/>
          <w:lang w:val="en-US" w:bidi="ar-SA"/>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rFonts w:cs="Courier New" w:ascii="Courier New" w:hAnsi="Courier New"/>
          <w:sz w:val="22"/>
          <w:szCs w:val="22"/>
          <w:lang w:val="en-US" w:bidi="ar-SA"/>
        </w:rPr>
        <w:t>Response:</w:t>
      </w:r>
    </w:p>
    <w:p>
      <w:pPr>
        <w:pStyle w:val="PreformattedText"/>
        <w:rPr/>
      </w:pPr>
      <w:r>
        <w:rPr/>
        <w:t xml:space="preserve">We only use the SPAdes optimized value of </w:t>
      </w:r>
      <w:r>
        <w:rPr>
          <w:i/>
          <w:iCs/>
        </w:rPr>
        <w:t>kmer</w:t>
      </w:r>
      <w:r>
        <w:rPr/>
        <w:t xml:space="preserve"> (normally k=127) for our pipeline and the estimation only apply for contigs with significant length. </w:t>
      </w:r>
    </w:p>
    <w:p>
      <w:pPr>
        <w:pStyle w:val="PreformattedText"/>
        <w:rPr/>
      </w:pPr>
      <w:r>
        <w:rPr/>
        <w:t>In addition, topology information from the assembly graph has been used afterward to reduce the number of mis-classified cases.</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While this analysis is of interest, in this manuscript we have set out to focus on truly streaming analysis, which Unicycler does not support.  We feel that the paper shows conclusively that npGraph produces assemblies which are as good as Unicycler, while also providing the ability to carry out analysis in a streaming manner.</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3) </w:t>
      </w:r>
      <w:r>
        <w:rPr>
          <w:i/>
          <w:iCs/>
        </w:rPr>
        <w:t xml:space="preserve">Another two potentially missing software used in scaffolding would be FastSG (https://github.com/adigenova/fast-sg) and </w:t>
      </w:r>
      <w:bookmarkStart w:id="0" w:name="__DdeLink__120_413918204"/>
      <w:r>
        <w:rPr>
          <w:i/>
          <w:iCs/>
        </w:rPr>
        <w:t>LRScaf</w:t>
      </w:r>
      <w:bookmarkEnd w:id="0"/>
      <w:r>
        <w:rPr>
          <w:i/>
          <w:iCs/>
        </w:rPr>
        <w:t xml:space="preserve">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Follow the reviewer’s suggestion we attempted to benchmark against both FastSG and LRscaf.   Unfortunately, despite our best attempts we were unable to install and run FastSG workflow on our HPC system.</w:t>
      </w:r>
    </w:p>
    <w:p>
      <w:pPr>
        <w:pStyle w:val="PreformattedText"/>
        <w:rPr/>
      </w:pPr>
      <w:r>
        <w:rPr/>
      </w:r>
    </w:p>
    <w:p>
      <w:pPr>
        <w:pStyle w:val="PreformattedText"/>
        <w:rPr/>
      </w:pPr>
      <w:r>
        <w:rPr/>
        <w:t xml:space="preserve">However, LRScaf is more straight-forward to use and is also fast to run.  We included the results of LRScaf with default parameters using SPAdes assembly and minimap2 alignments in the Supplementary Table </w:t>
      </w:r>
      <w:commentRangeStart w:id="0"/>
      <w:r>
        <w:rPr/>
        <w:t>S1</w:t>
      </w:r>
      <w:r>
        <w:rPr/>
      </w:r>
      <w:commentRangeEnd w:id="0"/>
      <w:r>
        <w:commentReference w:id="0"/>
      </w:r>
      <w:r>
        <w:rPr/>
        <w:t xml:space="preserve">. </w:t>
      </w:r>
    </w:p>
    <w:p>
      <w:pPr>
        <w:pStyle w:val="PreformattedText"/>
        <w:rPr/>
      </w:pPr>
      <w:r>
        <w:rPr/>
      </w:r>
    </w:p>
    <w:p>
      <w:pPr>
        <w:pStyle w:val="PreformattedText"/>
        <w:rPr/>
      </w:pPr>
      <w:r>
        <w:rPr/>
        <w:t>We added the following text in the results section:</w:t>
      </w:r>
    </w:p>
    <w:p>
      <w:pPr>
        <w:pStyle w:val="PreformattedText"/>
        <w:rPr/>
      </w:pPr>
      <w:r>
        <w:rPr/>
      </w:r>
    </w:p>
    <w:p>
      <w:pPr>
        <w:pStyle w:val="PreformattedText"/>
        <w:ind w:left="709" w:hanging="0"/>
        <w:rPr/>
      </w:pPr>
      <w:r>
        <w:rPr/>
        <w:t>“</w:t>
      </w:r>
      <w:r>
        <w:rPr/>
        <w:t>LRscaf has been designed as a computationally efficient hybrid assembly tool which is scalable to</w:t>
      </w:r>
      <w:bookmarkStart w:id="1" w:name="_GoBack"/>
      <w:bookmarkEnd w:id="1"/>
      <w:r>
        <w:rPr/>
        <w:t xml:space="preserve"> large genomes. We ran </w:t>
      </w:r>
      <w:r>
        <w:rPr>
          <w:i w:val="false"/>
          <w:iCs w:val="false"/>
        </w:rPr>
        <w:t>LRScaf</w:t>
      </w:r>
      <w:r>
        <w:rPr/>
        <w:t xml:space="preserve"> using default parameters on the extended benchmarking set presented in Supplementary table 1. We observed that </w:t>
      </w:r>
      <w:r>
        <w:rPr>
          <w:i w:val="false"/>
          <w:iCs w:val="false"/>
        </w:rPr>
        <w:t>LRScaf</w:t>
      </w:r>
      <w:r>
        <w:rPr/>
        <w:t xml:space="preserve"> assemblies had fewer misassemblies than npScarf, and also exhibited a low mismatch and indel rate, but produced more fragmented assemblies than either npGraph or unicycler.” </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 xml:space="preserve">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npGraph, on the other hand, implements an irreversible approach thus requires more supporting reads to start with. The difference setting regarding this parameter reflects 2 different strategies thus as a result, would not be equal. </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Typo corrected.</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6) </w:t>
      </w:r>
      <w:r>
        <w:rPr>
          <w:i/>
          <w:iCs/>
        </w:rPr>
        <w:t>In supporting figure S2, the figure is not consistent with the description.</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Typos corrected.</w:t>
      </w:r>
    </w:p>
    <w:p>
      <w:pPr>
        <w:pStyle w:val="Heading1"/>
        <w:numPr>
          <w:ilvl w:val="0"/>
          <w:numId w:val="2"/>
        </w:numPr>
        <w:ind w:left="0" w:hanging="0"/>
        <w:rPr/>
      </w:pPr>
      <w:r>
        <w:rPr/>
        <w:t>Response to Reviewer #2:</w:t>
      </w:r>
    </w:p>
    <w:p>
      <w:pPr>
        <w:pStyle w:val="ListParagraph"/>
        <w:widowControl/>
        <w:numPr>
          <w:ilvl w:val="0"/>
          <w:numId w:val="2"/>
        </w:numPr>
        <w:suppressAutoHyphens w:val="false"/>
        <w:rPr/>
      </w:pPr>
      <w:r>
        <w:rPr>
          <w:rFonts w:cs="Courier New" w:ascii="Courier New" w:hAnsi="Courier New"/>
          <w:sz w:val="22"/>
          <w:szCs w:val="22"/>
          <w:lang w:val="en-US" w:bidi="ar-SA"/>
        </w:rPr>
        <w:t>Comment:</w:t>
      </w:r>
    </w:p>
    <w:p>
      <w:pPr>
        <w:pStyle w:val="ListParagraph"/>
        <w:widowControl/>
        <w:numPr>
          <w:ilvl w:val="6"/>
          <w:numId w:val="2"/>
        </w:numPr>
        <w:suppressAutoHyphens w:val="false"/>
        <w:bidi w:val="0"/>
        <w:spacing w:before="0" w:after="0"/>
        <w:ind w:left="0" w:right="0" w:hanging="0"/>
        <w:contextualSpacing/>
        <w:jc w:val="left"/>
        <w:rPr>
          <w:rFonts w:ascii="Liberation Mono" w:hAnsi="Liberation Mono"/>
          <w:sz w:val="20"/>
          <w:szCs w:val="20"/>
        </w:rPr>
      </w:pPr>
      <w:r>
        <w:rPr>
          <w:rFonts w:cs="Courier New" w:ascii="Liberation Mono" w:hAnsi="Liberation Mono"/>
          <w:i/>
          <w:sz w:val="20"/>
          <w:szCs w:val="20"/>
          <w:lang w:val="en-US" w:bidi="ar-SA"/>
        </w:rPr>
        <w:t>This paper reports a new streaming pipeline npGraph for hybrid assembly, which uses error-prone long reads to improve fragmented assemblies from short reads. The idea is to use long reads to bridge contigs in the assembly graph from short reads. Tested on simulated and real datasets, the proposed streaming pipeline achieved comparative performances with existing batch-mode hybrid assemblers including Unicycler and SPAdes hybrid, and outperformed the existing streaming</w:t>
      </w:r>
    </w:p>
    <w:p>
      <w:pPr>
        <w:pStyle w:val="PreformattedText"/>
        <w:numPr>
          <w:ilvl w:val="0"/>
          <w:numId w:val="2"/>
        </w:numPr>
        <w:rPr>
          <w:rFonts w:ascii="Liberation Mono" w:hAnsi="Liberation Mono"/>
          <w:sz w:val="20"/>
          <w:szCs w:val="20"/>
        </w:rPr>
      </w:pPr>
      <w:r>
        <w:rPr>
          <w:rFonts w:cs="Courier New"/>
          <w:i/>
          <w:sz w:val="20"/>
          <w:szCs w:val="20"/>
          <w:lang w:val="en-US" w:bidi="ar-SA"/>
        </w:rPr>
        <w:t>approach npScarf. The method is sound and results are convincing.</w:t>
      </w:r>
    </w:p>
    <w:p>
      <w:pPr>
        <w:pStyle w:val="PreformattedText"/>
        <w:numPr>
          <w:ilvl w:val="0"/>
          <w:numId w:val="2"/>
        </w:numPr>
        <w:rPr>
          <w:rFonts w:ascii="Liberation Mono" w:hAnsi="Liberation Mono"/>
          <w:sz w:val="20"/>
          <w:szCs w:val="20"/>
        </w:rPr>
      </w:pPr>
      <w:r>
        <w:rPr>
          <w:sz w:val="20"/>
          <w:szCs w:val="20"/>
        </w:rPr>
      </w:r>
    </w:p>
    <w:p>
      <w:pPr>
        <w:pStyle w:val="PreformattedText"/>
        <w:widowControl w:val="false"/>
        <w:numPr>
          <w:ilvl w:val="0"/>
          <w:numId w:val="2"/>
        </w:numPr>
        <w:suppressAutoHyphens w:val="true"/>
        <w:bidi w:val="0"/>
        <w:spacing w:before="0" w:after="0"/>
        <w:ind w:left="0" w:right="0" w:hanging="0"/>
        <w:jc w:val="left"/>
        <w:rPr>
          <w:rFonts w:ascii="Liberation Mono" w:hAnsi="Liberation Mono"/>
          <w:sz w:val="20"/>
          <w:szCs w:val="20"/>
        </w:rPr>
      </w:pPr>
      <w:r>
        <w:rPr>
          <w:i/>
          <w:iCs/>
          <w:sz w:val="20"/>
          <w:szCs w:val="20"/>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 xml:space="preserve">Having a streaming ONT hybrid assembly facilitates optimal use of nanopore sequencing resources – i.e prevention of over-sequencing or under-sequencing using the ONT platforms when a complete assembly is of interest. It can facilitate further gains in efficiency of hybrid assembly in combination with ReadUntil. </w:t>
      </w:r>
    </w:p>
    <w:p>
      <w:pPr>
        <w:pStyle w:val="PreformattedText"/>
        <w:rPr/>
      </w:pPr>
      <w:r>
        <w:rPr/>
      </w:r>
    </w:p>
    <w:p>
      <w:pPr>
        <w:pStyle w:val="PreformattedText"/>
        <w:rPr>
          <w:rFonts w:ascii="Liberation Mono" w:hAnsi="Liberation Mono" w:eastAsia="Courier New" w:cs="Liberation Mono"/>
          <w:color w:val="auto"/>
          <w:kern w:val="0"/>
          <w:sz w:val="20"/>
          <w:szCs w:val="20"/>
          <w:lang w:val="en-AU" w:eastAsia="zh-CN" w:bidi="hi-IN"/>
        </w:rPr>
      </w:pPr>
      <w:r>
        <w:rPr/>
        <w:t>We have added the following text in the introduction to emphasise these applications:</w:t>
      </w:r>
    </w:p>
    <w:p>
      <w:pPr>
        <w:pStyle w:val="PreformattedText"/>
        <w:rPr/>
      </w:pPr>
      <w:r>
        <w:rPr/>
      </w:r>
    </w:p>
    <w:p>
      <w:pPr>
        <w:pStyle w:val="PreformattedText"/>
        <w:ind w:left="709" w:hanging="0"/>
        <w:rPr/>
      </w:pPr>
      <w:r>
        <w:rPr/>
        <w:t>“</w:t>
      </w:r>
      <w:r>
        <w:rPr/>
        <w:t>Hybrid assembly with ONT reads provides the opportunity to use long reads to fully resolve existing microbial genome assemblies. However, in order achieve this in an effective manner it is necessary to avoid both under-sequencing (and thus not completely resolving the assembly) or over-sequencing (and thus incurring unnecessary costs and time-to-results). In addition, the release of Read Until API provides the opportunity to selectively enrich parts of the genome, as has been implemented in customised targeted sequencing applications ~\cite{Payne2020}. The combination of ReadUntil with streaming hybrid assembly opens the possibility for further efficiency gains by targeting sequencing to unresolved regions of the genome.”</w:t>
      </w:r>
    </w:p>
    <w:p>
      <w:pPr>
        <w:pStyle w:val="PreformattedText"/>
        <w:rPr/>
      </w:pPr>
      <w:r>
        <w:rPr/>
        <w:t xml:space="preserve"> </w:t>
      </w:r>
    </w:p>
    <w:p>
      <w:pPr>
        <w:pStyle w:val="ListParagraph"/>
        <w:widowControl/>
        <w:numPr>
          <w:ilvl w:val="0"/>
          <w:numId w:val="2"/>
        </w:numPr>
        <w:suppressAutoHyphens w:val="false"/>
        <w:rPr/>
      </w:pPr>
      <w:r>
        <w:rPr>
          <w:rFonts w:cs="Courier New" w:ascii="Courier New" w:hAnsi="Courier New"/>
          <w:sz w:val="22"/>
          <w:szCs w:val="22"/>
          <w:lang w:val="en-US" w:bidi="ar-SA"/>
        </w:rPr>
        <w:t>Comment:</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i/>
          <w:iCs/>
        </w:rPr>
      </w:r>
    </w:p>
    <w:p>
      <w:pPr>
        <w:pStyle w:val="PreformattedText"/>
        <w:rPr/>
      </w:pPr>
      <w:r>
        <w:rPr/>
        <w:t>Response:</w:t>
      </w:r>
    </w:p>
    <w:p>
      <w:pPr>
        <w:pStyle w:val="PreformattedText"/>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Comment:</w:t>
      </w:r>
    </w:p>
    <w:p>
      <w:pPr>
        <w:pStyle w:val="PreformattedText"/>
        <w:rPr/>
      </w:pPr>
      <w:r>
        <w:rPr/>
        <w:t xml:space="preserve">2) </w:t>
      </w:r>
      <w:r>
        <w:rPr>
          <w:i/>
          <w:iCs/>
        </w:rPr>
        <w:t>I assume that the binning results are used to constraint the bridge candidates -- bridges are only considered between contigs in the same bin. This needs to be clarified in the methods.</w:t>
      </w:r>
    </w:p>
    <w:p>
      <w:pPr>
        <w:pStyle w:val="PreformattedText"/>
        <w:rPr>
          <w:i/>
          <w:i/>
          <w:iCs/>
        </w:rPr>
      </w:pPr>
      <w:r>
        <w:rPr>
          <w:i/>
          <w:iCs/>
        </w:rPr>
      </w:r>
    </w:p>
    <w:p>
      <w:pPr>
        <w:pStyle w:val="PreformattedText"/>
        <w:rPr/>
      </w:pPr>
      <w:r>
        <w:rPr>
          <w:iCs/>
        </w:rPr>
        <w:t>Response:</w:t>
      </w:r>
    </w:p>
    <w:p>
      <w:pPr>
        <w:pStyle w:val="PreformattedText"/>
        <w:rPr/>
      </w:pPr>
      <w:commentRangeStart w:id="1"/>
      <w:r>
        <w:rPr/>
        <w:t xml:space="preserve">Bridges can be considered between contigs from different bins given that their Poisson distributions are not too far away from each other (based on the D(P1,P2) metric) and there are enough long reads supporting such connections. Binning results thus can be calibrated accordingly over time as well. </w:t>
      </w:r>
    </w:p>
    <w:p>
      <w:pPr>
        <w:pStyle w:val="PreformattedText"/>
        <w:rPr/>
      </w:pPr>
      <w:r>
        <w:rPr/>
      </w:r>
    </w:p>
    <w:p>
      <w:pPr>
        <w:pStyle w:val="PreformattedText"/>
        <w:rPr/>
      </w:pPr>
      <w:r>
        <w:rPr/>
        <w:t>To clarify this, we add the following into Contigs binning section:</w:t>
      </w:r>
    </w:p>
    <w:p>
      <w:pPr>
        <w:pStyle w:val="PreformattedText"/>
        <w:widowControl w:val="false"/>
        <w:suppressAutoHyphens w:val="true"/>
        <w:bidi w:val="0"/>
        <w:spacing w:before="0" w:after="0"/>
        <w:ind w:left="720" w:right="0" w:hanging="0"/>
        <w:jc w:val="left"/>
        <w:rPr/>
      </w:pPr>
      <w:r>
        <w:rPr/>
        <w:t>“</w:t>
      </w:r>
      <w:r>
        <w:rPr>
          <w:color w:val="000000"/>
        </w:rPr>
        <w:t>This information can aid the bridging phase later, as member contigs of a bridge are expected to appear in the same group. However, the criteria can be relaxed between closed groups given strong connecting evidence from long read alignments.</w:t>
      </w:r>
      <w:r>
        <w:rPr/>
        <w:t>”</w:t>
      </w:r>
      <w:commentRangeEnd w:id="1"/>
      <w:r>
        <w:commentReference w:id="1"/>
      </w:r>
      <w:r>
        <w:rPr/>
      </w:r>
    </w:p>
    <w:p>
      <w:pPr>
        <w:pStyle w:val="PreformattedText"/>
        <w:rPr/>
      </w:pPr>
      <w:r>
        <w:rPr/>
      </w:r>
    </w:p>
    <w:p>
      <w:pPr>
        <w:pStyle w:val="PreformattedText"/>
        <w:rPr/>
      </w:pPr>
      <w:r>
        <w:rPr/>
        <w:t>Comment:</w:t>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Response:</w:t>
      </w:r>
    </w:p>
    <w:p>
      <w:pPr>
        <w:pStyle w:val="PreformattedText"/>
        <w:rPr/>
      </w:pPr>
      <w:r>
        <w:rPr/>
        <w:t>Yes, use of external binning algorithms are supported by npGraph. However for the current study research, only isolate data sets were subjected to study and the built-in DBSCAN algorithm was good enough.</w:t>
      </w:r>
    </w:p>
    <w:p>
      <w:pPr>
        <w:pStyle w:val="PreformattedText"/>
        <w:rPr/>
      </w:pPr>
      <w:r>
        <w:rPr/>
      </w:r>
    </w:p>
    <w:p>
      <w:pPr>
        <w:pStyle w:val="PreformattedText"/>
        <w:rPr/>
      </w:pPr>
      <w:r>
        <w:rPr/>
        <w:t>Comment:</w:t>
      </w:r>
    </w:p>
    <w:p>
      <w:pPr>
        <w:pStyle w:val="PreformattedText"/>
        <w:rPr/>
      </w:pPr>
      <w:r>
        <w:rPr/>
        <w:t xml:space="preserve">4) </w:t>
      </w:r>
      <w:r>
        <w:rPr>
          <w:i/>
          <w:iCs/>
        </w:rPr>
        <w:t>Is it a typo in algorithm 2: set of candidate paths connecting v0 to v2 -&gt; v0 to vn?</w:t>
      </w:r>
    </w:p>
    <w:p>
      <w:pPr>
        <w:pStyle w:val="PreformattedText"/>
        <w:rPr/>
      </w:pPr>
      <w:r>
        <w:rPr/>
      </w:r>
    </w:p>
    <w:p>
      <w:pPr>
        <w:pStyle w:val="PreformattedText"/>
        <w:rPr/>
      </w:pPr>
      <w:r>
        <w:rPr/>
        <w:t>Response:</w:t>
      </w:r>
    </w:p>
    <w:p>
      <w:pPr>
        <w:pStyle w:val="PreformattedText"/>
        <w:rPr/>
      </w:pPr>
      <w:r>
        <w:rPr/>
        <w:t>Typo corrected.</w:t>
      </w:r>
    </w:p>
    <w:p>
      <w:pPr>
        <w:pStyle w:val="PreformattedText"/>
        <w:rPr/>
      </w:pPr>
      <w:r>
        <w:rPr/>
      </w:r>
    </w:p>
    <w:p>
      <w:pPr>
        <w:pStyle w:val="PreformattedText"/>
        <w:rPr/>
      </w:pPr>
      <w:r>
        <w:rPr/>
        <w:t>Comment:</w:t>
      </w:r>
    </w:p>
    <w:p>
      <w:pPr>
        <w:pStyle w:val="PreformattedText"/>
        <w:rPr/>
      </w:pPr>
      <w:r>
        <w:rPr/>
        <w:t xml:space="preserve">5) </w:t>
      </w:r>
      <w:r>
        <w:rPr>
          <w:i/>
          <w:iCs/>
        </w:rPr>
        <w:t>The relationship between Algorithm 1 &amp; 2 is not well explained.</w:t>
      </w:r>
    </w:p>
    <w:p>
      <w:pPr>
        <w:pStyle w:val="PreformattedText"/>
        <w:rPr>
          <w:i/>
          <w:i/>
          <w:iCs/>
        </w:rPr>
      </w:pPr>
      <w:r>
        <w:rPr>
          <w:i/>
          <w:iCs/>
        </w:rPr>
      </w:r>
    </w:p>
    <w:p>
      <w:pPr>
        <w:pStyle w:val="PreformattedText"/>
        <w:rPr>
          <w:i w:val="false"/>
          <w:i w:val="false"/>
          <w:iCs w:val="false"/>
        </w:rPr>
      </w:pPr>
      <w:r>
        <w:rPr>
          <w:i w:val="false"/>
          <w:iCs w:val="false"/>
        </w:rPr>
        <w:t>Response:</w:t>
      </w:r>
    </w:p>
    <w:p>
      <w:pPr>
        <w:pStyle w:val="PreformattedText"/>
        <w:rPr/>
      </w:pPr>
      <w:r>
        <w:rPr/>
        <w:t xml:space="preserve">We editted the first 2 paragraphs from the “Path finding algorithm” Section and re-numberring the 2 algorithms for better explanation and connection between 2 algorithms. Basically algorithm 1 is a sub-routine invoked inside Algorithm </w:t>
      </w:r>
      <w:commentRangeStart w:id="2"/>
      <w:r>
        <w:rPr/>
        <w:t>2</w:t>
      </w:r>
      <w:r>
        <w:rPr/>
      </w:r>
      <w:commentRangeEnd w:id="2"/>
      <w:r>
        <w:commentReference w:id="2"/>
      </w:r>
      <w:r>
        <w:rPr/>
        <w:t>.</w:t>
      </w:r>
    </w:p>
    <w:p>
      <w:pPr>
        <w:pStyle w:val="PreformattedText"/>
        <w:rPr/>
      </w:pPr>
      <w:r>
        <w:rPr/>
      </w:r>
    </w:p>
    <w:p>
      <w:pPr>
        <w:pStyle w:val="PreformattedText"/>
        <w:rPr/>
      </w:pPr>
      <w:r>
        <w:rPr/>
      </w:r>
    </w:p>
    <w:p>
      <w:pPr>
        <w:pStyle w:val="PreformattedText"/>
        <w:rPr/>
      </w:pPr>
      <w:r>
        <w:rPr/>
        <w:t>Comment:</w:t>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i/>
          <w:iCs/>
        </w:rPr>
      </w:r>
    </w:p>
    <w:p>
      <w:pPr>
        <w:pStyle w:val="PreformattedText"/>
        <w:rPr>
          <w:i w:val="false"/>
          <w:i w:val="false"/>
          <w:iCs w:val="false"/>
        </w:rPr>
      </w:pPr>
      <w:r>
        <w:rPr>
          <w:i w:val="false"/>
          <w:iCs w:val="false"/>
        </w:rPr>
        <w:t>Response:</w:t>
      </w:r>
    </w:p>
    <w:p>
      <w:pPr>
        <w:pStyle w:val="PreformattedText"/>
        <w:rPr/>
      </w:pPr>
      <w:commentRangeStart w:id="3"/>
      <w:r>
        <w:rPr/>
        <w:t xml:space="preserve">The multiplicity provides an estimation of the number of times a contig should appear in the final assembly thus it is important to assign uniqueness/repetitiveness of a contig. </w:t>
      </w:r>
      <w:r>
        <w:rPr/>
        <w:t>Also, we pointed out the role of multiplicity estimation for real-time assembly</w:t>
      </w:r>
      <w:r>
        <w:rPr/>
        <w:t xml:space="preserve"> in section “Building bridges in real-time”:</w:t>
      </w:r>
    </w:p>
    <w:p>
      <w:pPr>
        <w:pStyle w:val="PreformattedText"/>
        <w:widowControl w:val="false"/>
        <w:suppressAutoHyphens w:val="true"/>
        <w:bidi w:val="0"/>
        <w:spacing w:before="0" w:after="0"/>
        <w:ind w:left="720" w:right="0" w:hanging="0"/>
        <w:jc w:val="left"/>
        <w:rPr>
          <w:rFonts w:ascii="Liberation Mono" w:hAnsi="Liberation Mono" w:eastAsia="Courier New" w:cs="Liberation Mono"/>
          <w:color w:val="auto"/>
          <w:kern w:val="0"/>
          <w:sz w:val="20"/>
          <w:szCs w:val="20"/>
          <w:lang w:val="en-AU" w:eastAsia="zh-CN" w:bidi="hi-IN"/>
        </w:rPr>
      </w:pPr>
      <w:r>
        <w:rPr>
          <w:rFonts w:eastAsia="Courier New" w:cs="Liberation Mono"/>
          <w:color w:val="auto"/>
          <w:kern w:val="0"/>
          <w:sz w:val="20"/>
          <w:szCs w:val="20"/>
          <w:lang w:val="en-AU" w:eastAsia="zh-CN" w:bidi="hi-IN"/>
        </w:rPr>
        <w:t>“</w:t>
      </w:r>
      <w:r>
        <w:rPr>
          <w:rFonts w:eastAsia="Courier New" w:cs="Liberation Mono"/>
          <w:color w:val="auto"/>
          <w:kern w:val="0"/>
          <w:sz w:val="20"/>
          <w:szCs w:val="20"/>
          <w:lang w:val="en-AU" w:eastAsia="zh-CN" w:bidi="hi-IN"/>
        </w:rPr>
        <w:t>The real-time bridging method considers the dynamic aspect of multiplicity measures for each node, meaning that a n-times repetitive node might become a unique node at certain time point when its (n-1) occurrences have been already identified in other distinct unique paths.”</w:t>
      </w:r>
    </w:p>
    <w:p>
      <w:pPr>
        <w:pStyle w:val="PreformattedText"/>
        <w:rPr/>
      </w:pPr>
      <w:r>
        <w:rPr/>
      </w:r>
    </w:p>
    <w:p>
      <w:pPr>
        <w:pStyle w:val="PreformattedText"/>
        <w:rPr/>
      </w:pPr>
      <w:r>
        <w:rPr/>
        <w:t>On the other hand, the multiplicity of shorter, repetitive contigs are less confident and only used to augment the likelihood score of a path in addition to the alignment score.</w:t>
      </w:r>
      <w:commentRangeEnd w:id="3"/>
      <w:r>
        <w:commentReference w:id="3"/>
      </w:r>
      <w:r>
        <w:rPr/>
      </w:r>
    </w:p>
    <w:p>
      <w:pPr>
        <w:pStyle w:val="PreformattedText"/>
        <w:rPr/>
      </w:pPr>
      <w:r>
        <w:rPr/>
        <w:t xml:space="preserve"> </w:t>
      </w:r>
    </w:p>
    <w:p>
      <w:pPr>
        <w:pStyle w:val="PreformattedText"/>
        <w:rPr/>
      </w:pPr>
      <w:r>
        <w:rPr/>
      </w:r>
    </w:p>
    <w:p>
      <w:pPr>
        <w:pStyle w:val="PreformattedText"/>
        <w:rPr/>
      </w:pPr>
      <w:r>
        <w:rPr/>
        <w:t>Comment:</w:t>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Response:</w:t>
      </w:r>
    </w:p>
    <w:p>
      <w:pPr>
        <w:pStyle w:val="PreformattedText"/>
        <w:rPr/>
      </w:pPr>
      <w:r>
        <w:rPr>
          <w:i/>
          <w:iCs/>
        </w:rPr>
        <w:t>Typo corrected.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achlan Coin" w:date="2020-09-04T16:47:00Z" w:initials="LC">
    <w:p>
      <w:r>
        <w:rPr>
          <w:rFonts w:eastAsia="DejaVu Sans" w:cs="DejaVu Sans"/>
          <w:lang w:val="en-US" w:eastAsia="en-US" w:bidi="en-US"/>
        </w:rPr>
        <w:t>Can you insert some text here about what you said about this in the paper.</w:t>
      </w:r>
    </w:p>
  </w:comment>
  <w:comment w:id="1" w:author="Lachlan Coin" w:date="2020-09-06T22:55:00Z" w:initials="LC">
    <w:p>
      <w:r>
        <w:rPr>
          <w:rFonts w:eastAsia="DejaVu Sans" w:cs="DejaVu Sans"/>
          <w:lang w:val="en-US" w:eastAsia="en-US" w:bidi="en-US"/>
        </w:rPr>
        <w:t xml:space="preserve">I feel this should be clarified.  I thought the binning has nothing to do with bridges, that binning just used for multiplicity estimation?  Also should we update text to make sure this is clear? </w:t>
      </w:r>
    </w:p>
  </w:comment>
  <w:comment w:id="2" w:author="Lachlan Coin" w:date="2020-09-06T23:04:00Z" w:initials="LC">
    <w:p>
      <w:r>
        <w:rPr>
          <w:rFonts w:eastAsia="DejaVu Sans" w:cs="DejaVu Sans"/>
          <w:lang w:val="en-US" w:eastAsia="en-US" w:bidi="en-US"/>
        </w:rPr>
        <w:t xml:space="preserve">I think its still not well explained. I couldn’t understand what you write here.  Can you indicate in the pseudo code where algorithm 1 is invoked inside Algorithm 2?   </w:t>
      </w:r>
    </w:p>
  </w:comment>
  <w:comment w:id="3" w:author="Lachlan Coin" w:date="2020-09-04T16:56:00Z" w:initials="LC">
    <w:p>
      <w:r>
        <w:rPr>
          <w:rFonts w:eastAsia="DejaVu Sans" w:cs="DejaVu Sans"/>
          <w:lang w:val="en-US" w:eastAsia="en-US" w:bidi="en-US"/>
        </w:rPr>
        <w:t>You should clarify this in the text and put in quotes how you clarified in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ListParagraph">
    <w:name w:val="List Paragraph"/>
    <w:basedOn w:val="Normal"/>
    <w:qFormat/>
    <w:pPr>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502</TotalTime>
  <Application>LibreOffice/6.0.7.3$Linux_X86_64 LibreOffice_project/00m0$Build-3</Application>
  <Pages>4</Pages>
  <Words>1428</Words>
  <Characters>7918</Characters>
  <CharactersWithSpaces>9287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2020-09-15T00:16:37Z</dcterms:modified>
  <cp:revision>34</cp:revision>
  <dc:subject/>
  <dc:title/>
</cp:coreProperties>
</file>