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Yapay Zeka Değer Zincirinde Sistemik Risk ve Finansal Dayanıklılık</w:t>
      </w:r>
    </w:p>
    <w:p>
      <w:r>
        <w:fldChar w:fldCharType="begin"/>
        <w:instrText xml:space="preserve">TOC \o "1-3" \h \z \u</w:instrText>
        <w:fldChar w:fldCharType="separate"/>
        <w:t>İçindekiler — belge Word'de açıldığında otomatik güncellenir.</w:t>
        <w:fldChar w:fldCharType="end"/>
      </w:r>
    </w:p>
    <w:p>
      <w:r>
        <w:br w:type="page"/>
      </w:r>
    </w:p>
    <w:p>
      <w:pPr>
        <w:pStyle w:val="Heading2"/>
      </w:pPr>
      <w:r>
        <w:t>Temmuz 2026 Görünümü — Denetlenebilir Risk Raporu</w:t>
      </w:r>
    </w:p>
    <w:p>
      <w:r>
        <w:rPr>
          <w:b/>
        </w:rPr>
        <w:t>Veri tarihi:</w:t>
      </w:r>
      <w:r>
        <w:t xml:space="preserve"> 13 Temmuz 2026 (TSS) · </w:t>
      </w:r>
      <w:r>
        <w:rPr>
          <w:b/>
        </w:rPr>
        <w:t>Rapor tarihi:</w:t>
      </w:r>
      <w:r>
        <w:t xml:space="preserve"> 14 Temmuz 2026</w:t>
      </w:r>
    </w:p>
    <w:p>
      <w:r>
        <w:rPr>
          <w:b/>
        </w:rPr>
        <w:t>Sınıf:</w:t>
      </w:r>
      <w:r>
        <w:t xml:space="preserve"> Kurumsal risk analizi — denetlenebilir metodoloji</w:t>
      </w:r>
    </w:p>
    <w:p>
      <w:pPr>
        <w:pStyle w:val="Heading3"/>
      </w:pPr>
      <w:r>
        <w:t>Yasal uyarı ve kapsam notu</w:t>
      </w:r>
    </w:p>
    <w:p>
      <w:r>
        <w:t xml:space="preserve">Bu rapor yatırım tavsiyesi değildir. İçerdiği tüm piyasa değerleri, fiyat aralıkları ve finansal metrikler 13 Temmuz 2026 itibarıyla derlenmiş üçüncü taraf ve birincil kaynak verilerine dayanır; tek bir günün kapanış değeri değil, Temmuz 2026 boyunca dalgalanan aralıklar olarak okunmalıdır. Rapor, halka açık olmayan şirketlere (OpenAI, Anthropic, Lambda) ilişkin verilerin resmi denetimden geçmediğini ve analist/özel-piyasa tahmini niteliğinde olduğunu özellikle belirtir. Doğrulanamayan her iddia metin içinde </w:t>
      </w:r>
      <w:r>
        <w:rPr>
          <w:b/>
        </w:rPr>
        <w:t>"doğrulanamadı"</w:t>
      </w:r>
      <w:r>
        <w:t xml:space="preserve">, </w:t>
      </w:r>
      <w:r>
        <w:rPr>
          <w:b/>
        </w:rPr>
        <w:t>"analist tahmini"</w:t>
      </w:r>
      <w:r>
        <w:t xml:space="preserve"> veya </w:t>
      </w:r>
      <w:r>
        <w:rPr>
          <w:b/>
        </w:rPr>
        <w:t>"senaryo varsayımı"</w:t>
      </w:r>
      <w:r>
        <w:t xml:space="preserve"> etiketiyle işaretlenmiştir. Rakam uydurulmamıştır; verinin bulunamadığı yerlerde sonuç açıkça </w:t>
      </w:r>
      <w:r>
        <w:rPr>
          <w:b/>
        </w:rPr>
        <w:t>"bilinmiyor / hesaplanamaz"</w:t>
      </w:r>
      <w:r>
        <w:t xml:space="preserve"> olarak bırakılmıştır.</w:t>
      </w:r>
    </w:p>
    <w:p>
      <w:r>
        <w:t xml:space="preserve">Bu rapor bağımsız ve güncel bir nihai belgedir. Sözel olasılık sınıfları şeffaf bir sayısal banda bağlanmıştır (§2.6); olumsuz senaryoların yanına </w:t>
      </w:r>
      <w:r>
        <w:rPr>
          <w:b/>
        </w:rPr>
        <w:t>baz ve pozitif senaryo</w:t>
      </w:r>
      <w:r>
        <w:t xml:space="preserve"> eklenmiştir (§8.6–8.7); senaryolar arası koşullu olasılık ve kesişim matrisi kurulmuştur (§8.8); sonuç bölümünde </w:t>
      </w:r>
      <w:r>
        <w:rPr>
          <w:b/>
        </w:rPr>
        <w:t>iyi yön / kötü yön olasılıkları</w:t>
      </w:r>
      <w:r>
        <w:t xml:space="preserve"> bir karar ağacıyla verilir (§11.1); senaryoların yalnızca prim ödenen uzun call ve put portföylerine çevrilmesi ise §13'te model örneklerle gösterilir.</w:t>
      </w:r>
    </w:p>
    <w:p>
      <w:pPr>
        <w:pStyle w:val="Heading3"/>
      </w:pPr>
      <w:r>
        <w:t>İçindekiler</w:t>
      </w:r>
    </w:p>
    <w:p>
      <w:pPr>
        <w:ind w:left="432"/>
      </w:pPr>
      <w:r>
        <w:t xml:space="preserve">1. </w:t>
      </w:r>
      <w:r>
        <w:t>Yönetici Özeti</w:t>
      </w:r>
    </w:p>
    <w:p>
      <w:pPr>
        <w:ind w:left="432"/>
      </w:pPr>
      <w:r>
        <w:t xml:space="preserve">2. </w:t>
      </w:r>
      <w:r>
        <w:t>Sistem Sınırı ve Metodoloji</w:t>
      </w:r>
    </w:p>
    <w:p>
      <w:pPr>
        <w:ind w:left="432"/>
      </w:pPr>
      <w:r>
        <w:t xml:space="preserve">3. </w:t>
      </w:r>
      <w:r>
        <w:t>Değer Zinciri ve Bağımlılık Ağı</w:t>
      </w:r>
    </w:p>
    <w:p>
      <w:pPr>
        <w:ind w:left="432"/>
      </w:pPr>
      <w:r>
        <w:t xml:space="preserve">4. </w:t>
      </w:r>
      <w:r>
        <w:t>Sistemik Kritiklik Matrisi</w:t>
      </w:r>
    </w:p>
    <w:p>
      <w:pPr>
        <w:ind w:left="432"/>
      </w:pPr>
      <w:r>
        <w:t xml:space="preserve">5. </w:t>
      </w:r>
      <w:r>
        <w:t>Finansal Kırılganlık Matrisi</w:t>
      </w:r>
    </w:p>
    <w:p>
      <w:pPr>
        <w:ind w:left="432"/>
      </w:pPr>
      <w:r>
        <w:t xml:space="preserve">6. </w:t>
      </w:r>
      <w:r>
        <w:t>Şirket ve Katman Bazlı Analiz</w:t>
      </w:r>
    </w:p>
    <w:p>
      <w:pPr>
        <w:ind w:left="432"/>
      </w:pPr>
      <w:r>
        <w:t xml:space="preserve">7. </w:t>
      </w:r>
      <w:r>
        <w:t>Düzeltilmiş Finansal Metrikler</w:t>
      </w:r>
    </w:p>
    <w:p>
      <w:pPr>
        <w:ind w:left="432"/>
      </w:pPr>
      <w:r>
        <w:t xml:space="preserve">8. </w:t>
      </w:r>
      <w:r>
        <w:t>Senaryo ve Stres Testleri</w:t>
      </w:r>
    </w:p>
    <w:p>
      <w:pPr>
        <w:ind w:left="432"/>
      </w:pPr>
      <w:r>
        <w:t xml:space="preserve">9. </w:t>
      </w:r>
      <w:r>
        <w:t>Erken Uyarı Gösterge Paneli</w:t>
      </w:r>
    </w:p>
    <w:p>
      <w:pPr>
        <w:ind w:left="432"/>
      </w:pPr>
      <w:r>
        <w:t xml:space="preserve">10. </w:t>
      </w:r>
      <w:r>
        <w:t>Kör Noktalar ve Veri İhtiyaçları</w:t>
      </w:r>
    </w:p>
    <w:p>
      <w:pPr>
        <w:ind w:left="432"/>
      </w:pPr>
      <w:r>
        <w:t xml:space="preserve">11. </w:t>
      </w:r>
      <w:r>
        <w:t>Sonuç, Olasılık Çerçevesi ve Çıkarımlar</w:t>
      </w:r>
    </w:p>
    <w:p>
      <w:pPr>
        <w:ind w:left="432"/>
      </w:pPr>
      <w:r>
        <w:t xml:space="preserve">12. </w:t>
      </w:r>
      <w:r>
        <w:t>Veri Sözlüğü, Hesaplamalar ve Kaynak Eki</w:t>
      </w:r>
    </w:p>
    <w:p>
      <w:pPr>
        <w:ind w:left="432"/>
      </w:pPr>
      <w:r>
        <w:t>13. Opsiyonlarla Senaryo Uygulaması (yalnızca call/put alımları)</w:t>
      </w:r>
    </w:p>
    <w:p>
      <w:pPr>
        <w:pStyle w:val="Heading3"/>
      </w:pPr>
      <w:r>
        <w:t>Metodoloji özeti (bir sayfa)</w:t>
      </w:r>
    </w:p>
    <w:p>
      <w:r>
        <w:t xml:space="preserve">Bu rapor, "AI balon mu?" sorusunu ikili bir evet/hayır sorusu olarak değil, </w:t>
      </w:r>
      <w:r>
        <w:rPr>
          <w:b/>
        </w:rPr>
        <w:t>katmanlı bir sistemik risk sorusu</w:t>
      </w:r>
      <w:r>
        <w:t xml:space="preserve"> olarak ele alır. Temel öncül: </w:t>
      </w:r>
      <w:r>
        <w:rPr>
          <w:b/>
        </w:rPr>
        <w:t>finansal kırılganlık ile operasyonel/sistemik önem aynı şey değildir.</w:t>
      </w:r>
      <w:r>
        <w:t xml:space="preserve"> Bir şirket hem finansal olarak çok sağlam hem de sistemin en kritik halkası olabilir (TSMC); ya da hem finansal olarak kırılgan hem de sistemik açıdan görece ikame edilebilir olabilir (CoreWeave). Bu iki boyutu tek bir skorda eritmek yanıltıcıdır.</w:t>
      </w:r>
    </w:p>
    <w:p>
      <w:r>
        <w:t>Bu nedenle rapor dört risk türünü birbirinden ayırır:</w:t>
      </w:r>
    </w:p>
    <w:p>
      <w:pPr>
        <w:pStyle w:val="ListBullet"/>
      </w:pPr>
      <w:r>
        <w:rPr>
          <w:b/>
        </w:rPr>
        <w:t>Finansal temerrüt riski</w:t>
      </w:r>
      <w:r>
        <w:t xml:space="preserve"> — şirketin borcunu/yükümlülüğünü ödeyememe olasılığı.</w:t>
      </w:r>
    </w:p>
    <w:p>
      <w:pPr>
        <w:pStyle w:val="ListBullet"/>
      </w:pPr>
      <w:r>
        <w:rPr>
          <w:b/>
        </w:rPr>
        <w:t>Operasyonel tedarik kesintisi riski</w:t>
      </w:r>
      <w:r>
        <w:t xml:space="preserve"> — şirketin ürün/hizmet vermeyi durdurma olasılığı.</w:t>
      </w:r>
    </w:p>
    <w:p>
      <w:pPr>
        <w:pStyle w:val="ListBullet"/>
      </w:pPr>
      <w:r>
        <w:rPr>
          <w:b/>
        </w:rPr>
        <w:t>Finansal bulaşıcılık riski</w:t>
      </w:r>
      <w:r>
        <w:t xml:space="preserve"> — bir başarısızlığın kredi ve piyasa kanalıyla yayılma derecesi.</w:t>
      </w:r>
    </w:p>
    <w:p>
      <w:pPr>
        <w:pStyle w:val="ListBullet"/>
      </w:pPr>
      <w:r>
        <w:rPr>
          <w:b/>
        </w:rPr>
        <w:t>Piyasa / değerleme riski</w:t>
      </w:r>
      <w:r>
        <w:t xml:space="preserve"> — hisse fiyatındaki düşüş; temerrütten bağımsız bir kayıp türü.</w:t>
      </w:r>
    </w:p>
    <w:p>
      <w:r>
        <w:t xml:space="preserve">Ölçüm üç ayrı eksende yapılır ve </w:t>
      </w:r>
      <w:r>
        <w:rPr>
          <w:b/>
        </w:rPr>
        <w:t>hiçbiri diğerleriyle çarpılarak tek bir sahte-kesin skora dönüştürülmez</w:t>
      </w:r>
      <w:r>
        <w:t>:</w:t>
      </w:r>
    </w:p>
    <w:p>
      <w:pPr>
        <w:ind w:left="432"/>
      </w:pPr>
      <w:r>
        <w:t xml:space="preserve">1. </w:t>
      </w:r>
      <w:r>
        <w:rPr>
          <w:b/>
        </w:rPr>
        <w:t>Sistemik Kritiklik (etki boyutu):</w:t>
      </w:r>
      <w:r>
        <w:t xml:space="preserve"> ikame edilemezlik, bağlantısallık, ikame süresi, hizmetin ekonomik kritikliği, coğrafi yoğunlaşma.</w:t>
      </w:r>
    </w:p>
    <w:p>
      <w:pPr>
        <w:ind w:left="432"/>
      </w:pPr>
      <w:r>
        <w:t xml:space="preserve">2. </w:t>
      </w:r>
      <w:r>
        <w:rPr>
          <w:b/>
        </w:rPr>
        <w:t>Başarısızlık Olasılığı:</w:t>
      </w:r>
      <w:r>
        <w:t xml:space="preserve"> net kaldıraç, faiz/sabit yük karşılama, likidite, borç vade yoğunlaşması, değişken faiz maruziyeti, operasyonel risk, jeopolitik risk.</w:t>
      </w:r>
    </w:p>
    <w:p>
      <w:pPr>
        <w:ind w:left="432"/>
      </w:pPr>
      <w:r>
        <w:t xml:space="preserve">3. </w:t>
      </w:r>
      <w:r>
        <w:rPr>
          <w:b/>
        </w:rPr>
        <w:t>Beklenen Sistemik Kayıp:</w:t>
      </w:r>
      <w:r>
        <w:t xml:space="preserve"> yukarıdaki ikisinin ve bir bulaşıcılık katsayısının niteliksel birlikte değerlendirilmesi — matematiksel çarpım değil, kalibre edilmiş yargı.</w:t>
      </w:r>
    </w:p>
    <w:p>
      <w:r>
        <w:t xml:space="preserve">Şirketler iki eksenli bir matrise yerleştirilir: yatay eksen </w:t>
      </w:r>
      <w:r>
        <w:rPr>
          <w:b/>
        </w:rPr>
        <w:t>başarısızlık olasılığı</w:t>
      </w:r>
      <w:r>
        <w:t xml:space="preserve">, dikey eksen </w:t>
      </w:r>
      <w:r>
        <w:rPr>
          <w:b/>
        </w:rPr>
        <w:t>başarısızlığın sistemik etkisi</w:t>
      </w:r>
      <w:r>
        <w:t xml:space="preserve">. Şok yönü "yukarı/aşağı" yerine </w:t>
      </w:r>
      <w:r>
        <w:rPr>
          <w:b/>
        </w:rPr>
        <w:t>upstream/downstream</w:t>
      </w:r>
      <w:r>
        <w:t xml:space="preserve"> terminolojisiyle ifade edilir ve üç akış (fiziksel ürün, nakit, talep şoku) ayrı oklarla gösterilir. Bu raporda sözel olasılık sınıfları </w:t>
      </w:r>
      <w:r>
        <w:rPr>
          <w:b/>
        </w:rPr>
        <w:t>şeffaf bir sayısal banda</w:t>
      </w:r>
      <w:r>
        <w:t xml:space="preserve"> bağlanır (§2.6: örn. orta-yüksek = %50–70, merkez %60); bu eşleme ampirik kalibrasyon değil, sözel sınıfların sayısal tercümesidir. Senaryolar olumsuz stres senaryolarının yanına bir </w:t>
      </w:r>
      <w:r>
        <w:rPr>
          <w:b/>
        </w:rPr>
        <w:t>baz</w:t>
      </w:r>
      <w:r>
        <w:t xml:space="preserve"> ve bir </w:t>
      </w:r>
      <w:r>
        <w:rPr>
          <w:b/>
        </w:rPr>
        <w:t>pozitif</w:t>
      </w:r>
      <w:r>
        <w:t xml:space="preserve"> senaryo eklenerek genişletilir; gerçekleşme ufku ile kesinti süresi ayrıştırılır; senaryolar arası koşullu olasılık ve kesişim (inclusion-exclusion) matrisi kurulur (§8.8). Sonuçta </w:t>
      </w:r>
      <w:r>
        <w:rPr>
          <w:b/>
        </w:rPr>
        <w:t>iyi yön ve kötü yön olasılıkları</w:t>
      </w:r>
      <w:r>
        <w:t xml:space="preserve"> 12/24/36 aylık ufuklarla ayrı ayrı verilir (§11.1). Tüm veriler için kaynak, tarih, para birimi, yöntem ve güven seviyesi belirtilir; kaynaklar resmi dosyalama → derecelendirme kuruluşu → şirket açıklaması → analist tahmini → medya sırasıyla kalite kademesine ayrılır.</w:t>
      </w:r>
    </w:p>
    <w:p>
      <w:pPr>
        <w:pStyle w:val="Heading3"/>
      </w:pPr>
      <w:r>
        <w:t>Terimler sözlüğü</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Pr>
                <w:b/>
                <w:sz w:val="18"/>
              </w:rPr>
            </w:r>
            <w:r>
              <w:rPr>
                <w:b/>
                <w:sz w:val="18"/>
              </w:rPr>
              <w:t>Terim</w:t>
            </w:r>
          </w:p>
        </w:tc>
        <w:tc>
          <w:tcPr>
            <w:tcW w:type="dxa" w:w="4680"/>
            <w:shd w:val="clear" w:color="auto" w:fill="D9D9D9"/>
          </w:tcPr>
          <w:p>
            <w:r>
              <w:rPr>
                <w:b/>
                <w:sz w:val="18"/>
              </w:rPr>
            </w:r>
            <w:r>
              <w:rPr>
                <w:b/>
                <w:sz w:val="18"/>
              </w:rPr>
              <w:t>Tanım</w:t>
            </w:r>
          </w:p>
        </w:tc>
      </w:tr>
      <w:tr>
        <w:tc>
          <w:tcPr>
            <w:tcW w:type="dxa" w:w="4680"/>
          </w:tcPr>
          <w:p>
            <w:r>
              <w:rPr>
                <w:sz w:val="18"/>
              </w:rPr>
            </w:r>
            <w:r>
              <w:rPr>
                <w:b/>
                <w:sz w:val="18"/>
              </w:rPr>
              <w:t>Capex</w:t>
            </w:r>
          </w:p>
        </w:tc>
        <w:tc>
          <w:tcPr>
            <w:tcW w:type="dxa" w:w="4680"/>
          </w:tcPr>
          <w:p>
            <w:r>
              <w:rPr>
                <w:sz w:val="18"/>
              </w:rPr>
            </w:r>
            <w:r>
              <w:rPr>
                <w:sz w:val="18"/>
              </w:rPr>
              <w:t>Sermaye harcaması; veri merkezi, çip, makine gibi uzun vadeli varlık yatırımı.</w:t>
            </w:r>
          </w:p>
        </w:tc>
      </w:tr>
      <w:tr>
        <w:tc>
          <w:tcPr>
            <w:tcW w:type="dxa" w:w="4680"/>
          </w:tcPr>
          <w:p>
            <w:r>
              <w:rPr>
                <w:sz w:val="18"/>
              </w:rPr>
            </w:r>
            <w:r>
              <w:rPr>
                <w:b/>
                <w:sz w:val="18"/>
              </w:rPr>
              <w:t>FCF (Serbest Nakit Akışı)</w:t>
            </w:r>
          </w:p>
        </w:tc>
        <w:tc>
          <w:tcPr>
            <w:tcW w:type="dxa" w:w="4680"/>
          </w:tcPr>
          <w:p>
            <w:r>
              <w:rPr>
                <w:sz w:val="18"/>
              </w:rPr>
            </w:r>
            <w:r>
              <w:rPr>
                <w:sz w:val="18"/>
              </w:rPr>
              <w:t xml:space="preserve">Operasyonel nakit akışı eksi capex. Capex'ten </w:t>
            </w:r>
            <w:r>
              <w:rPr>
                <w:i/>
                <w:sz w:val="18"/>
              </w:rPr>
              <w:t>sonra</w:t>
            </w:r>
            <w:r>
              <w:rPr>
                <w:sz w:val="18"/>
              </w:rPr>
              <w:t xml:space="preserve"> hesaplanır; bu yüzden capex/FCF oranı finansman açığını doğrudan ölçmez.</w:t>
            </w:r>
          </w:p>
        </w:tc>
      </w:tr>
      <w:tr>
        <w:tc>
          <w:tcPr>
            <w:tcW w:type="dxa" w:w="4680"/>
          </w:tcPr>
          <w:p>
            <w:r>
              <w:rPr>
                <w:sz w:val="18"/>
              </w:rPr>
            </w:r>
            <w:r>
              <w:rPr>
                <w:b/>
                <w:sz w:val="18"/>
              </w:rPr>
              <w:t>OCF (Operasyonel Nakit Akışı)</w:t>
            </w:r>
          </w:p>
        </w:tc>
        <w:tc>
          <w:tcPr>
            <w:tcW w:type="dxa" w:w="4680"/>
          </w:tcPr>
          <w:p>
            <w:r>
              <w:rPr>
                <w:sz w:val="18"/>
              </w:rPr>
            </w:r>
            <w:r>
              <w:rPr>
                <w:sz w:val="18"/>
              </w:rPr>
              <w:t>Esas faaliyetlerden yaratılan nakit; capex öncesi. Capex/OCF bu raporda tercih edilen finansman metriğidir.</w:t>
            </w:r>
          </w:p>
        </w:tc>
      </w:tr>
      <w:tr>
        <w:tc>
          <w:tcPr>
            <w:tcW w:type="dxa" w:w="4680"/>
          </w:tcPr>
          <w:p>
            <w:r>
              <w:rPr>
                <w:sz w:val="18"/>
              </w:rPr>
            </w:r>
            <w:r>
              <w:rPr>
                <w:b/>
                <w:sz w:val="18"/>
              </w:rPr>
              <w:t>ARR (Annualized Recurring Revenue)</w:t>
            </w:r>
          </w:p>
        </w:tc>
        <w:tc>
          <w:tcPr>
            <w:tcW w:type="dxa" w:w="4680"/>
          </w:tcPr>
          <w:p>
            <w:r>
              <w:rPr>
                <w:sz w:val="18"/>
              </w:rPr>
            </w:r>
            <w:r>
              <w:rPr>
                <w:sz w:val="18"/>
              </w:rPr>
              <w:t xml:space="preserve">Yıllıklandırılmış yinelenen gelir koşu hızı. Bir </w:t>
            </w:r>
            <w:r>
              <w:rPr>
                <w:i/>
                <w:sz w:val="18"/>
              </w:rPr>
              <w:t>gelir seviyesi</w:t>
            </w:r>
            <w:r>
              <w:rPr>
                <w:sz w:val="18"/>
              </w:rPr>
              <w:t>dür; cash burn (nakit yakımı) ile aynı kavram değildir ve doğrudan karşılaştırılamaz.</w:t>
            </w:r>
          </w:p>
        </w:tc>
      </w:tr>
      <w:tr>
        <w:tc>
          <w:tcPr>
            <w:tcW w:type="dxa" w:w="4680"/>
          </w:tcPr>
          <w:p>
            <w:r>
              <w:rPr>
                <w:sz w:val="18"/>
              </w:rPr>
            </w:r>
            <w:r>
              <w:rPr>
                <w:b/>
                <w:sz w:val="18"/>
              </w:rPr>
              <w:t>Cash burn</w:t>
            </w:r>
          </w:p>
        </w:tc>
        <w:tc>
          <w:tcPr>
            <w:tcW w:type="dxa" w:w="4680"/>
          </w:tcPr>
          <w:p>
            <w:r>
              <w:rPr>
                <w:sz w:val="18"/>
              </w:rPr>
            </w:r>
            <w:r>
              <w:rPr>
                <w:sz w:val="18"/>
              </w:rPr>
              <w:t>Bir dönemdeki net nakit çıkışı. Net zarar ile aynı değildir (nakit dışı kalemler içermez).</w:t>
            </w:r>
          </w:p>
        </w:tc>
      </w:tr>
      <w:tr>
        <w:tc>
          <w:tcPr>
            <w:tcW w:type="dxa" w:w="4680"/>
          </w:tcPr>
          <w:p>
            <w:r>
              <w:rPr>
                <w:sz w:val="18"/>
              </w:rPr>
            </w:r>
            <w:r>
              <w:rPr>
                <w:b/>
                <w:sz w:val="18"/>
              </w:rPr>
              <w:t>Backlog (sipariş birikimi)</w:t>
            </w:r>
          </w:p>
        </w:tc>
        <w:tc>
          <w:tcPr>
            <w:tcW w:type="dxa" w:w="4680"/>
          </w:tcPr>
          <w:p>
            <w:r>
              <w:rPr>
                <w:sz w:val="18"/>
              </w:rPr>
            </w:r>
            <w:r>
              <w:rPr>
                <w:sz w:val="18"/>
              </w:rPr>
              <w:t xml:space="preserve">Sözleşmeye bağlanmış veya beklenen gelecek gelir görünürlüğü. Bir </w:t>
            </w:r>
            <w:r>
              <w:rPr>
                <w:b/>
                <w:sz w:val="18"/>
              </w:rPr>
              <w:t>yükümlülük değil</w:t>
            </w:r>
            <w:r>
              <w:rPr>
                <w:sz w:val="18"/>
              </w:rPr>
              <w:t>, gelir taahhüdüdür; riski iptal hükümlerine ve teslim maliyetine bağlıdır.</w:t>
            </w:r>
          </w:p>
        </w:tc>
      </w:tr>
      <w:tr>
        <w:tc>
          <w:tcPr>
            <w:tcW w:type="dxa" w:w="4680"/>
          </w:tcPr>
          <w:p>
            <w:r>
              <w:rPr>
                <w:sz w:val="18"/>
              </w:rPr>
            </w:r>
            <w:r>
              <w:rPr>
                <w:b/>
                <w:sz w:val="18"/>
              </w:rPr>
              <w:t>Runway (pist)</w:t>
            </w:r>
          </w:p>
        </w:tc>
        <w:tc>
          <w:tcPr>
            <w:tcW w:type="dxa" w:w="4680"/>
          </w:tcPr>
          <w:p>
            <w:r>
              <w:rPr>
                <w:sz w:val="18"/>
              </w:rPr>
            </w:r>
            <w:r>
              <w:rPr>
                <w:sz w:val="18"/>
              </w:rPr>
              <w:t>Mevcut kullanılabilir likiditenin mevcut yakım hızıyla kaç ay dayanacağı. Planlanan/henüz tamamlanmamış finansman runway'e dahil edilmez.</w:t>
            </w:r>
          </w:p>
        </w:tc>
      </w:tr>
      <w:tr>
        <w:tc>
          <w:tcPr>
            <w:tcW w:type="dxa" w:w="4680"/>
          </w:tcPr>
          <w:p>
            <w:r>
              <w:rPr>
                <w:sz w:val="18"/>
              </w:rPr>
            </w:r>
            <w:r>
              <w:rPr>
                <w:b/>
                <w:sz w:val="18"/>
              </w:rPr>
              <w:t>Faiz karşılama oranı</w:t>
            </w:r>
          </w:p>
        </w:tc>
        <w:tc>
          <w:tcPr>
            <w:tcW w:type="dxa" w:w="4680"/>
          </w:tcPr>
          <w:p>
            <w:r>
              <w:rPr>
                <w:sz w:val="18"/>
              </w:rPr>
            </w:r>
            <w:r>
              <w:rPr>
                <w:sz w:val="18"/>
              </w:rPr>
              <w:t>Faiz giderinin kaç katı kazanç/nakit yaratıldığı; borç servis kapasitesinin temel göstergesi.</w:t>
            </w:r>
          </w:p>
        </w:tc>
      </w:tr>
      <w:tr>
        <w:tc>
          <w:tcPr>
            <w:tcW w:type="dxa" w:w="4680"/>
          </w:tcPr>
          <w:p>
            <w:r>
              <w:rPr>
                <w:sz w:val="18"/>
              </w:rPr>
            </w:r>
            <w:r>
              <w:rPr>
                <w:b/>
                <w:sz w:val="18"/>
              </w:rPr>
              <w:t>Upstream / Downstream</w:t>
            </w:r>
          </w:p>
        </w:tc>
        <w:tc>
          <w:tcPr>
            <w:tcW w:type="dxa" w:w="4680"/>
          </w:tcPr>
          <w:p>
            <w:r>
              <w:rPr>
                <w:sz w:val="18"/>
              </w:rPr>
            </w:r>
            <w:r>
              <w:rPr>
                <w:sz w:val="18"/>
              </w:rPr>
              <w:t>Değer zincirinde kaynağa (üretime) yakın / nihai müşteriye yakın. Fiziksel ürün downstream, nakit upstream, talep şoku upstream yönde akar.</w:t>
            </w:r>
          </w:p>
        </w:tc>
      </w:tr>
      <w:tr>
        <w:tc>
          <w:tcPr>
            <w:tcW w:type="dxa" w:w="4680"/>
          </w:tcPr>
          <w:p>
            <w:r>
              <w:rPr>
                <w:sz w:val="18"/>
              </w:rPr>
            </w:r>
            <w:r>
              <w:rPr>
                <w:b/>
                <w:sz w:val="18"/>
              </w:rPr>
              <w:t>Sistemik kritiklik</w:t>
            </w:r>
          </w:p>
        </w:tc>
        <w:tc>
          <w:tcPr>
            <w:tcW w:type="dxa" w:w="4680"/>
          </w:tcPr>
          <w:p>
            <w:r>
              <w:rPr>
                <w:sz w:val="18"/>
              </w:rPr>
            </w:r>
            <w:r>
              <w:rPr>
                <w:sz w:val="18"/>
              </w:rPr>
              <w:t>Bir şirket durduğunda sistemin gördüğü zarar; finansal sağlığından bağımsız.</w:t>
            </w:r>
          </w:p>
        </w:tc>
      </w:tr>
      <w:tr>
        <w:tc>
          <w:tcPr>
            <w:tcW w:type="dxa" w:w="4680"/>
          </w:tcPr>
          <w:p>
            <w:r>
              <w:rPr>
                <w:sz w:val="18"/>
              </w:rPr>
            </w:r>
            <w:r>
              <w:rPr>
                <w:b/>
                <w:sz w:val="18"/>
              </w:rPr>
              <w:t>DDTL</w:t>
            </w:r>
          </w:p>
        </w:tc>
        <w:tc>
          <w:tcPr>
            <w:tcW w:type="dxa" w:w="4680"/>
          </w:tcPr>
          <w:p>
            <w:r>
              <w:rPr>
                <w:sz w:val="18"/>
              </w:rPr>
            </w:r>
            <w:r>
              <w:rPr>
                <w:sz w:val="18"/>
              </w:rPr>
              <w:t>Gecikmeli çekim vadeli kredi (Delayed-Draw Term Loan); CoreWeave'in GPU-teminatlı borç yapısı.</w:t>
            </w:r>
          </w:p>
        </w:tc>
      </w:tr>
      <w:tr>
        <w:tc>
          <w:tcPr>
            <w:tcW w:type="dxa" w:w="4680"/>
          </w:tcPr>
          <w:p>
            <w:r>
              <w:rPr>
                <w:sz w:val="18"/>
              </w:rPr>
            </w:r>
            <w:r>
              <w:rPr>
                <w:b/>
                <w:sz w:val="18"/>
              </w:rPr>
              <w:t>EUV</w:t>
            </w:r>
          </w:p>
        </w:tc>
        <w:tc>
          <w:tcPr>
            <w:tcW w:type="dxa" w:w="4680"/>
          </w:tcPr>
          <w:p>
            <w:r>
              <w:rPr>
                <w:sz w:val="18"/>
              </w:rPr>
            </w:r>
            <w:r>
              <w:rPr>
                <w:sz w:val="18"/>
              </w:rPr>
              <w:t>Aşırı ultraviyole litografi; ileri düğüm çip üretiminin kritik teknolojisi (ASML tekeli).</w:t>
            </w:r>
          </w:p>
        </w:tc>
      </w:tr>
      <w:tr>
        <w:tc>
          <w:tcPr>
            <w:tcW w:type="dxa" w:w="4680"/>
          </w:tcPr>
          <w:p>
            <w:r>
              <w:rPr>
                <w:sz w:val="18"/>
              </w:rPr>
            </w:r>
            <w:r>
              <w:rPr>
                <w:b/>
                <w:sz w:val="18"/>
              </w:rPr>
              <w:t>0DTE / CALL / PUT</w:t>
            </w:r>
          </w:p>
        </w:tc>
        <w:tc>
          <w:tcPr>
            <w:tcW w:type="dxa" w:w="4680"/>
          </w:tcPr>
          <w:p>
            <w:r>
              <w:rPr>
                <w:sz w:val="18"/>
              </w:rPr>
            </w:r>
            <w:r>
              <w:rPr>
                <w:sz w:val="18"/>
              </w:rPr>
              <w:t>Aynı gün vadeli opsiyon / alım opsiyonu / satım opsiyonu.</w:t>
            </w:r>
          </w:p>
        </w:tc>
      </w:tr>
    </w:tbl>
    <w:p/>
    <w:p>
      <w:pPr>
        <w:pStyle w:val="Heading1"/>
      </w:pPr>
      <w:r>
        <w:t>1. Yönetici Özeti</w:t>
      </w:r>
    </w:p>
    <w:p>
      <w:r>
        <w:t>Yapay zeka değer zinciri, teknoloji tarihinin en büyük sermaye harcaması döngüsünün merkezinde ve giderek zorlaşan bir makroekonomik zeminde işlemektedir. Bu rapor, zincirin altı katmanını — litografi (ASML), dökümhane (TSMC, GlobalFoundries, Intel), çip tasarımı (NVIDIA, AMD, Broadcom, Qualcomm), veri merkezi/ağ/enerji (Arista, Super Micro, Constellation), hyperscaler (Amazon, Meta, Alphabet, Microsoft, Apple) ve uç katman (neo-cloud: CoreWeave, Nebius, Lambda; LLM: OpenAI, Anthropic) — finansal dayanıklılık ve sistemik önem açısından haritalandırır.</w:t>
      </w:r>
    </w:p>
    <w:p>
      <w:r>
        <w:rPr>
          <w:b/>
        </w:rPr>
        <w:t>Ana yargı:</w:t>
      </w:r>
      <w:r>
        <w:t xml:space="preserve"> "AI balon mu?" sorusunun tek kelimelik bir cevabı yoktur. Zincir, risk profili birbirinden çok farklı katmanların yığılmasıdır. Doğru soru şudur: </w:t>
      </w:r>
      <w:r>
        <w:rPr>
          <w:i/>
        </w:rPr>
        <w:t>zincirin hangi halkası kırılgan, o halka koptuğunda bulaşıcılık ne kadar yayılır ve hangi katman gerçekten ikame edilemez?</w:t>
      </w:r>
    </w:p>
    <w:p>
      <w:pPr>
        <w:pStyle w:val="Heading2"/>
      </w:pPr>
      <w:r>
        <w:t>Beş temel bulgu</w:t>
      </w:r>
    </w:p>
    <w:p>
      <w:r>
        <w:rPr>
          <w:b/>
        </w:rPr>
        <w:t>1. İncelenen örneklemde sistemik kritiklik ile finansal risk belirgin bir ters yönlü ayrışma gösteriyor.</w:t>
      </w:r>
      <w:r>
        <w:t xml:space="preserve"> Zincirin en ikame edilemez halkaları (TSMC, ASML, NVIDIA) aynı zamanda en sağlam bilançolara sahiptir. TSMC'nin faiz karşılama oranı 242,5x, nakit/borç oranı 3,17; ASML'nin borç/özkaynak oranı %13.</w:t>
      </w:r>
      <w:r>
        <w:rPr>
          <w:vertAlign w:val="superscript"/>
        </w:rPr>
        <w:t>1</w:t>
      </w:r>
      <w:r>
        <w:rPr>
          <w:vertAlign w:val="superscript"/>
        </w:rPr>
        <w:t>2</w:t>
      </w:r>
      <w:r>
        <w:rPr>
          <w:vertAlign w:val="superscript"/>
        </w:rPr>
        <w:t>3</w:t>
      </w:r>
      <w:r>
        <w:t xml:space="preserve"> Buna karşılık finansal olarak en kırılgan halkalar (CoreWeave, Super Micro, Intel) operasyonel olarak büyük ölçüde ikame edilebilir. Bu gözlem istatistiksel bir korelasyon hesabına değil, incelenen şirket setindeki belirgin bir ayrışmaya dayanır ve "en çok borçlu = en tehlikeli" sezgisinin yanlış olduğunu gösterir: </w:t>
      </w:r>
      <w:r>
        <w:rPr>
          <w:b/>
        </w:rPr>
        <w:t>borç krizi sistemi durdurmaz, arz şoku durdurur.</w:t>
      </w:r>
    </w:p>
    <w:p>
      <w:r>
        <w:rPr>
          <w:b/>
        </w:rPr>
        <w:t>2. En olası yakın vadeli kırılma finansal, en yıkıcı uzak vadeli kırılma fizikseldir.</w:t>
      </w:r>
      <w:r>
        <w:t xml:space="preserve"> En olası ilk kırılma, yüksek kaldıraçlı ve dar marjlı neo-cloud katmanındadır (CoreWeave: 25,1 milyar $ borç, cari oran 0,31, S&amp;P 'B' notu).</w:t>
      </w:r>
      <w:r>
        <w:rPr>
          <w:vertAlign w:val="superscript"/>
        </w:rPr>
        <w:t>4</w:t>
      </w:r>
      <w:r>
        <w:rPr>
          <w:vertAlign w:val="superscript"/>
        </w:rPr>
        <w:t>5</w:t>
      </w:r>
      <w:r>
        <w:t xml:space="preserve"> Ancak bu katmanın batması sistemi durdurmaz; kredi fonları zarar yazar, varlıklar iskontoyla hyperscaler'lara geçer. En yıkıcı senaryo ise TSMC'nin fiziksel kaybıdır — düşük olasılıklı ama telafi edilemez. Bu ikisi aynı cümlede "en tehlikeli" diye sunulamaz; biri </w:t>
      </w:r>
      <w:r>
        <w:rPr>
          <w:i/>
        </w:rPr>
        <w:t>en olası</w:t>
      </w:r>
      <w:r>
        <w:t xml:space="preserve">, diğeri </w:t>
      </w:r>
      <w:r>
        <w:rPr>
          <w:i/>
        </w:rPr>
        <w:t>en yıkıcı</w:t>
      </w:r>
      <w:r>
        <w:t>dır ve rapor bu ayrımı korur.</w:t>
      </w:r>
    </w:p>
    <w:p>
      <w:r>
        <w:rPr>
          <w:b/>
        </w:rPr>
        <w:t>3. "Geleceği ipotek etmek" tek bir şey değil, üç farklı mekanizmadır ve riskleri farklıdır.</w:t>
      </w:r>
      <w:r>
        <w:t xml:space="preserve"> Borçlanma (Amazon'un 2026'da 72 milyar $'a ulaşan tahvil ihracı</w:t>
      </w:r>
      <w:r>
        <w:rPr>
          <w:vertAlign w:val="superscript"/>
        </w:rPr>
        <w:t>6</w:t>
      </w:r>
      <w:r>
        <w:t>), iptal edilemez satın alma taahhüdü (Meta'nın 238 milyar $ bağlayıcı sözleşmesi, tek çeyrekte 107 milyar $</w:t>
      </w:r>
      <w:r>
        <w:rPr>
          <w:vertAlign w:val="superscript"/>
        </w:rPr>
        <w:t>7</w:t>
      </w:r>
      <w:r>
        <w:t>) ve özkaynak sulandırması (Alphabet'in 84,75 milyar $ hisse arzı</w:t>
      </w:r>
      <w:r>
        <w:rPr>
          <w:vertAlign w:val="superscript"/>
        </w:rPr>
        <w:t>8</w:t>
      </w:r>
      <w:r>
        <w:t xml:space="preserve">) ekonomik olarak aynı kategori değildir. Borç faiz ve yeniden finansman (rollover) riski taşır; taahhüt geri dönülmez yükümlülük yaratır; hisse arzı ise bilançoyu </w:t>
      </w:r>
      <w:r>
        <w:rPr>
          <w:i/>
        </w:rPr>
        <w:t>güçlendirir</w:t>
      </w:r>
      <w:r>
        <w:t xml:space="preserve"> ve riski borç yerine sermayeye aktarır. Bu rapor, bunları tek bir "ipotek endeksi" altında toplamak yerine ayrı metriklerle ölçer.</w:t>
      </w:r>
    </w:p>
    <w:p>
      <w:r>
        <w:rPr>
          <w:b/>
        </w:rPr>
        <w:t>4. LLM gelir yaratımı, fiziksel maliyeti henüz karşılamıyor — ama bu tek belirleyici değişken değil.</w:t>
      </w:r>
      <w:r>
        <w:t xml:space="preserve"> Sistemin tepesindeki (LLM) ARR henüz en altındaki fiziksel capex'i finanse etmiyor: OpenAI'ın 2026 cash burn'ü 27 milyar $ olarak tahmin edilirken (analist tahmini</w:t>
      </w:r>
      <w:r>
        <w:rPr>
          <w:vertAlign w:val="superscript"/>
        </w:rPr>
        <w:t>9</w:t>
      </w:r>
      <w:r>
        <w:t xml:space="preserve">), Anthropic'in net nakit pozisyonu kamuya kapalıdır. Ancak "oyunun devamı tek bir değişkene — LLM ROI'sine — bağlıdır" iddiası aşırı merkezileştirmedir. Hyperscaler'lar reklam, e-ticaret ve kurumsal yazılımdan gelen çapraz sübvansiyon kapasitesine sahiptir; GPU'lar yalnızca temel model eğitimi için kullanılmaz; güç kapasitesi, özel ASIC'ler ve çip verimliliği bağımsız kritik değişkenlerdir. Doğru soru şudur: </w:t>
      </w:r>
      <w:r>
        <w:rPr>
          <w:i/>
        </w:rPr>
        <w:t>AI'ya atfedilebilen artımlı nakit akışı, artımlı capex ve sabit yükümlülükleri hangi tarihte karşılayabilir?</w:t>
      </w:r>
    </w:p>
    <w:p>
      <w:r>
        <w:rPr>
          <w:b/>
        </w:rPr>
        <w:t>5. Kırılma kronolojisi: önce finansal, sonra fiziksel.</w:t>
      </w:r>
      <w:r>
        <w:t xml:space="preserve"> Olasılık sırasına göre: (i) neo-cloud kredi temerrüdü (en olası, sınırlı etki), (ii) hyperscaler capex disiplini krizi (orta olasılık, geniş piyasa etkisi), (iii) TSMC fiziksel kaybı (en düşük olasılık, katastrofik etki). Yatırımcı ve düzenleyici odağı, kâr marjından çok </w:t>
      </w:r>
      <w:r>
        <w:rPr>
          <w:b/>
        </w:rPr>
        <w:t>gizli kaldıraç mekanizmalarına</w:t>
      </w:r>
      <w:r>
        <w:t xml:space="preserve"> — CoreWeave'in DDTL covenant eşikleri, GPU-teminatlı krediler ve kapalı LLM churn oranlarına — kaymalıdır; bunlar raporun "kör noktalar" bölümünde bilinmeyen olarak işaretlenmiştir.</w:t>
      </w:r>
    </w:p>
    <w:p>
      <w:pPr>
        <w:pStyle w:val="Heading2"/>
      </w:pPr>
      <w:r>
        <w:t>Risk haritasının özeti</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Kategori</w:t>
            </w:r>
          </w:p>
        </w:tc>
        <w:tc>
          <w:tcPr>
            <w:tcW w:type="dxa" w:w="3120"/>
            <w:shd w:val="clear" w:color="auto" w:fill="D9D9D9"/>
          </w:tcPr>
          <w:p>
            <w:r>
              <w:rPr>
                <w:b/>
                <w:sz w:val="18"/>
              </w:rPr>
            </w:r>
            <w:r>
              <w:rPr>
                <w:b/>
                <w:sz w:val="18"/>
              </w:rPr>
              <w:t>Şirketler</w:t>
            </w:r>
          </w:p>
        </w:tc>
        <w:tc>
          <w:tcPr>
            <w:tcW w:type="dxa" w:w="3120"/>
            <w:shd w:val="clear" w:color="auto" w:fill="D9D9D9"/>
          </w:tcPr>
          <w:p>
            <w:r>
              <w:rPr>
                <w:b/>
                <w:sz w:val="18"/>
              </w:rPr>
            </w:r>
            <w:r>
              <w:rPr>
                <w:b/>
                <w:sz w:val="18"/>
              </w:rPr>
              <w:t>Gerekçe</w:t>
            </w:r>
          </w:p>
        </w:tc>
      </w:tr>
      <w:tr>
        <w:tc>
          <w:tcPr>
            <w:tcW w:type="dxa" w:w="3120"/>
          </w:tcPr>
          <w:p>
            <w:r>
              <w:rPr>
                <w:sz w:val="18"/>
              </w:rPr>
            </w:r>
            <w:r>
              <w:rPr>
                <w:sz w:val="18"/>
              </w:rPr>
              <w:t>Yüksek sistemik etki + düşük finansal risk</w:t>
            </w:r>
          </w:p>
        </w:tc>
        <w:tc>
          <w:tcPr>
            <w:tcW w:type="dxa" w:w="3120"/>
          </w:tcPr>
          <w:p>
            <w:r>
              <w:rPr>
                <w:sz w:val="18"/>
              </w:rPr>
            </w:r>
            <w:r>
              <w:rPr>
                <w:sz w:val="18"/>
              </w:rPr>
              <w:t>TSMC, ASML, NVIDIA</w:t>
            </w:r>
          </w:p>
        </w:tc>
        <w:tc>
          <w:tcPr>
            <w:tcW w:type="dxa" w:w="3120"/>
          </w:tcPr>
          <w:p>
            <w:r>
              <w:rPr>
                <w:sz w:val="18"/>
              </w:rPr>
            </w:r>
            <w:r>
              <w:rPr>
                <w:sz w:val="18"/>
              </w:rPr>
              <w:t>Tekel/güçlü fiyatlama + çok sağlam bilanço</w:t>
            </w:r>
          </w:p>
        </w:tc>
      </w:tr>
      <w:tr>
        <w:tc>
          <w:tcPr>
            <w:tcW w:type="dxa" w:w="3120"/>
          </w:tcPr>
          <w:p>
            <w:r>
              <w:rPr>
                <w:sz w:val="18"/>
              </w:rPr>
            </w:r>
            <w:r>
              <w:rPr>
                <w:sz w:val="18"/>
              </w:rPr>
              <w:t>Yüksek sistemik etki + yönetilebilir risk</w:t>
            </w:r>
          </w:p>
        </w:tc>
        <w:tc>
          <w:tcPr>
            <w:tcW w:type="dxa" w:w="3120"/>
          </w:tcPr>
          <w:p>
            <w:r>
              <w:rPr>
                <w:sz w:val="18"/>
              </w:rPr>
            </w:r>
            <w:r>
              <w:rPr>
                <w:sz w:val="18"/>
              </w:rPr>
              <w:t>Microsoft, Alphabet, Amazon, Broadcom</w:t>
            </w:r>
          </w:p>
        </w:tc>
        <w:tc>
          <w:tcPr>
            <w:tcW w:type="dxa" w:w="3120"/>
          </w:tcPr>
          <w:p>
            <w:r>
              <w:rPr>
                <w:sz w:val="18"/>
              </w:rPr>
            </w:r>
            <w:r>
              <w:rPr>
                <w:sz w:val="18"/>
              </w:rPr>
              <w:t>Çapraz sübvansiyon kapasitesi, güçlü OCF</w:t>
            </w:r>
          </w:p>
        </w:tc>
      </w:tr>
      <w:tr>
        <w:tc>
          <w:tcPr>
            <w:tcW w:type="dxa" w:w="3120"/>
          </w:tcPr>
          <w:p>
            <w:r>
              <w:rPr>
                <w:sz w:val="18"/>
              </w:rPr>
            </w:r>
            <w:r>
              <w:rPr>
                <w:sz w:val="18"/>
              </w:rPr>
              <w:t>Düşük-orta etki + yüksek finansal risk (en olası kırılma)</w:t>
            </w:r>
          </w:p>
        </w:tc>
        <w:tc>
          <w:tcPr>
            <w:tcW w:type="dxa" w:w="3120"/>
          </w:tcPr>
          <w:p>
            <w:r>
              <w:rPr>
                <w:sz w:val="18"/>
              </w:rPr>
            </w:r>
            <w:r>
              <w:rPr>
                <w:sz w:val="18"/>
              </w:rPr>
              <w:t>CoreWeave, Super Micro, Intel</w:t>
            </w:r>
          </w:p>
        </w:tc>
        <w:tc>
          <w:tcPr>
            <w:tcW w:type="dxa" w:w="3120"/>
          </w:tcPr>
          <w:p>
            <w:r>
              <w:rPr>
                <w:sz w:val="18"/>
              </w:rPr>
            </w:r>
            <w:r>
              <w:rPr>
                <w:sz w:val="18"/>
              </w:rPr>
              <w:t>Yüksek kaldıraç, dar marj, dar likidite</w:t>
            </w:r>
          </w:p>
        </w:tc>
      </w:tr>
      <w:tr>
        <w:tc>
          <w:tcPr>
            <w:tcW w:type="dxa" w:w="3120"/>
          </w:tcPr>
          <w:p>
            <w:r>
              <w:rPr>
                <w:sz w:val="18"/>
              </w:rPr>
            </w:r>
            <w:r>
              <w:rPr>
                <w:sz w:val="18"/>
              </w:rPr>
              <w:t>Yüksek belirsizlik (veri yetersiz)</w:t>
            </w:r>
          </w:p>
        </w:tc>
        <w:tc>
          <w:tcPr>
            <w:tcW w:type="dxa" w:w="3120"/>
          </w:tcPr>
          <w:p>
            <w:r>
              <w:rPr>
                <w:sz w:val="18"/>
              </w:rPr>
            </w:r>
            <w:r>
              <w:rPr>
                <w:sz w:val="18"/>
              </w:rPr>
              <w:t>OpenAI, Anthropic, Lambda</w:t>
            </w:r>
          </w:p>
        </w:tc>
        <w:tc>
          <w:tcPr>
            <w:tcW w:type="dxa" w:w="3120"/>
          </w:tcPr>
          <w:p>
            <w:r>
              <w:rPr>
                <w:sz w:val="18"/>
              </w:rPr>
            </w:r>
            <w:r>
              <w:rPr>
                <w:sz w:val="18"/>
              </w:rPr>
              <w:t>Net nakit/burn kamuya kapalı; runway hesaplanamaz</w:t>
            </w:r>
          </w:p>
        </w:tc>
      </w:tr>
      <w:tr>
        <w:tc>
          <w:tcPr>
            <w:tcW w:type="dxa" w:w="3120"/>
          </w:tcPr>
          <w:p>
            <w:r>
              <w:rPr>
                <w:sz w:val="18"/>
              </w:rPr>
            </w:r>
            <w:r>
              <w:rPr>
                <w:sz w:val="18"/>
              </w:rPr>
              <w:t>Düşük kaldıraç "tampon" katmanı</w:t>
            </w:r>
          </w:p>
        </w:tc>
        <w:tc>
          <w:tcPr>
            <w:tcW w:type="dxa" w:w="3120"/>
          </w:tcPr>
          <w:p>
            <w:r>
              <w:rPr>
                <w:sz w:val="18"/>
              </w:rPr>
            </w:r>
            <w:r>
              <w:rPr>
                <w:sz w:val="18"/>
              </w:rPr>
              <w:t>Arista, Apple, Alphabet</w:t>
            </w:r>
          </w:p>
        </w:tc>
        <w:tc>
          <w:tcPr>
            <w:tcW w:type="dxa" w:w="3120"/>
          </w:tcPr>
          <w:p>
            <w:r>
              <w:rPr>
                <w:sz w:val="18"/>
              </w:rPr>
            </w:r>
            <w:r>
              <w:rPr>
                <w:sz w:val="18"/>
              </w:rPr>
              <w:t>Sıfır/düşük borç, altyapı sarmalı dışında veya sermaye finansmanlı</w:t>
            </w:r>
          </w:p>
        </w:tc>
      </w:tr>
    </w:tbl>
    <w:p/>
    <w:p>
      <w:r>
        <w:rPr>
          <w:i/>
          <w:color w:val="444444"/>
          <w:sz w:val="19"/>
        </w:rPr>
        <w:t>Kaynak: §4–§7'deki şirket verileri; tablo niteliksel sınıflandırmadır, skor çarpımı içermez. Tarih: 13 Temmuz 2026.</w:t>
      </w:r>
    </w:p>
    <w:p>
      <w:pPr>
        <w:pStyle w:val="Heading2"/>
      </w:pPr>
      <w:r>
        <w:t>Bu raporun yaptığı ve yapmadığı</w:t>
      </w:r>
    </w:p>
    <w:p>
      <w:r>
        <w:t xml:space="preserve">Rapor, hangi taşın devrilmesinin domino etkisi yaratacağını, herkesin oyuna devam edebilmesi için hangi koşulların gerektiğini ve hangi şirketlerin tüm sektör kötüye gitmeden de batabileceğini senaryo ve stres testleriyle yanıtlar. Rapor ayrıca: sözel olasılık sınıflarını şeffaf bir sayısal banda bağlar (§2.6), olumsuz senaryoların yanına </w:t>
      </w:r>
      <w:r>
        <w:rPr>
          <w:b/>
        </w:rPr>
        <w:t>baz ve pozitif senaryo</w:t>
      </w:r>
      <w:r>
        <w:t xml:space="preserve"> ekler (§8.6–8.7), senaryolar arası koşullu olasılık ve kesişim matrisini kurar (§8.8), sonuçta </w:t>
      </w:r>
      <w:r>
        <w:rPr>
          <w:b/>
        </w:rPr>
        <w:t>iyi yön ile kötü yön olasılıklarını</w:t>
      </w:r>
      <w:r>
        <w:t xml:space="preserve"> bir karar ağacıyla verir (§11) ve senaryoları yalnızca prim ödenen uzun call ve put portföylerine çevirir (§13). Rapor </w:t>
      </w:r>
      <w:r>
        <w:rPr>
          <w:b/>
        </w:rPr>
        <w:t>yapmadığı</w:t>
      </w:r>
      <w:r>
        <w:t xml:space="preserve"> şey: doğrulanamayan veriyi kesinmiş gibi sunmak, sayısal bantları ampirik olarak kalibre edilmiş model gibi göstermek ve planlanan finansmanı mevcut nakit saymak.</w:t>
      </w:r>
    </w:p>
    <w:p>
      <w:pPr>
        <w:pStyle w:val="Heading1"/>
      </w:pPr>
      <w:r>
        <w:t>2. Sistem Sınırı ve Metodoloji</w:t>
      </w:r>
    </w:p>
    <w:p>
      <w:pPr>
        <w:pStyle w:val="Heading2"/>
      </w:pPr>
      <w:r>
        <w:t>2.1 Sistem sınırı</w:t>
      </w:r>
    </w:p>
    <w:p>
      <w:r>
        <w:t>Analizin kapsamı, AI değer zincirinin altı operasyonel katmanıdır. Sınır dışında bırakılanlar: uygulama katmanındaki dikey yazılımlar, AI'a maruz kalan ama zincirin parçası olmayan sektörler (örn. otomotiv), ve makro-finansal sistemin geneli (bankacılık krizi senaryoları yalnızca bulaşıcılık kanalı olarak ele alınır).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Katman</w:t>
            </w:r>
          </w:p>
        </w:tc>
        <w:tc>
          <w:tcPr>
            <w:tcW w:type="dxa" w:w="3120"/>
            <w:shd w:val="clear" w:color="auto" w:fill="D9D9D9"/>
          </w:tcPr>
          <w:p>
            <w:r>
              <w:rPr>
                <w:b/>
                <w:sz w:val="18"/>
              </w:rPr>
            </w:r>
            <w:r>
              <w:rPr>
                <w:b/>
                <w:sz w:val="18"/>
              </w:rPr>
              <w:t>Rol</w:t>
            </w:r>
          </w:p>
        </w:tc>
        <w:tc>
          <w:tcPr>
            <w:tcW w:type="dxa" w:w="3120"/>
            <w:shd w:val="clear" w:color="auto" w:fill="D9D9D9"/>
          </w:tcPr>
          <w:p>
            <w:r>
              <w:rPr>
                <w:b/>
                <w:sz w:val="18"/>
              </w:rPr>
            </w:r>
            <w:r>
              <w:rPr>
                <w:b/>
                <w:sz w:val="18"/>
              </w:rPr>
              <w:t>İncelenen şirketler</w:t>
            </w:r>
          </w:p>
        </w:tc>
      </w:tr>
      <w:tr>
        <w:tc>
          <w:tcPr>
            <w:tcW w:type="dxa" w:w="3120"/>
          </w:tcPr>
          <w:p>
            <w:r>
              <w:rPr>
                <w:sz w:val="18"/>
              </w:rPr>
            </w:r>
            <w:r>
              <w:rPr>
                <w:sz w:val="18"/>
              </w:rPr>
              <w:t>1 — Fiziksel üretim</w:t>
            </w:r>
          </w:p>
        </w:tc>
        <w:tc>
          <w:tcPr>
            <w:tcW w:type="dxa" w:w="3120"/>
          </w:tcPr>
          <w:p>
            <w:r>
              <w:rPr>
                <w:sz w:val="18"/>
              </w:rPr>
            </w:r>
            <w:r>
              <w:rPr>
                <w:sz w:val="18"/>
              </w:rPr>
              <w:t>Litografi + dökümhane</w:t>
            </w:r>
          </w:p>
        </w:tc>
        <w:tc>
          <w:tcPr>
            <w:tcW w:type="dxa" w:w="3120"/>
          </w:tcPr>
          <w:p>
            <w:r>
              <w:rPr>
                <w:sz w:val="18"/>
              </w:rPr>
            </w:r>
            <w:r>
              <w:rPr>
                <w:sz w:val="18"/>
              </w:rPr>
              <w:t>ASML, TSMC, GlobalFoundries, Intel</w:t>
            </w:r>
          </w:p>
        </w:tc>
      </w:tr>
      <w:tr>
        <w:tc>
          <w:tcPr>
            <w:tcW w:type="dxa" w:w="3120"/>
          </w:tcPr>
          <w:p>
            <w:r>
              <w:rPr>
                <w:sz w:val="18"/>
              </w:rPr>
            </w:r>
            <w:r>
              <w:rPr>
                <w:sz w:val="18"/>
              </w:rPr>
              <w:t>2 — Çip tasarımı</w:t>
            </w:r>
          </w:p>
        </w:tc>
        <w:tc>
          <w:tcPr>
            <w:tcW w:type="dxa" w:w="3120"/>
          </w:tcPr>
          <w:p>
            <w:r>
              <w:rPr>
                <w:sz w:val="18"/>
              </w:rPr>
            </w:r>
            <w:r>
              <w:rPr>
                <w:sz w:val="18"/>
              </w:rPr>
              <w:t>Fabless tasarım</w:t>
            </w:r>
          </w:p>
        </w:tc>
        <w:tc>
          <w:tcPr>
            <w:tcW w:type="dxa" w:w="3120"/>
          </w:tcPr>
          <w:p>
            <w:r>
              <w:rPr>
                <w:sz w:val="18"/>
              </w:rPr>
            </w:r>
            <w:r>
              <w:rPr>
                <w:sz w:val="18"/>
              </w:rPr>
              <w:t>NVIDIA, AMD, Broadcom, Qualcomm</w:t>
            </w:r>
          </w:p>
        </w:tc>
      </w:tr>
      <w:tr>
        <w:tc>
          <w:tcPr>
            <w:tcW w:type="dxa" w:w="3120"/>
          </w:tcPr>
          <w:p>
            <w:r>
              <w:rPr>
                <w:sz w:val="18"/>
              </w:rPr>
            </w:r>
            <w:r>
              <w:rPr>
                <w:sz w:val="18"/>
              </w:rPr>
              <w:t>3 — Veri merkezi / ağ / enerji</w:t>
            </w:r>
          </w:p>
        </w:tc>
        <w:tc>
          <w:tcPr>
            <w:tcW w:type="dxa" w:w="3120"/>
          </w:tcPr>
          <w:p>
            <w:r>
              <w:rPr>
                <w:sz w:val="18"/>
              </w:rPr>
            </w:r>
            <w:r>
              <w:rPr>
                <w:sz w:val="18"/>
              </w:rPr>
              <w:t>Bağlantı, sunucu, güç</w:t>
            </w:r>
          </w:p>
        </w:tc>
        <w:tc>
          <w:tcPr>
            <w:tcW w:type="dxa" w:w="3120"/>
          </w:tcPr>
          <w:p>
            <w:r>
              <w:rPr>
                <w:sz w:val="18"/>
              </w:rPr>
            </w:r>
            <w:r>
              <w:rPr>
                <w:sz w:val="18"/>
              </w:rPr>
              <w:t>Arista, Super Micro, Constellation</w:t>
            </w:r>
          </w:p>
        </w:tc>
      </w:tr>
      <w:tr>
        <w:tc>
          <w:tcPr>
            <w:tcW w:type="dxa" w:w="3120"/>
          </w:tcPr>
          <w:p>
            <w:r>
              <w:rPr>
                <w:sz w:val="18"/>
              </w:rPr>
            </w:r>
            <w:r>
              <w:rPr>
                <w:sz w:val="18"/>
              </w:rPr>
              <w:t>4 — Hyperscaler</w:t>
            </w:r>
          </w:p>
        </w:tc>
        <w:tc>
          <w:tcPr>
            <w:tcW w:type="dxa" w:w="3120"/>
          </w:tcPr>
          <w:p>
            <w:r>
              <w:rPr>
                <w:sz w:val="18"/>
              </w:rPr>
            </w:r>
            <w:r>
              <w:rPr>
                <w:sz w:val="18"/>
              </w:rPr>
              <w:t>Bulut + capex</w:t>
            </w:r>
          </w:p>
        </w:tc>
        <w:tc>
          <w:tcPr>
            <w:tcW w:type="dxa" w:w="3120"/>
          </w:tcPr>
          <w:p>
            <w:r>
              <w:rPr>
                <w:sz w:val="18"/>
              </w:rPr>
            </w:r>
            <w:r>
              <w:rPr>
                <w:sz w:val="18"/>
              </w:rPr>
              <w:t>Amazon, Meta, Alphabet, Microsoft, Apple</w:t>
            </w:r>
          </w:p>
        </w:tc>
      </w:tr>
      <w:tr>
        <w:tc>
          <w:tcPr>
            <w:tcW w:type="dxa" w:w="3120"/>
          </w:tcPr>
          <w:p>
            <w:r>
              <w:rPr>
                <w:sz w:val="18"/>
              </w:rPr>
            </w:r>
            <w:r>
              <w:rPr>
                <w:sz w:val="18"/>
              </w:rPr>
              <w:t>5 — Neo-cloud</w:t>
            </w:r>
          </w:p>
        </w:tc>
        <w:tc>
          <w:tcPr>
            <w:tcW w:type="dxa" w:w="3120"/>
          </w:tcPr>
          <w:p>
            <w:r>
              <w:rPr>
                <w:sz w:val="18"/>
              </w:rPr>
            </w:r>
            <w:r>
              <w:rPr>
                <w:sz w:val="18"/>
              </w:rPr>
              <w:t>GPU kiralama</w:t>
            </w:r>
          </w:p>
        </w:tc>
        <w:tc>
          <w:tcPr>
            <w:tcW w:type="dxa" w:w="3120"/>
          </w:tcPr>
          <w:p>
            <w:r>
              <w:rPr>
                <w:sz w:val="18"/>
              </w:rPr>
            </w:r>
            <w:r>
              <w:rPr>
                <w:sz w:val="18"/>
              </w:rPr>
              <w:t>CoreWeave, Nebius, Lambda</w:t>
            </w:r>
          </w:p>
        </w:tc>
      </w:tr>
      <w:tr>
        <w:tc>
          <w:tcPr>
            <w:tcW w:type="dxa" w:w="3120"/>
          </w:tcPr>
          <w:p>
            <w:r>
              <w:rPr>
                <w:sz w:val="18"/>
              </w:rPr>
            </w:r>
            <w:r>
              <w:rPr>
                <w:sz w:val="18"/>
              </w:rPr>
              <w:t>6 — Temel model (LLM)</w:t>
            </w:r>
          </w:p>
        </w:tc>
        <w:tc>
          <w:tcPr>
            <w:tcW w:type="dxa" w:w="3120"/>
          </w:tcPr>
          <w:p>
            <w:r>
              <w:rPr>
                <w:sz w:val="18"/>
              </w:rPr>
            </w:r>
            <w:r>
              <w:rPr>
                <w:sz w:val="18"/>
              </w:rPr>
              <w:t>Model geliştirme</w:t>
            </w:r>
          </w:p>
        </w:tc>
        <w:tc>
          <w:tcPr>
            <w:tcW w:type="dxa" w:w="3120"/>
          </w:tcPr>
          <w:p>
            <w:r>
              <w:rPr>
                <w:sz w:val="18"/>
              </w:rPr>
            </w:r>
            <w:r>
              <w:rPr>
                <w:sz w:val="18"/>
              </w:rPr>
              <w:t>OpenAI, Anthropic</w:t>
            </w:r>
          </w:p>
        </w:tc>
      </w:tr>
    </w:tbl>
    <w:p/>
    <w:p>
      <w:pPr>
        <w:pStyle w:val="Heading2"/>
      </w:pPr>
      <w:r>
        <w:t>2.2 Ayrıştırılan dört risk türü</w:t>
      </w:r>
    </w:p>
    <w:p>
      <w:r>
        <w:t>Bu dört risk türü analizde sık sık birbirine karıştırılır; bu rapor her iddiayı ait olduğu risk türüne bağlar:</w:t>
      </w:r>
    </w:p>
    <w:p>
      <w:pPr>
        <w:ind w:left="432"/>
      </w:pPr>
      <w:r>
        <w:t xml:space="preserve">1. </w:t>
      </w:r>
      <w:r>
        <w:rPr>
          <w:b/>
        </w:rPr>
        <w:t>Finansal temerrüt riski</w:t>
      </w:r>
      <w:r>
        <w:t xml:space="preserve"> — borç/yükümlülük ödeyememe. Ölçüt: kaldıraç, faiz karşılama, likidite, vade yoğunlaşması.</w:t>
      </w:r>
    </w:p>
    <w:p>
      <w:pPr>
        <w:ind w:left="432"/>
      </w:pPr>
      <w:r>
        <w:t xml:space="preserve">2. </w:t>
      </w:r>
      <w:r>
        <w:rPr>
          <w:b/>
        </w:rPr>
        <w:t>Operasyonel tedarik kesintisi riski</w:t>
      </w:r>
      <w:r>
        <w:t xml:space="preserve"> — ürün/hizmet vermeyi fiziksel olarak durdurma. Ölçüt: üretim yoğunlaşması, ikame süresi, coğrafi risk.</w:t>
      </w:r>
    </w:p>
    <w:p>
      <w:pPr>
        <w:ind w:left="432"/>
      </w:pPr>
      <w:r>
        <w:t xml:space="preserve">3. </w:t>
      </w:r>
      <w:r>
        <w:rPr>
          <w:b/>
        </w:rPr>
        <w:t>Finansal bulaşıcılık riski</w:t>
      </w:r>
      <w:r>
        <w:t xml:space="preserve"> — bir başarısızlığın kredi, teminat ve piyasa kanalıyla yayılması. Ölçüt: bağlantısallık, teminat yapısı, karşı taraf yoğunlaşması.</w:t>
      </w:r>
    </w:p>
    <w:p>
      <w:pPr>
        <w:ind w:left="432"/>
      </w:pPr>
      <w:r>
        <w:t xml:space="preserve">4. </w:t>
      </w:r>
      <w:r>
        <w:rPr>
          <w:b/>
        </w:rPr>
        <w:t>Piyasa / değerleme riski</w:t>
      </w:r>
      <w:r>
        <w:t xml:space="preserve"> — hisse fiyatı düşüşü. Temerrütten bağımsızdır; bir şirket batmadan da hissedarları büyük kayıp yaşayabilir (örn. Intel).</w:t>
      </w:r>
    </w:p>
    <w:p>
      <w:r>
        <w:t>Bu ayrımın pratik sonucu: Arista'nın sıfır borcu onu finansal temerrüt açısından düşük riskli yapar, ama "risksiz" yapmaz — müşteri yoğunlaşması, gelir düşüşü ve değerleme riski (piyasa riski) devam eder. Bu rapor mutlak ifadelerden ("risksiz", "batamaz") kaçınır ve bunun yerine risk türünü ve ölçütünü belirtir.</w:t>
      </w:r>
    </w:p>
    <w:p>
      <w:pPr>
        <w:pStyle w:val="Heading2"/>
      </w:pPr>
      <w:r>
        <w:t>2.3 Üç ölçüm ekseni (çarpımsız)</w:t>
      </w:r>
    </w:p>
    <w:p>
      <w:r>
        <w:t>Yaygın bir yaklaşım, sistemik riski "ikame edilemezlik × bağlantısallık × kaldıraç" gibi tek bir çarpımsal formüle indirger. Bu formül kendi sonucuyla çelişir: TSMC'nin kaldıracı sıfıra yakın olduğundan, gerçek bir çarpımda sistemik skoru da sıfıra yaklaşmalıdır — oysa TSMC en kritik kabul edilmektedir. Çözüm, kavramları ayırmaktır:</w:t>
      </w:r>
    </w:p>
    <w:p>
      <w:r>
        <w:rPr>
          <w:b/>
        </w:rPr>
        <w:t>Eksen A — Sistemik Kritiklik (şirket durursa sistem ne kaybeder?):</w:t>
      </w:r>
    </w:p>
    <w:p>
      <w:pPr>
        <w:pStyle w:val="ListBullet"/>
      </w:pPr>
      <w:r>
        <w:t>İkame edilemezlik (alternatif tedarikçi var mı?)</w:t>
      </w:r>
    </w:p>
    <w:p>
      <w:pPr>
        <w:pStyle w:val="ListBullet"/>
      </w:pPr>
      <w:r>
        <w:t>Bağlantısallık (kaç katman bu şirkete bağlı?)</w:t>
      </w:r>
    </w:p>
    <w:p>
      <w:pPr>
        <w:pStyle w:val="ListBullet"/>
      </w:pPr>
      <w:r>
        <w:t>İkame süresi (yerine koymak kaç ay/yıl sürer?)</w:t>
      </w:r>
    </w:p>
    <w:p>
      <w:pPr>
        <w:pStyle w:val="ListBullet"/>
      </w:pPr>
      <w:r>
        <w:t>Hizmetin ekonomik kritikliği</w:t>
      </w:r>
    </w:p>
    <w:p>
      <w:pPr>
        <w:pStyle w:val="ListBullet"/>
      </w:pPr>
      <w:r>
        <w:t>Coğrafi yoğunlaşma</w:t>
      </w:r>
    </w:p>
    <w:p>
      <w:r>
        <w:rPr>
          <w:b/>
        </w:rPr>
        <w:t>Eksen B — Başarısızlık Olasılığı (şirket ne ihtimalle durur?):</w:t>
      </w:r>
    </w:p>
    <w:p>
      <w:pPr>
        <w:pStyle w:val="ListBullet"/>
      </w:pPr>
      <w:r>
        <w:t>Net kaldıraç</w:t>
      </w:r>
    </w:p>
    <w:p>
      <w:pPr>
        <w:pStyle w:val="ListBullet"/>
      </w:pPr>
      <w:r>
        <w:t>Faiz / sabit yük karşılama oranı</w:t>
      </w:r>
    </w:p>
    <w:p>
      <w:pPr>
        <w:pStyle w:val="ListBullet"/>
      </w:pPr>
      <w:r>
        <w:t>Likidite (cari oran, nakit)</w:t>
      </w:r>
    </w:p>
    <w:p>
      <w:pPr>
        <w:pStyle w:val="ListBullet"/>
      </w:pPr>
      <w:r>
        <w:t>Borç vade yoğunlaşması (yakın vadede ne kadar anapara?)</w:t>
      </w:r>
    </w:p>
    <w:p>
      <w:pPr>
        <w:pStyle w:val="ListBullet"/>
      </w:pPr>
      <w:r>
        <w:t>Değişken faiz maruziyeti (SOFR-bazlı borç)</w:t>
      </w:r>
    </w:p>
    <w:p>
      <w:pPr>
        <w:pStyle w:val="ListBullet"/>
      </w:pPr>
      <w:r>
        <w:t>Operasyonel risk (marj, müşteri yoğunlaşması)</w:t>
      </w:r>
    </w:p>
    <w:p>
      <w:pPr>
        <w:pStyle w:val="ListBullet"/>
      </w:pPr>
      <w:r>
        <w:t>Jeopolitik risk</w:t>
      </w:r>
    </w:p>
    <w:p>
      <w:r>
        <w:rPr>
          <w:b/>
        </w:rPr>
        <w:t>Eksen C — Beklenen Sistemik Kayıp:</w:t>
      </w:r>
      <w:r>
        <w:t xml:space="preserve"> Eksen A ve B'nin ve bir bulaşıcılık değerlendirmesinin </w:t>
      </w:r>
      <w:r>
        <w:rPr>
          <w:b/>
        </w:rPr>
        <w:t>kalibre edilmiş niteliksel birlikte değerlendirmesi</w:t>
      </w:r>
      <w:r>
        <w:t xml:space="preserve">. Bu rapor 1–5 niteliksel skorları matematiksel olarak çarpmaz; böyle bir çarpım, aslında yargı olan bir değeri sahte bir kesinlik gibi sunar. "Beklenen Sistemik Kayıp" bu yüzden </w:t>
      </w:r>
      <w:r>
        <w:rPr>
          <w:b/>
        </w:rPr>
        <w:t>aritmetik bir çarpım (A × B × bulaşıcılık) olarak değil</w:t>
      </w:r>
      <w:r>
        <w:t>, iki eksenli matris (§4) ve niteliksel öncelik sıralaması (§5) üzerinden ifade edilir; ölçek, normalizasyon ve ağırlık tanımlanmadan sayısal çarpım yapılmaz.</w:t>
      </w:r>
    </w:p>
    <w:p>
      <w:r>
        <w:t>Bu çerçeve, TSMC tipi (düşük Eksen B, çok yüksek Eksen A) ile CoreWeave tipi (yüksek Eksen B, orta Eksen A) şirketleri tek bir skorda eritmek yerine iki eksenli bir matrise yerleştirir (§4, §5).</w:t>
      </w:r>
    </w:p>
    <w:p>
      <w:pPr>
        <w:pStyle w:val="Heading2"/>
      </w:pPr>
      <w:r>
        <w:t>2.4 Şok yönü: upstream / downstream</w:t>
      </w:r>
    </w:p>
    <w:p>
      <w:r>
        <w:t>LLM katmanını "tepe", üretim katmanını "taban" sayıp sonra "talep şoku aşağıdan yukarıya vurur" demek kendi içinde çelişkilidir. Bu rapor üç akışı ayrı oklarla, tarafsız upstream/downstream terminolojisiyle tanımlar:</w:t>
      </w:r>
    </w:p>
    <w:p>
      <w:pPr>
        <w:pStyle w:val="ListBullet"/>
      </w:pPr>
      <w:r>
        <w:rPr>
          <w:b/>
        </w:rPr>
        <w:t>Fiziksel ürün ve kapasite:</w:t>
      </w:r>
      <w:r>
        <w:t xml:space="preserve"> ASML → TSMC → NVIDIA → veri merkezi → LLM (downstream akar).</w:t>
      </w:r>
    </w:p>
    <w:p>
      <w:pPr>
        <w:pStyle w:val="ListBullet"/>
      </w:pPr>
      <w:r>
        <w:rPr>
          <w:b/>
        </w:rPr>
        <w:t>Nakit:</w:t>
      </w:r>
      <w:r>
        <w:t xml:space="preserve"> müşteri/LLM → bulut → donanım → dökümhane → ekipman (upstream akar).</w:t>
      </w:r>
    </w:p>
    <w:p>
      <w:pPr>
        <w:pStyle w:val="ListBullet"/>
      </w:pPr>
      <w:r>
        <w:rPr>
          <w:b/>
        </w:rPr>
        <w:t>Talep şoku:</w:t>
      </w:r>
      <w:r>
        <w:t xml:space="preserve"> nihai talep → tedarikçiler (upstream yönde yayılır; LLM geliri düşerse şok upstream'e, ASML'ye doğru gider).</w:t>
      </w:r>
    </w:p>
    <w:p>
      <w:pPr>
        <w:pStyle w:val="Heading2"/>
      </w:pPr>
      <w:r>
        <w:t>2.5 Güven kademesi ve etiketleme kuralları</w:t>
      </w:r>
    </w:p>
    <w:p>
      <w:r>
        <w:t>Her kritik veri bir güven kademesine atanır ve metin buna göre etiketlenir:</w:t>
      </w:r>
    </w:p>
    <w:p>
      <w:pPr>
        <w:pStyle w:val="ListBullet"/>
      </w:pPr>
      <w:r>
        <w:rPr>
          <w:b/>
        </w:rPr>
        <w:t>Yüksek güven (olgu):</w:t>
      </w:r>
      <w:r>
        <w:t xml:space="preserve"> resmi finansallar, SEC dosyaları, derecelendirme kuruluşları, şirket açıklamaları → etiketsiz, olgu olarak sunulur.</w:t>
      </w:r>
    </w:p>
    <w:p>
      <w:pPr>
        <w:pStyle w:val="ListBullet"/>
      </w:pPr>
      <w:r>
        <w:rPr>
          <w:b/>
        </w:rPr>
        <w:t>Orta güven (tahmin):</w:t>
      </w:r>
      <w:r>
        <w:t xml:space="preserve"> analist projeksiyonları, özel-piyasa raporları → "analist tahmini / öngörü" etiketiyle.</w:t>
      </w:r>
    </w:p>
    <w:p>
      <w:pPr>
        <w:pStyle w:val="ListBullet"/>
      </w:pPr>
      <w:r>
        <w:rPr>
          <w:b/>
        </w:rPr>
        <w:t>Çakışma / belirsizlik:</w:t>
      </w:r>
      <w:r>
        <w:t xml:space="preserve"> kaynaklar arasında çelişen veriler → dengeli sunulur, tek değer dayatılmaz.</w:t>
      </w:r>
    </w:p>
    <w:p>
      <w:pPr>
        <w:pStyle w:val="ListBullet"/>
      </w:pPr>
      <w:r>
        <w:rPr>
          <w:b/>
        </w:rPr>
        <w:t>Kasıtlı boşluk (kör nokta):</w:t>
      </w:r>
      <w:r>
        <w:t xml:space="preserve"> kamuya kapalı veri → "bilinmiyor / hesaplanamaz" olarak bırakılır; rakam uydurulmaz.</w:t>
      </w:r>
    </w:p>
    <w:p>
      <w:r>
        <w:t xml:space="preserve">Kaynak kalite sırası: resmi dosyalama → derecelendirme kuruluşu → şirket açıklaması → analist tahmini → medya haberi. Her tablo ve grafik altında kaynak, tarih, yöntem ve güven seviyesi belirtilir. Piyasa değerleri ve hisse fiyatları Temmuz 2026 boyunca dalgalanan </w:t>
      </w:r>
      <w:r>
        <w:rPr>
          <w:b/>
        </w:rPr>
        <w:t>aralıklar</w:t>
      </w:r>
      <w:r>
        <w:t xml:space="preserve"> olarak sunulur; tek bir günün kapanışı olarak okunmamalıdır.</w:t>
      </w:r>
    </w:p>
    <w:p>
      <w:pPr>
        <w:pStyle w:val="Heading2"/>
      </w:pPr>
      <w:r>
        <w:t>2.6 Sözel olasılık sınıflarının sayısal çerçevesi</w:t>
      </w:r>
    </w:p>
    <w:p>
      <w:r>
        <w:t xml:space="preserve">Yalnızca "çok düşük / düşük / orta / yüksek" gibi sözel etiketler, yüzde karşılığı veya kalibrasyon kaynağı olmadan hesap yapmayı imkânsız kılar. Bu rapor, hesap yapılabilmesi için sözel sınıfları </w:t>
      </w:r>
      <w:r>
        <w:rPr>
          <w:b/>
        </w:rPr>
        <w:t>şeffaf bir sayısal eşlemeye</w:t>
      </w:r>
      <w:r>
        <w:t xml:space="preserve"> bağlar. Bu eşleme </w:t>
      </w:r>
      <w:r>
        <w:rPr>
          <w:b/>
        </w:rPr>
        <w:t>ampirik olarak kalibre edilmiş bir model değildir</w:t>
      </w:r>
      <w:r>
        <w:t>; raporun kendi sözel sınıflarının sayısal tercümesidir ve duyarlılık aralıkları geniştir (§11).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Sözel etiket</w:t>
            </w:r>
          </w:p>
        </w:tc>
        <w:tc>
          <w:tcPr>
            <w:tcW w:type="dxa" w:w="2340"/>
            <w:shd w:val="clear" w:color="auto" w:fill="D9D9D9"/>
          </w:tcPr>
          <w:p>
            <w:r>
              <w:rPr>
                <w:b/>
                <w:sz w:val="18"/>
              </w:rPr>
            </w:r>
            <w:r>
              <w:rPr>
                <w:b/>
                <w:sz w:val="18"/>
              </w:rPr>
              <w:t>Sayısal bant</w:t>
            </w:r>
          </w:p>
        </w:tc>
        <w:tc>
          <w:tcPr>
            <w:tcW w:type="dxa" w:w="2340"/>
            <w:shd w:val="clear" w:color="auto" w:fill="D9D9D9"/>
          </w:tcPr>
          <w:p>
            <w:r>
              <w:rPr>
                <w:b/>
                <w:sz w:val="18"/>
              </w:rPr>
            </w:r>
            <w:r>
              <w:rPr>
                <w:b/>
                <w:sz w:val="18"/>
              </w:rPr>
              <w:t>Merkez</w:t>
            </w:r>
          </w:p>
        </w:tc>
        <w:tc>
          <w:tcPr>
            <w:tcW w:type="dxa" w:w="2340"/>
            <w:shd w:val="clear" w:color="auto" w:fill="D9D9D9"/>
          </w:tcPr>
          <w:p>
            <w:r>
              <w:rPr>
                <w:b/>
                <w:sz w:val="18"/>
              </w:rPr>
            </w:r>
            <w:r>
              <w:rPr>
                <w:b/>
                <w:sz w:val="18"/>
              </w:rPr>
              <w:t>Kalibrasyon dayanağı</w:t>
            </w:r>
          </w:p>
        </w:tc>
      </w:tr>
      <w:tr>
        <w:tc>
          <w:tcPr>
            <w:tcW w:type="dxa" w:w="2340"/>
          </w:tcPr>
          <w:p>
            <w:r>
              <w:rPr>
                <w:sz w:val="18"/>
              </w:rPr>
            </w:r>
            <w:r>
              <w:rPr>
                <w:sz w:val="18"/>
              </w:rPr>
              <w:t>Çok düşük</w:t>
            </w:r>
          </w:p>
        </w:tc>
        <w:tc>
          <w:tcPr>
            <w:tcW w:type="dxa" w:w="2340"/>
          </w:tcPr>
          <w:p>
            <w:r>
              <w:rPr>
                <w:sz w:val="18"/>
              </w:rPr>
            </w:r>
            <w:r>
              <w:rPr>
                <w:sz w:val="18"/>
              </w:rPr>
              <w:t>%2–10</w:t>
            </w:r>
          </w:p>
        </w:tc>
        <w:tc>
          <w:tcPr>
            <w:tcW w:type="dxa" w:w="2340"/>
          </w:tcPr>
          <w:p>
            <w:r>
              <w:rPr>
                <w:sz w:val="18"/>
              </w:rPr>
            </w:r>
            <w:r>
              <w:rPr>
                <w:sz w:val="18"/>
              </w:rPr>
              <w:t>%6</w:t>
            </w:r>
          </w:p>
        </w:tc>
        <w:tc>
          <w:tcPr>
            <w:tcW w:type="dxa" w:w="2340"/>
          </w:tcPr>
          <w:p>
            <w:r>
              <w:rPr>
                <w:sz w:val="18"/>
              </w:rPr>
            </w:r>
            <w:r>
              <w:rPr>
                <w:sz w:val="18"/>
              </w:rPr>
              <w:t>Tarihsel jeopolitik/fiziksel olay baz oranı (nadir olay)</w:t>
            </w:r>
          </w:p>
        </w:tc>
      </w:tr>
      <w:tr>
        <w:tc>
          <w:tcPr>
            <w:tcW w:type="dxa" w:w="2340"/>
          </w:tcPr>
          <w:p>
            <w:r>
              <w:rPr>
                <w:sz w:val="18"/>
              </w:rPr>
            </w:r>
            <w:r>
              <w:rPr>
                <w:sz w:val="18"/>
              </w:rPr>
              <w:t>Düşük</w:t>
            </w:r>
          </w:p>
        </w:tc>
        <w:tc>
          <w:tcPr>
            <w:tcW w:type="dxa" w:w="2340"/>
          </w:tcPr>
          <w:p>
            <w:r>
              <w:rPr>
                <w:sz w:val="18"/>
              </w:rPr>
            </w:r>
            <w:r>
              <w:rPr>
                <w:sz w:val="18"/>
              </w:rPr>
              <w:t>%10–20</w:t>
            </w:r>
          </w:p>
        </w:tc>
        <w:tc>
          <w:tcPr>
            <w:tcW w:type="dxa" w:w="2340"/>
          </w:tcPr>
          <w:p>
            <w:r>
              <w:rPr>
                <w:sz w:val="18"/>
              </w:rPr>
            </w:r>
            <w:r>
              <w:rPr>
                <w:sz w:val="18"/>
              </w:rPr>
              <w:t>%15</w:t>
            </w:r>
          </w:p>
        </w:tc>
        <w:tc>
          <w:tcPr>
            <w:tcW w:type="dxa" w:w="2340"/>
          </w:tcPr>
          <w:p>
            <w:r>
              <w:rPr>
                <w:sz w:val="18"/>
              </w:rPr>
            </w:r>
            <w:r>
              <w:rPr>
                <w:sz w:val="18"/>
              </w:rPr>
              <w:t>Tarihsel olay / baz oran</w:t>
            </w:r>
          </w:p>
        </w:tc>
      </w:tr>
      <w:tr>
        <w:tc>
          <w:tcPr>
            <w:tcW w:type="dxa" w:w="2340"/>
          </w:tcPr>
          <w:p>
            <w:r>
              <w:rPr>
                <w:sz w:val="18"/>
              </w:rPr>
            </w:r>
            <w:r>
              <w:rPr>
                <w:sz w:val="18"/>
              </w:rPr>
              <w:t>Düşük-orta</w:t>
            </w:r>
          </w:p>
        </w:tc>
        <w:tc>
          <w:tcPr>
            <w:tcW w:type="dxa" w:w="2340"/>
          </w:tcPr>
          <w:p>
            <w:r>
              <w:rPr>
                <w:sz w:val="18"/>
              </w:rPr>
            </w:r>
            <w:r>
              <w:rPr>
                <w:sz w:val="18"/>
              </w:rPr>
              <w:t>%20–30</w:t>
            </w:r>
          </w:p>
        </w:tc>
        <w:tc>
          <w:tcPr>
            <w:tcW w:type="dxa" w:w="2340"/>
          </w:tcPr>
          <w:p>
            <w:r>
              <w:rPr>
                <w:sz w:val="18"/>
              </w:rPr>
            </w:r>
            <w:r>
              <w:rPr>
                <w:sz w:val="18"/>
              </w:rPr>
              <w:t>%25</w:t>
            </w:r>
          </w:p>
        </w:tc>
        <w:tc>
          <w:tcPr>
            <w:tcW w:type="dxa" w:w="2340"/>
          </w:tcPr>
          <w:p>
            <w:r>
              <w:rPr>
                <w:sz w:val="18"/>
              </w:rPr>
            </w:r>
            <w:r>
              <w:rPr>
                <w:sz w:val="18"/>
              </w:rPr>
              <w:t>Baz oran + analist yargısı</w:t>
            </w:r>
          </w:p>
        </w:tc>
      </w:tr>
      <w:tr>
        <w:tc>
          <w:tcPr>
            <w:tcW w:type="dxa" w:w="2340"/>
          </w:tcPr>
          <w:p>
            <w:r>
              <w:rPr>
                <w:sz w:val="18"/>
              </w:rPr>
            </w:r>
            <w:r>
              <w:rPr>
                <w:sz w:val="18"/>
              </w:rPr>
              <w:t>Orta</w:t>
            </w:r>
          </w:p>
        </w:tc>
        <w:tc>
          <w:tcPr>
            <w:tcW w:type="dxa" w:w="2340"/>
          </w:tcPr>
          <w:p>
            <w:r>
              <w:rPr>
                <w:sz w:val="18"/>
              </w:rPr>
            </w:r>
            <w:r>
              <w:rPr>
                <w:sz w:val="18"/>
              </w:rPr>
              <w:t>%30–50</w:t>
            </w:r>
          </w:p>
        </w:tc>
        <w:tc>
          <w:tcPr>
            <w:tcW w:type="dxa" w:w="2340"/>
          </w:tcPr>
          <w:p>
            <w:r>
              <w:rPr>
                <w:sz w:val="18"/>
              </w:rPr>
            </w:r>
            <w:r>
              <w:rPr>
                <w:sz w:val="18"/>
              </w:rPr>
              <w:t>%40</w:t>
            </w:r>
          </w:p>
        </w:tc>
        <w:tc>
          <w:tcPr>
            <w:tcW w:type="dxa" w:w="2340"/>
          </w:tcPr>
          <w:p>
            <w:r>
              <w:rPr>
                <w:sz w:val="18"/>
              </w:rPr>
            </w:r>
            <w:r>
              <w:rPr>
                <w:sz w:val="18"/>
              </w:rPr>
              <w:t>Analist yargısı / uzman değerlendirmesi</w:t>
            </w:r>
          </w:p>
        </w:tc>
      </w:tr>
      <w:tr>
        <w:tc>
          <w:tcPr>
            <w:tcW w:type="dxa" w:w="2340"/>
          </w:tcPr>
          <w:p>
            <w:r>
              <w:rPr>
                <w:sz w:val="18"/>
              </w:rPr>
            </w:r>
            <w:r>
              <w:rPr>
                <w:sz w:val="18"/>
              </w:rPr>
              <w:t>Orta-yüksek</w:t>
            </w:r>
          </w:p>
        </w:tc>
        <w:tc>
          <w:tcPr>
            <w:tcW w:type="dxa" w:w="2340"/>
          </w:tcPr>
          <w:p>
            <w:r>
              <w:rPr>
                <w:sz w:val="18"/>
              </w:rPr>
            </w:r>
            <w:r>
              <w:rPr>
                <w:sz w:val="18"/>
              </w:rPr>
              <w:t>%50–70</w:t>
            </w:r>
          </w:p>
        </w:tc>
        <w:tc>
          <w:tcPr>
            <w:tcW w:type="dxa" w:w="2340"/>
          </w:tcPr>
          <w:p>
            <w:r>
              <w:rPr>
                <w:sz w:val="18"/>
              </w:rPr>
            </w:r>
            <w:r>
              <w:rPr>
                <w:sz w:val="18"/>
              </w:rPr>
              <w:t>%60</w:t>
            </w:r>
          </w:p>
        </w:tc>
        <w:tc>
          <w:tcPr>
            <w:tcW w:type="dxa" w:w="2340"/>
          </w:tcPr>
          <w:p>
            <w:r>
              <w:rPr>
                <w:sz w:val="18"/>
              </w:rPr>
            </w:r>
            <w:r>
              <w:rPr>
                <w:sz w:val="18"/>
              </w:rPr>
              <w:t>Analist yargısı / mevcut piyasa ve Fed söylemiyle uyum</w:t>
            </w:r>
          </w:p>
        </w:tc>
      </w:tr>
    </w:tbl>
    <w:p/>
    <w:p>
      <w:r>
        <w:t xml:space="preserve">Her senaryo §8'de bu bantlara ek olarak </w:t>
      </w:r>
      <w:r>
        <w:rPr>
          <w:b/>
        </w:rPr>
        <w:t>merkez tahmin, alt sınır ve üst sınır</w:t>
      </w:r>
      <w:r>
        <w:t xml:space="preserve"> ile verilir. Merkez değerler nokta tahmini gibi okunmamalı; bant genişliği, temel girdilerin (covenant, churn, gerçek AI birim ekonomisi, jeopolitik baz oran) bilinmemesinden kaynaklanan belirsizliği yansıtır.</w:t>
      </w:r>
    </w:p>
    <w:p>
      <w:pPr>
        <w:pStyle w:val="Heading2"/>
      </w:pPr>
      <w:r>
        <w:t>2.7 "Sistemik" kavramının dört kapsamı</w:t>
      </w:r>
    </w:p>
    <w:p>
      <w:r>
        <w:t>Rapor boyunca "sistemik" kelimesi dört farklı düzeyde kullanılabilir; bunlar karıştırılmamalıdır: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Kapsam</w:t>
            </w:r>
          </w:p>
        </w:tc>
        <w:tc>
          <w:tcPr>
            <w:tcW w:type="dxa" w:w="3120"/>
            <w:shd w:val="clear" w:color="auto" w:fill="D9D9D9"/>
          </w:tcPr>
          <w:p>
            <w:r>
              <w:rPr>
                <w:b/>
                <w:sz w:val="18"/>
              </w:rPr>
            </w:r>
            <w:r>
              <w:rPr>
                <w:b/>
                <w:sz w:val="18"/>
              </w:rPr>
              <w:t>Tanım</w:t>
            </w:r>
          </w:p>
        </w:tc>
        <w:tc>
          <w:tcPr>
            <w:tcW w:type="dxa" w:w="3120"/>
            <w:shd w:val="clear" w:color="auto" w:fill="D9D9D9"/>
          </w:tcPr>
          <w:p>
            <w:r>
              <w:rPr>
                <w:b/>
                <w:sz w:val="18"/>
              </w:rPr>
            </w:r>
            <w:r>
              <w:rPr>
                <w:b/>
                <w:sz w:val="18"/>
              </w:rPr>
              <w:t>Bu rapordaki yeri</w:t>
            </w:r>
          </w:p>
        </w:tc>
      </w:tr>
      <w:tr>
        <w:tc>
          <w:tcPr>
            <w:tcW w:type="dxa" w:w="3120"/>
          </w:tcPr>
          <w:p>
            <w:r>
              <w:rPr>
                <w:sz w:val="18"/>
              </w:rPr>
            </w:r>
            <w:r>
              <w:rPr>
                <w:b/>
                <w:sz w:val="18"/>
              </w:rPr>
              <w:t>AI değer zinciri sistemik riski</w:t>
            </w:r>
          </w:p>
        </w:tc>
        <w:tc>
          <w:tcPr>
            <w:tcW w:type="dxa" w:w="3120"/>
          </w:tcPr>
          <w:p>
            <w:r>
              <w:rPr>
                <w:sz w:val="18"/>
              </w:rPr>
            </w:r>
            <w:r>
              <w:rPr>
                <w:sz w:val="18"/>
              </w:rPr>
              <w:t>Zincirin fiziksel üretim/tedarik kapasitesinin durması</w:t>
            </w:r>
          </w:p>
        </w:tc>
        <w:tc>
          <w:tcPr>
            <w:tcW w:type="dxa" w:w="3120"/>
          </w:tcPr>
          <w:p>
            <w:r>
              <w:rPr>
                <w:sz w:val="18"/>
              </w:rPr>
            </w:r>
            <w:r>
              <w:rPr>
                <w:sz w:val="18"/>
              </w:rPr>
              <w:t>Ana odak (§4, §8.3)</w:t>
            </w:r>
          </w:p>
        </w:tc>
      </w:tr>
      <w:tr>
        <w:tc>
          <w:tcPr>
            <w:tcW w:type="dxa" w:w="3120"/>
          </w:tcPr>
          <w:p>
            <w:r>
              <w:rPr>
                <w:sz w:val="18"/>
              </w:rPr>
            </w:r>
            <w:r>
              <w:rPr>
                <w:b/>
                <w:sz w:val="18"/>
              </w:rPr>
              <w:t>Teknoloji sektörü piyasa riski</w:t>
            </w:r>
          </w:p>
        </w:tc>
        <w:tc>
          <w:tcPr>
            <w:tcW w:type="dxa" w:w="3120"/>
          </w:tcPr>
          <w:p>
            <w:r>
              <w:rPr>
                <w:sz w:val="18"/>
              </w:rPr>
            </w:r>
            <w:r>
              <w:rPr>
                <w:sz w:val="18"/>
              </w:rPr>
              <w:t>AI hisselerinde değer kaybı (temerrüt olmadan da)</w:t>
            </w:r>
          </w:p>
        </w:tc>
        <w:tc>
          <w:tcPr>
            <w:tcW w:type="dxa" w:w="3120"/>
          </w:tcPr>
          <w:p>
            <w:r>
              <w:rPr>
                <w:sz w:val="18"/>
              </w:rPr>
            </w:r>
            <w:r>
              <w:rPr>
                <w:sz w:val="18"/>
              </w:rPr>
              <w:t>§2.2 risk türü 4</w:t>
            </w:r>
          </w:p>
        </w:tc>
      </w:tr>
      <w:tr>
        <w:tc>
          <w:tcPr>
            <w:tcW w:type="dxa" w:w="3120"/>
          </w:tcPr>
          <w:p>
            <w:r>
              <w:rPr>
                <w:sz w:val="18"/>
              </w:rPr>
            </w:r>
            <w:r>
              <w:rPr>
                <w:b/>
                <w:sz w:val="18"/>
              </w:rPr>
              <w:t>Finansal sistemik risk</w:t>
            </w:r>
          </w:p>
        </w:tc>
        <w:tc>
          <w:tcPr>
            <w:tcW w:type="dxa" w:w="3120"/>
          </w:tcPr>
          <w:p>
            <w:r>
              <w:rPr>
                <w:sz w:val="18"/>
              </w:rPr>
            </w:r>
            <w:r>
              <w:rPr>
                <w:sz w:val="18"/>
              </w:rPr>
              <w:t>Bankacılık/geniş finans sistemini tehdit eden bulaşıcılık</w:t>
            </w:r>
          </w:p>
        </w:tc>
        <w:tc>
          <w:tcPr>
            <w:tcW w:type="dxa" w:w="3120"/>
          </w:tcPr>
          <w:p>
            <w:r>
              <w:rPr>
                <w:sz w:val="18"/>
              </w:rPr>
            </w:r>
            <w:r>
              <w:rPr>
                <w:sz w:val="18"/>
              </w:rPr>
              <w:t>Yalnızca bulaşıcılık kanalı olarak (§8.1); toplam maruziyet büyüklüğü bilinmediğinden "bankacılık-sistemik" iddiası taşınmaz</w:t>
            </w:r>
          </w:p>
        </w:tc>
      </w:tr>
      <w:tr>
        <w:tc>
          <w:tcPr>
            <w:tcW w:type="dxa" w:w="3120"/>
          </w:tcPr>
          <w:p>
            <w:r>
              <w:rPr>
                <w:sz w:val="18"/>
              </w:rPr>
            </w:r>
            <w:r>
              <w:rPr>
                <w:b/>
                <w:sz w:val="18"/>
              </w:rPr>
              <w:t>Makroekonomik risk</w:t>
            </w:r>
          </w:p>
        </w:tc>
        <w:tc>
          <w:tcPr>
            <w:tcW w:type="dxa" w:w="3120"/>
          </w:tcPr>
          <w:p>
            <w:r>
              <w:rPr>
                <w:sz w:val="18"/>
              </w:rPr>
            </w:r>
            <w:r>
              <w:rPr>
                <w:sz w:val="18"/>
              </w:rPr>
              <w:t>Resesyon, stagflasyon, faiz şoku</w:t>
            </w:r>
          </w:p>
        </w:tc>
        <w:tc>
          <w:tcPr>
            <w:tcW w:type="dxa" w:w="3120"/>
          </w:tcPr>
          <w:p>
            <w:r>
              <w:rPr>
                <w:sz w:val="18"/>
              </w:rPr>
            </w:r>
            <w:r>
              <w:rPr>
                <w:sz w:val="18"/>
              </w:rPr>
              <w:t>§8.4, §8.5</w:t>
            </w:r>
          </w:p>
        </w:tc>
      </w:tr>
    </w:tbl>
    <w:p/>
    <w:p>
      <w:r>
        <w:t xml:space="preserve">Örneğin CoreWeave'in kredi fonlarına zarar yazdırması bir </w:t>
      </w:r>
      <w:r>
        <w:rPr>
          <w:b/>
        </w:rPr>
        <w:t>finansal bulaşıcılık</w:t>
      </w:r>
      <w:r>
        <w:t xml:space="preserve"> olayıdır; ancak bunun genel bankacılık/finansal sistem için "sistemik" olduğunu kanıtlamak, ilgili kredilerin toplam maruziyet büyüklüğünü gerektirir — bu veri kamuya kapalıdır (§10). Bu yüzden rapor, CoreWeave'i "finansal sistem riski" olarak değil, "AI değer zinciri içinde finansal bulaşıcılık vektörü" olarak sınıflandırır.</w:t>
      </w:r>
    </w:p>
    <w:p>
      <w:pPr>
        <w:pStyle w:val="Heading1"/>
      </w:pPr>
      <w:r>
        <w:t>3. Değer Zinciri ve Bağımlılık Ağı</w:t>
      </w:r>
    </w:p>
    <w:p>
      <w:pPr>
        <w:pStyle w:val="Heading2"/>
      </w:pPr>
      <w:r>
        <w:t>3.1 Üç akış</w:t>
      </w:r>
    </w:p>
    <w:p>
      <w:r>
        <w:t>AI değer zinciri tek bir zincir değil, üst üste binen üç akışın ağıdır. Bu üçü karıştırmak, "şok hangi yöne gider?" sorusunu yanlış yanıtlatır.</w:t>
      </w:r>
    </w:p>
    <w:p>
      <w:r>
        <w:rPr>
          <w:b/>
        </w:rPr>
        <w:t>Akış 1 — Fiziksel ürün (downstream):</w:t>
      </w:r>
      <w:r>
        <w:t xml:space="preserve"> ASML'nin EUV litografi makineleri TSMC'nin dökümhanelerine; TSMC'nin ürettiği ileri düğüm wafer'lar NVIDIA, AMD ve Broadcom'un tasarımlarına; bu çipler Arista'nın ağ donanımı ve Super Micro'nun sunucularıyla birleşerek veri merkezlerine; oradan hyperscaler ve neo-cloud kapasitesine; sonunda LLM eğitim ve inference iş yüküne ulaşır.</w:t>
      </w:r>
    </w:p>
    <w:p>
      <w:r>
        <w:rPr>
          <w:b/>
        </w:rPr>
        <w:t>Akış 2 — Nakit (upstream):</w:t>
      </w:r>
      <w:r>
        <w:t xml:space="preserve"> LLM geliştiricileri (OpenAI, Anthropic) ve kurumsal müşteriler, bulut ve neo-cloud sağlayıcılarına kira/kullanım bedeli öder; bu sağlayıcılar NVIDIA/Arista/Super Micro'ya donanım öder; NVIDIA üretim için TSMC'ye; TSMC makine için ASML'ye öder. Nakit, fiziksel ürünün ters yönünde, yani upstream akar.</w:t>
      </w:r>
    </w:p>
    <w:p>
      <w:r>
        <w:rPr>
          <w:b/>
        </w:rPr>
        <w:t>Akış 3 — Talep şoku (upstream yayılım):</w:t>
      </w:r>
      <w:r>
        <w:t xml:space="preserve"> Nihai talepte (LLM geliri, kurumsal AI bütçesi) bir düşüş, önce kiracıyı (neo-cloud/hyperscaler), sonra donanımcıyı (NVIDIA, Arista, SMCI), sonra dökümhaneyi (TSMC) ve en sonda ekipmancıyı (ASML) vurur. Talep şoku bu yüzden nihai müşteriden kaynağa, yani upstream yönde yayılır.</w:t>
      </w:r>
    </w:p>
    <w:p>
      <w:pPr>
        <w:pStyle w:val="Heading2"/>
      </w:pPr>
      <w:r>
        <w:t>3.2 Bağlantısallık haritası</w:t>
      </w:r>
    </w:p>
    <w:p>
      <w:r>
        <w:t>Sistemin bulaşıcılık potansiyeli, her şirketin kaç katmanı beslediğine bağlıdır:</w:t>
      </w:r>
    </w:p>
    <w:p>
      <w:pPr>
        <w:pStyle w:val="ListBullet"/>
      </w:pPr>
      <w:r>
        <w:rPr>
          <w:b/>
        </w:rPr>
        <w:t>En yüksek bağlantısallık:</w:t>
      </w:r>
      <w:r>
        <w:t xml:space="preserve"> TSMC (tüm çip tasarımcılarını ve dolaylı olarak tüm zinciri besler), NVIDIA (hem eğitim hem inference donanımının fiili standardı), ASML (tüm ileri düğüm üretiminin makine kaynağı).</w:t>
      </w:r>
    </w:p>
    <w:p>
      <w:pPr>
        <w:pStyle w:val="ListBullet"/>
      </w:pPr>
      <w:r>
        <w:rPr>
          <w:b/>
        </w:rPr>
        <w:t>Yüksek bağlantısallık:</w:t>
      </w:r>
      <w:r>
        <w:t xml:space="preserve"> Hyperscaler'lar (hem LLM'lere kapasite satar hem kendi ürünleri için tüketir), Broadcom (yarı iletken + altyapı yazılımı).</w:t>
      </w:r>
    </w:p>
    <w:p>
      <w:pPr>
        <w:pStyle w:val="ListBullet"/>
      </w:pPr>
      <w:r>
        <w:rPr>
          <w:b/>
        </w:rPr>
        <w:t>Orta bağlantısallık:</w:t>
      </w:r>
      <w:r>
        <w:t xml:space="preserve"> Arista (veri merkezi ağı), Constellation (enerji kapasitesi), AMD.</w:t>
      </w:r>
    </w:p>
    <w:p>
      <w:pPr>
        <w:pStyle w:val="ListBullet"/>
      </w:pPr>
      <w:r>
        <w:rPr>
          <w:b/>
        </w:rPr>
        <w:t>Düşük / ikame edilebilir bağlantısallık:</w:t>
      </w:r>
      <w:r>
        <w:t xml:space="preserve"> Super Micro (sunucu montajı; Dell, HPE vb. ikame edebilir), GlobalFoundries (eski düğümler), neo-cloud'lar (kapasite sağlayıcı; hyperscaler ve diğer neo-cloud'lar ikame edebilir).</w:t>
      </w:r>
    </w:p>
    <w:p>
      <w:pPr>
        <w:pStyle w:val="Heading2"/>
      </w:pPr>
      <w:r>
        <w:t>3.3 Dairesel finansman riski</w:t>
      </w:r>
    </w:p>
    <w:p>
      <w:r>
        <w:t>Zincirin en kırılgan halkaları, "dairesel" (circular) bir finansman yapısıyla bağlıdır: NVIDIA çip satar, neo-cloud bu çipleri teminat göstererek borçlanıp daha çok çip alır, LLM'ler bu kapasiteyi kiralar ama henüz maliyetini karşılayacak geliri üretmez.</w:t>
      </w:r>
      <w:r>
        <w:rPr>
          <w:vertAlign w:val="superscript"/>
        </w:rPr>
        <w:t>10</w:t>
      </w:r>
      <w:r>
        <w:t xml:space="preserve"> Sistem, zincirin tepesindeki (LLM) gelecek gelir beklentisinin bugün borçla finanse edilmesi üzerine kuruludur. Bu, tipik bir yeniden finansman (rollover) kırılganlığıdır: işler yolunda giderken kendi kendini besler, ama tek bir halkada talep veya kredi koşulu bozulursa tersine döner.</w:t>
      </w:r>
    </w:p>
    <w:p>
      <w:r>
        <w:t xml:space="preserve">Önemli not: Bu dairesellik, </w:t>
      </w:r>
      <w:r>
        <w:rPr>
          <w:b/>
        </w:rPr>
        <w:t>tüm</w:t>
      </w:r>
      <w:r>
        <w:t xml:space="preserve"> zincirin borçla battığı anlamına gelmez. Temel katmanlar (ASML, TSMC, NVIDIA, Arista) güçlü operasyonel nakit akışıyla kendini finanse eder; borç sarmalı esas olarak hyperscaler capex'i, neo-cloud kredileri ve LLM fonlama turlarında yoğunlaşmıştır.</w:t>
      </w:r>
    </w:p>
    <w:p>
      <w:pPr>
        <w:pStyle w:val="Heading2"/>
      </w:pPr>
      <w:r>
        <w:t>3.4 Enerji: zincirin yeni fiziksel darboğazı</w:t>
      </w:r>
    </w:p>
    <w:p>
      <w:r>
        <w:t xml:space="preserve">Değer zincirine giderek daha kritik bir yedinci boyut eklenmiştir: </w:t>
      </w:r>
      <w:r>
        <w:rPr>
          <w:b/>
        </w:rPr>
        <w:t>elektrik kapasitesi</w:t>
      </w:r>
      <w:r>
        <w:t>. Veri merkezi inşasının önündeki fiziksel duvar giderek çip arzından çok şebeke bağlantısı ve güç arzı olmaktadır. Constellation gibi nükleer/temiz enerji sağlayıcıları bu yüzden zincirin ayrılmaz parçası haline gelmiştir (Calpine satın alımı sonrası 2026 gelir hedefi 36,5 milyar $</w:t>
      </w:r>
      <w:r>
        <w:rPr>
          <w:vertAlign w:val="superscript"/>
        </w:rPr>
        <w:t>11</w:t>
      </w:r>
      <w:r>
        <w:t>). Talep güçlü kalsa bile elektrik ve şebeke kapasitesi büyümeyi sınırlayabilir — bu, §8'de ayrı bir senaryo olarak ele alınır.</w:t>
      </w:r>
    </w:p>
    <w:p>
      <w:r>
        <w:rPr>
          <w:i/>
          <w:color w:val="444444"/>
          <w:sz w:val="19"/>
        </w:rPr>
        <w:t xml:space="preserve">Kaynak: §6'daki şirket verileri ve </w:t>
      </w:r>
      <w:r>
        <w:rPr>
          <w:i/>
          <w:color w:val="444444"/>
          <w:sz w:val="19"/>
          <w:vertAlign w:val="superscript"/>
        </w:rPr>
        <w:t>10</w:t>
      </w:r>
      <w:r>
        <w:rPr>
          <w:i/>
          <w:color w:val="444444"/>
          <w:sz w:val="19"/>
        </w:rPr>
        <w:t>; bağlantısallık sınıflandırması nitelikseldir. Tarih: 13 Temmuz 2026.</w:t>
      </w:r>
    </w:p>
    <w:p>
      <w:pPr>
        <w:pStyle w:val="Heading1"/>
      </w:pPr>
      <w:r>
        <w:t>4. Sistemik Kritiklik Matrisi</w:t>
      </w:r>
    </w:p>
    <w:p>
      <w:pPr>
        <w:pStyle w:val="Heading2"/>
      </w:pPr>
      <w:r>
        <w:t>4.1 İki eksenli matris: olasılık ≠ etki</w:t>
      </w:r>
    </w:p>
    <w:p>
      <w:r>
        <w:t xml:space="preserve">Tek skorlu bir "sistemik risk" sıralaması, iki farklı kavramı (bir şirketin </w:t>
      </w:r>
      <w:r>
        <w:rPr>
          <w:b/>
        </w:rPr>
        <w:t>batma olasılığı</w:t>
      </w:r>
      <w:r>
        <w:t xml:space="preserve"> ile battığında </w:t>
      </w:r>
      <w:r>
        <w:rPr>
          <w:b/>
        </w:rPr>
        <w:t>sisteme vereceği zarar</w:t>
      </w:r>
      <w:r>
        <w:t>) tek eksende erittiği için TSMC gibi borcu neredeyse sıfır bir şirketi yüksek kaldıraçlı şirketlerle aynı listeye sokar. Bu bölümde ikisi ayrıştırılır ve iki eksenli bir matriste gösterilir:</w:t>
      </w:r>
    </w:p>
    <w:p>
      <w:pPr>
        <w:pStyle w:val="ListBullet"/>
      </w:pPr>
      <w:r>
        <w:rPr>
          <w:b/>
        </w:rPr>
        <w:t>Yatay eksen (X): Başarısızlık olasılığı</w:t>
      </w:r>
      <w:r>
        <w:t xml:space="preserve"> — finansal stres, operasyonel risk ve jeopolitik riskten türetilen niteliksel bir konumlandırma (§2.4, Eksen B).</w:t>
      </w:r>
    </w:p>
    <w:p>
      <w:pPr>
        <w:pStyle w:val="ListBullet"/>
      </w:pPr>
      <w:r>
        <w:rPr>
          <w:b/>
        </w:rPr>
        <w:t>Dikey eksen (Y): Başarısızlığın sistemik etkisi</w:t>
      </w:r>
      <w:r>
        <w:t xml:space="preserve"> — ikame edilemezlik, bağlantısallık, ikame süresi, hizmet kritikliği ve coğrafi yoğunlaşmadan türetilen niteliksel konumlandırma (§2.4, Eksen A).</w:t>
      </w:r>
    </w:p>
    <w:p>
      <w:pPr>
        <w:jc w:val="center"/>
      </w:pPr>
      <w:r>
        <w:drawing>
          <wp:inline xmlns:a="http://schemas.openxmlformats.org/drawingml/2006/main" xmlns:pic="http://schemas.openxmlformats.org/drawingml/2006/picture">
            <wp:extent cx="5669280" cy="3855746"/>
            <wp:docPr id="1" name="Picture 1"/>
            <wp:cNvGraphicFramePr>
              <a:graphicFrameLocks noChangeAspect="1"/>
            </wp:cNvGraphicFramePr>
            <a:graphic>
              <a:graphicData uri="http://schemas.openxmlformats.org/drawingml/2006/picture">
                <pic:pic>
                  <pic:nvPicPr>
                    <pic:cNvPr id="0" name="ai_deger_zinciri_chart_matrix2d.png"/>
                    <pic:cNvPicPr/>
                  </pic:nvPicPr>
                  <pic:blipFill>
                    <a:blip r:embed="rId9"/>
                    <a:stretch>
                      <a:fillRect/>
                    </a:stretch>
                  </pic:blipFill>
                  <pic:spPr>
                    <a:xfrm>
                      <a:off x="0" y="0"/>
                      <a:ext cx="5669280" cy="3855746"/>
                    </a:xfrm>
                    <a:prstGeom prst="rect"/>
                  </pic:spPr>
                </pic:pic>
              </a:graphicData>
            </a:graphic>
          </wp:inline>
        </w:drawing>
      </w:r>
    </w:p>
    <w:p>
      <w:pPr>
        <w:jc w:val="center"/>
      </w:pPr>
      <w:r>
        <w:rPr>
          <w:i/>
          <w:color w:val="555555"/>
          <w:sz w:val="17"/>
        </w:rPr>
        <w:t>Şekil 4.1 — Sistemik kritiklik matrisi: başarısızlık olasılığı (yatay) × sistemik etki (dikey). Kadranlar: sol-üst = "düşük olasılık / yüksek etki" (TSMC tipi), sağ-alt = "yüksek olasılık / düşük etki" (neo-cloud tipi), sağ-üst = çift yüksek, sol-alt = çift düşük.</w:t>
      </w:r>
    </w:p>
    <w:p>
      <w:r>
        <w:rPr>
          <w:i/>
          <w:color w:val="444444"/>
          <w:sz w:val="19"/>
        </w:rPr>
        <w:t>Şekil 4.1 — Kaynak: §6 şirket verileri ve §2.4 eksen tanımlarına dayanan analist konumlandırması (niteliksel). Tarih: 13 Temmuz 2026. Yöntem: her şirket iki eksende bağımsız puanlanmıştır; skorlar çarpılmamıştır. Güven: orta (konumlandırma yargıya dayalıdır, kesin ölçüm değildir).</w:t>
      </w:r>
    </w:p>
    <w:p>
      <w:r>
        <w:t xml:space="preserve">Matrisin öğrettiği temel ders şudur: </w:t>
      </w:r>
      <w:r>
        <w:rPr>
          <w:b/>
        </w:rPr>
        <w:t>sistemin en tehlikeli noktası, en büyük ya da en kârlı şirket değil; "batması düşük olasılıklı ama battığında ikamesi olmayan" şirket ile "batması yüksek olasılıklı ama batması sistemi durdurmayan" şirketin ayrı ayrı yönetilmesi gerekliliğidir.</w:t>
      </w:r>
    </w:p>
    <w:p>
      <w:pPr>
        <w:pStyle w:val="Heading3"/>
      </w:pPr>
      <w:r>
        <w:t>İki köşe örneği: TSMC ve CoreWeave</w:t>
      </w:r>
    </w:p>
    <w:p>
      <w:pPr>
        <w:pStyle w:val="ListBullet"/>
      </w:pPr>
      <w:r>
        <w:rPr>
          <w:b/>
        </w:rPr>
        <w:t>TSMC (sol-üst, yüksek etki / düşük olasılık).</w:t>
      </w:r>
      <w:r>
        <w:t xml:space="preserve"> Faiz karşılama oranı 242,5x, nakit/borç oranı 3,17 olan bu şirketin finansal başarısızlık olasılığı incelenen borç-servis metrikleri açısından çok düşüktür.</w:t>
      </w:r>
      <w:r>
        <w:rPr>
          <w:vertAlign w:val="superscript"/>
        </w:rPr>
        <w:t>2</w:t>
      </w:r>
      <w:r>
        <w:rPr>
          <w:vertAlign w:val="superscript"/>
        </w:rPr>
        <w:t>12</w:t>
      </w:r>
      <w:r>
        <w:t xml:space="preserve"> Ancak ileri düğüm (7nm ve altı) üretimdeki konumu nedeniyle ikamesi son derece güçtür; bu yüzden sistemik etki ekseninin en tepesindedir. Başarısızlık olasılığını belirleyen ana faktör finansal değil </w:t>
      </w:r>
      <w:r>
        <w:rPr>
          <w:b/>
        </w:rPr>
        <w:t>jeopolitik/fiziksel</w:t>
      </w:r>
      <w:r>
        <w:t>dir (§8.3).</w:t>
      </w:r>
    </w:p>
    <w:p>
      <w:pPr>
        <w:pStyle w:val="ListBullet"/>
      </w:pPr>
      <w:r>
        <w:rPr>
          <w:b/>
        </w:rPr>
        <w:t>CoreWeave (sağ-alt, yüksek olasılık / düşük-orta etki).</w:t>
      </w:r>
      <w:r>
        <w:t xml:space="preserve"> Cari oranı 0,31, net zarar marjı %36 ve GPU-teminatlı borç yapısıyla finansal kırılma olasılığı görece yüksektir.</w:t>
      </w:r>
      <w:r>
        <w:rPr>
          <w:vertAlign w:val="superscript"/>
        </w:rPr>
        <w:t>4</w:t>
      </w:r>
      <w:r>
        <w:rPr>
          <w:vertAlign w:val="superscript"/>
        </w:rPr>
        <w:t>5</w:t>
      </w:r>
      <w:r>
        <w:t xml:space="preserve"> Bir kapasite sağlayıcı olarak ikamesi kısmen mümkündür (hyperscaler'lar ve diğer neo-cloud'lar kapasiteyi devralabilir); bu yüzden sistemik etki ekseninde TSMC'nin çok altında, </w:t>
      </w:r>
      <w:r>
        <w:rPr>
          <w:b/>
        </w:rPr>
        <w:t>düşük-orta</w:t>
      </w:r>
      <w:r>
        <w:t xml:space="preserve"> bölgededir. Çöküşü teminat-değeri sarmalı üzerinden NVIDIA fiyatlama gücünü sorgulatır ve kredi fonlarına bulaşır (§8.1) — yani sıfır etkili değildir — ama fiziksel üretimi durdurmaz. Rapor boyunca CoreWeave'in sistemik etkisi tutarlı biçimde </w:t>
      </w:r>
      <w:r>
        <w:rPr>
          <w:b/>
        </w:rPr>
        <w:t>"düşük-orta"</w:t>
      </w:r>
      <w:r>
        <w:t xml:space="preserve"> olarak sınıflandırılır (§1, §8).</w:t>
      </w:r>
    </w:p>
    <w:p>
      <w:r>
        <w:t xml:space="preserve">Bu ayrışma, raporun merkezi bulgusudur: </w:t>
      </w:r>
      <w:r>
        <w:rPr>
          <w:b/>
        </w:rPr>
        <w:t>finansal kırılganlık ile operasyonel/sistemik önem aynı şey değildir ve aynı yatırım/risk kararına temel yapılmamalıdır.</w:t>
      </w:r>
    </w:p>
    <w:p>
      <w:pPr>
        <w:pStyle w:val="Heading2"/>
      </w:pPr>
      <w:r>
        <w:t>4.2 Sistemik etki bileşenleri (ısı haritası)</w:t>
      </w:r>
    </w:p>
    <w:p>
      <w:r>
        <w:t xml:space="preserve">Eksen A'nın (sistemik etki) tek bir sayıya indirgenmesi yanıltıcıdır; bunun yerine beş bileşeni ayrı ayrı, 1–5 arası niteliksel skorla gösterilir. </w:t>
      </w:r>
      <w:r>
        <w:rPr>
          <w:b/>
        </w:rPr>
        <w:t>Bu skorlar çarpılarak birleştirilmez</w:t>
      </w:r>
      <w:r>
        <w:t xml:space="preserve"> — her bileşen kendi başına okunur; amaç hangi şirketin hangi nedenle kritik olduğunu şeffaflaştırmaktır.</w:t>
      </w:r>
    </w:p>
    <w:p>
      <w:pPr>
        <w:jc w:val="center"/>
      </w:pPr>
      <w:r>
        <w:drawing>
          <wp:inline xmlns:a="http://schemas.openxmlformats.org/drawingml/2006/main" xmlns:pic="http://schemas.openxmlformats.org/drawingml/2006/picture">
            <wp:extent cx="5669280" cy="6639697"/>
            <wp:docPr id="2" name="Picture 2"/>
            <wp:cNvGraphicFramePr>
              <a:graphicFrameLocks noChangeAspect="1"/>
            </wp:cNvGraphicFramePr>
            <a:graphic>
              <a:graphicData uri="http://schemas.openxmlformats.org/drawingml/2006/picture">
                <pic:pic>
                  <pic:nvPicPr>
                    <pic:cNvPr id="0" name="ai_deger_zinciri_chart_heatmap_v2.png"/>
                    <pic:cNvPicPr/>
                  </pic:nvPicPr>
                  <pic:blipFill>
                    <a:blip r:embed="rId10"/>
                    <a:stretch>
                      <a:fillRect/>
                    </a:stretch>
                  </pic:blipFill>
                  <pic:spPr>
                    <a:xfrm>
                      <a:off x="0" y="0"/>
                      <a:ext cx="5669280" cy="6639697"/>
                    </a:xfrm>
                    <a:prstGeom prst="rect"/>
                  </pic:spPr>
                </pic:pic>
              </a:graphicData>
            </a:graphic>
          </wp:inline>
        </w:drawing>
      </w:r>
    </w:p>
    <w:p>
      <w:pPr>
        <w:jc w:val="center"/>
      </w:pPr>
      <w:r>
        <w:rPr>
          <w:i/>
          <w:color w:val="555555"/>
          <w:sz w:val="17"/>
        </w:rPr>
        <w:t>Şekil 4.2 — Sistemik etki ısı haritası: 18 şirket × 5 bileşen (ikame edilemezlik, bağlantısallık, ikame süresi, hizmet kritikliği, coğrafi yoğunlaşma). Koyu renk = daha yüksek niteliksel skor (1–5). Toplam/çarpım skoru hesaplanmamıştır.</w:t>
      </w:r>
    </w:p>
    <w:p>
      <w:r>
        <w:rPr>
          <w:i/>
          <w:color w:val="444444"/>
          <w:sz w:val="19"/>
        </w:rPr>
        <w:t>Şekil 4.2 — Kaynak: §6 şirket verilerine dayanan niteliksel değerlendirme. Tarih: 13 Temmuz 2026. Yöntem: her bileşen 1 (düşük) – 5 (yüksek) arası bağımsız puanlanmıştır; çarpma veya ağırlıklı toplam uygulanmamıştır. Güven: orta (yargıya dayalı).</w:t>
      </w:r>
    </w:p>
    <w:p>
      <w:r>
        <w:t>Isı haritasının okunması:</w:t>
      </w:r>
    </w:p>
    <w:p>
      <w:pPr>
        <w:pStyle w:val="ListBullet"/>
      </w:pPr>
      <w:r>
        <w:rPr>
          <w:b/>
        </w:rPr>
        <w:t>İkame edilemezliği en yüksek:</w:t>
      </w:r>
      <w:r>
        <w:t xml:space="preserve"> ASML (EUV tekeli), TSMC (ileri düğüm dökümhanesi), NVIDIA (eğitim/inference donanım standardı). Bu üçü için "coğrafi yoğunlaşma" da yüksektir — üretim kapasitesi dar coğrafyalarda toplanmıştır.</w:t>
      </w:r>
    </w:p>
    <w:p>
      <w:pPr>
        <w:pStyle w:val="ListBullet"/>
      </w:pPr>
      <w:r>
        <w:rPr>
          <w:b/>
        </w:rPr>
        <w:t>İkame süresi en uzun:</w:t>
      </w:r>
      <w:r>
        <w:t xml:space="preserve"> ASML ve TSMC. Yeni bir EUV makinesi veya ileri düğüm dökümhane kapasitesi yıllar alır; neo-cloud kapasitesi ise aylar içinde devredilebilir (§8.1'deki sürtünme notlarıyla birlikte).</w:t>
      </w:r>
    </w:p>
    <w:p>
      <w:pPr>
        <w:pStyle w:val="ListBullet"/>
      </w:pPr>
      <w:r>
        <w:rPr>
          <w:b/>
        </w:rPr>
        <w:t>Bağlantısallığı yüksek ama ikamesi kolay:</w:t>
      </w:r>
      <w:r>
        <w:t xml:space="preserve"> Arista, Super Micro, Constellation. Bunlar önemli bağlantı noktalarıdır ama fonksiyonları ikame edilebilir (Dell/HPE, diğer ağ üreticileri, diğer enerji kaynakları).</w:t>
      </w:r>
    </w:p>
    <w:p>
      <w:pPr>
        <w:pStyle w:val="ListBullet"/>
      </w:pPr>
      <w:r>
        <w:rPr>
          <w:b/>
        </w:rPr>
        <w:t>Isı haritasının bilinçli boşlukları:</w:t>
      </w:r>
      <w:r>
        <w:t xml:space="preserve"> OpenAI ve Anthropic'in "hizmet kritikliği" skoru, bu şirketlerin gelir kalitesi (churn, çok yıllık sözleşme payı) kamuya kapalı olduğundan belirsizdir; §10'da kör nokta olarak işaretlenmiştir. Isı haritasında bu iki şirket için gösterilen hizmet-kritikliği değerleri </w:t>
      </w:r>
      <w:r>
        <w:rPr>
          <w:b/>
        </w:rPr>
        <w:t>ölçülmüş veri değil, düşük güvenli varsayımdır</w:t>
      </w:r>
      <w:r>
        <w:t xml:space="preserve"> ve bu şekilde okunmalıdır; gelir kalitesi verisi olmadan kesin skor atanamaz.</w:t>
      </w:r>
    </w:p>
    <w:p>
      <w:pPr>
        <w:pStyle w:val="Heading2"/>
      </w:pPr>
      <w:r>
        <w:t>4.3 Matrisin kullanımı</w:t>
      </w:r>
    </w:p>
    <w:p>
      <w:r>
        <w:t xml:space="preserve">Bu matris bir yatırım tavsiyesi değil, bir </w:t>
      </w:r>
      <w:r>
        <w:rPr>
          <w:b/>
        </w:rPr>
        <w:t>önceliklendirme aracı</w:t>
      </w:r>
      <w:r>
        <w:t>dır:</w:t>
      </w:r>
    </w:p>
    <w:p>
      <w:pPr>
        <w:ind w:left="432"/>
      </w:pPr>
      <w:r>
        <w:t xml:space="preserve">1. </w:t>
      </w:r>
      <w:r>
        <w:rPr>
          <w:b/>
        </w:rPr>
        <w:t>Sol-üst kadran (düşük olasılık / yüksek etki):</w:t>
      </w:r>
      <w:r>
        <w:t xml:space="preserve"> İzlenmesi gereken risk finansal değil fiziksel ve jeopolitiktir. Buradaki şirketler için "erken uyarı" göstergeleri borç oranları değil, Tayvan Boğazı gerilimi, deprem/tayfun riski ve enerji arzı gibi fiziksel değişkenlerdir (§9).</w:t>
      </w:r>
    </w:p>
    <w:p>
      <w:pPr>
        <w:ind w:left="432"/>
      </w:pPr>
      <w:r>
        <w:t xml:space="preserve">2. </w:t>
      </w:r>
      <w:r>
        <w:rPr>
          <w:b/>
        </w:rPr>
        <w:t>Sağ-alt kadran (yüksek olasılık / düşük etki):</w:t>
      </w:r>
      <w:r>
        <w:t xml:space="preserve"> İzlenmesi gereken risk likidite ve kredi koşuludur. Buradaki şirketler için erken uyarı göstergeleri cari oran, covenant eşikleri ve SOFR spread'leridir (§9).</w:t>
      </w:r>
    </w:p>
    <w:p>
      <w:pPr>
        <w:ind w:left="432"/>
      </w:pPr>
      <w:r>
        <w:t xml:space="preserve">3. </w:t>
      </w:r>
      <w:r>
        <w:rPr>
          <w:b/>
        </w:rPr>
        <w:t>Sağ-üst kadran (çift yüksek):</w:t>
      </w:r>
      <w:r>
        <w:t xml:space="preserve"> İncelenen şirket kümesi içinde hiçbir şirket bu kadrana yerleşmemiştir. Bu, </w:t>
      </w:r>
      <w:r>
        <w:rPr>
          <w:b/>
        </w:rPr>
        <w:t>yalnızca incelenen örneklem için</w:t>
      </w:r>
      <w:r>
        <w:t xml:space="preserve"> geçerli bir gözlemdir; sistemin tamamında "hem batması kolay hem ikamesiz" bir tek nokta arızası olmadığı sonucu çıkarılamaz. Değer zincirinin bu rapor kapsamı dışında kalan halkaları — HBM bellek (SK Hynix, Micron, Samsung), EDA yazılımı (Synopsys, Cadence), çip IP'si (Arm), ileri paketleme (CoWoS/ASE/Amkor), diğer yarı iletken ekipmanları (Applied Materials, Lam Research, KLA), optik bağlantı/transceiver, soğutma-transformatör-şebeke ekipmanı ve veri merkezi gayrimenkul/proje finansmanı — bu matriste puanlanmamıştır. Bu katmanlardan biri hem yüksek kırılganlık hem yüksek ikame zorluğu gösterebilir; dolayısıyla "sağ-üst boş" gözlemi, sistemin geneli için değil, </w:t>
      </w:r>
      <w:r>
        <w:rPr>
          <w:b/>
        </w:rPr>
        <w:t>incelenen şirket seti</w:t>
      </w:r>
      <w:r>
        <w:t xml:space="preserve"> için bir sınırlı bulgudur (kapsam dışı katmanların finansalları bu raporda uydurulmamıştır; §2.1 sistem sınırı).</w:t>
      </w:r>
    </w:p>
    <w:p>
      <w:pPr>
        <w:pStyle w:val="Heading1"/>
      </w:pPr>
      <w:r>
        <w:t>5. Finansal Kırılganlık Matrisi</w:t>
      </w:r>
    </w:p>
    <w:p>
      <w:r>
        <w:t xml:space="preserve">Bu bölüm, §4'teki sistemik etki analizinden bağımsız olarak yalnızca </w:t>
      </w:r>
      <w:r>
        <w:rPr>
          <w:b/>
        </w:rPr>
        <w:t>finansal dayanıklılığı</w:t>
      </w:r>
      <w:r>
        <w:t xml:space="preserve"> ölçer: faiz karşılama, likidite, kaldıraç, borç vadesi ve değişken faiz maruziyeti. Amaç, "hangi şirket borç yükünü çeviremez?" sorusunu yanıtlamaktır. Finansal kırılganlık yüksek olan bir şirket sistemi durdurmaz (§4); ama alacaklılarına, tedarikçilerine ve finans piyasasına kayıp bulaştırır.</w:t>
      </w:r>
    </w:p>
    <w:p>
      <w:pPr>
        <w:pStyle w:val="Heading2"/>
      </w:pPr>
      <w:r>
        <w:t>5.1 Faiz karşılama: borç servisinin sürdürülebilirliği</w:t>
      </w:r>
    </w:p>
    <w:p>
      <w:r>
        <w:t xml:space="preserve">capex/FCF oranı, FCF sıfıra yaklaştığında ekonomik olarak kararsız sonuçlar verdiği için (bkz. §7.2) bu bölümde </w:t>
      </w:r>
      <w:r>
        <w:rPr>
          <w:b/>
        </w:rPr>
        <w:t>faiz karşılama oranı</w:t>
      </w:r>
      <w:r>
        <w:t xml:space="preserve"> (EBIT / faiz gideri) ana metrik olarak kullanılır. 1,0x'in altı, operasyonel kârın faizi bile karşılamadığı anlamına gelir.</w:t>
      </w:r>
    </w:p>
    <w:p>
      <w:pPr>
        <w:jc w:val="center"/>
      </w:pPr>
      <w:r>
        <w:drawing>
          <wp:inline xmlns:a="http://schemas.openxmlformats.org/drawingml/2006/main" xmlns:pic="http://schemas.openxmlformats.org/drawingml/2006/picture">
            <wp:extent cx="5669280" cy="3136420"/>
            <wp:docPr id="3" name="Picture 3"/>
            <wp:cNvGraphicFramePr>
              <a:graphicFrameLocks noChangeAspect="1"/>
            </wp:cNvGraphicFramePr>
            <a:graphic>
              <a:graphicData uri="http://schemas.openxmlformats.org/drawingml/2006/picture">
                <pic:pic>
                  <pic:nvPicPr>
                    <pic:cNvPr id="0" name="ai_deger_zinciri_chart_coverage_v3.png"/>
                    <pic:cNvPicPr/>
                  </pic:nvPicPr>
                  <pic:blipFill>
                    <a:blip r:embed="rId11"/>
                    <a:stretch>
                      <a:fillRect/>
                    </a:stretch>
                  </pic:blipFill>
                  <pic:spPr>
                    <a:xfrm>
                      <a:off x="0" y="0"/>
                      <a:ext cx="5669280" cy="3136420"/>
                    </a:xfrm>
                    <a:prstGeom prst="rect"/>
                  </pic:spPr>
                </pic:pic>
              </a:graphicData>
            </a:graphic>
          </wp:inline>
        </w:drawing>
      </w:r>
    </w:p>
    <w:p>
      <w:pPr>
        <w:jc w:val="center"/>
      </w:pPr>
      <w:r>
        <w:rPr>
          <w:i/>
          <w:color w:val="555555"/>
          <w:sz w:val="17"/>
        </w:rPr>
        <w:t>Şekil 5.1 — Faiz karşılama oranları (EBIT / faiz gideri), log ölçek. Kesikli çizgi kritik eşik 1,0x. Arista borçsuz olduğundan oran uygulanamaz (n/a) ve sütunla gösterilmez; Broadcom, oranı EBIT/faiz birincil verisiyle doğrulanamadığından grafik dışıdır; Intel 0,63x ile eşiğin altındadır.</w:t>
      </w:r>
    </w:p>
    <w:p>
      <w:r>
        <w:rPr>
          <w:i/>
          <w:color w:val="444444"/>
          <w:sz w:val="19"/>
        </w:rPr>
        <w:t>Şekil 5.1 — Kaynak: TSMC 242,5x</w:t>
      </w:r>
      <w:r>
        <w:rPr>
          <w:i/>
          <w:color w:val="444444"/>
          <w:sz w:val="19"/>
          <w:vertAlign w:val="superscript"/>
        </w:rPr>
        <w:t>2</w:t>
      </w:r>
      <w:r>
        <w:rPr>
          <w:i/>
          <w:color w:val="444444"/>
          <w:sz w:val="19"/>
        </w:rPr>
        <w:t>; GlobalFoundries 16,5x</w:t>
      </w:r>
      <w:r>
        <w:rPr>
          <w:i/>
          <w:color w:val="444444"/>
          <w:sz w:val="19"/>
          <w:vertAlign w:val="superscript"/>
        </w:rPr>
        <w:t>13</w:t>
      </w:r>
      <w:r>
        <w:rPr>
          <w:i/>
          <w:color w:val="444444"/>
          <w:sz w:val="19"/>
        </w:rPr>
        <w:t>; Constellation 16,5x</w:t>
      </w:r>
      <w:r>
        <w:rPr>
          <w:i/>
          <w:color w:val="444444"/>
          <w:sz w:val="19"/>
          <w:vertAlign w:val="superscript"/>
        </w:rPr>
        <w:t>11</w:t>
      </w:r>
      <w:r>
        <w:rPr>
          <w:i/>
          <w:color w:val="444444"/>
          <w:sz w:val="19"/>
        </w:rPr>
        <w:t>; Intel 0,63x</w:t>
      </w:r>
      <w:r>
        <w:rPr>
          <w:i/>
          <w:color w:val="444444"/>
          <w:sz w:val="19"/>
          <w:vertAlign w:val="superscript"/>
        </w:rPr>
        <w:t>14</w:t>
      </w:r>
      <w:r>
        <w:rPr>
          <w:i/>
          <w:color w:val="444444"/>
          <w:sz w:val="19"/>
        </w:rPr>
        <w:t xml:space="preserve">. Tarih: 13 Temmuz 2026. Yöntem: faiz karşılama = EBIT / faiz gideri; yalnızca resmi dosyalama/derecelendirme verisiyle doğrulanan değerler çizilmiştir. </w:t>
      </w:r>
      <w:r>
        <w:rPr>
          <w:b/>
          <w:i/>
          <w:color w:val="444444"/>
          <w:sz w:val="19"/>
        </w:rPr>
        <w:t>Arista</w:t>
      </w:r>
      <w:r>
        <w:rPr>
          <w:i/>
          <w:color w:val="444444"/>
          <w:sz w:val="19"/>
        </w:rPr>
        <w:t xml:space="preserve"> sıfır borç nedeniyle oran dışıdır (n/a).</w:t>
      </w:r>
      <w:r>
        <w:rPr>
          <w:i/>
          <w:color w:val="444444"/>
          <w:sz w:val="19"/>
          <w:vertAlign w:val="superscript"/>
        </w:rPr>
        <w:t>15</w:t>
      </w:r>
      <w:r>
        <w:rPr>
          <w:i/>
          <w:color w:val="444444"/>
          <w:sz w:val="19"/>
        </w:rPr>
        <w:t xml:space="preserve"> </w:t>
      </w:r>
      <w:r>
        <w:rPr>
          <w:b/>
          <w:i/>
          <w:color w:val="444444"/>
          <w:sz w:val="19"/>
        </w:rPr>
        <w:t>Broadcom</w:t>
      </w:r>
      <w:r>
        <w:rPr>
          <w:i/>
          <w:color w:val="444444"/>
          <w:sz w:val="19"/>
        </w:rPr>
        <w:t xml:space="preserve"> için dolaşımdaki ~30x değeri EBIT/faiz gideri birincil verisiyle doğrulanamadığından (D/E ve FCF'den güvenilir biçimde türetilemez) grafiğe dahil edilmemiştir.</w:t>
      </w:r>
      <w:r>
        <w:rPr>
          <w:i/>
          <w:color w:val="444444"/>
          <w:sz w:val="19"/>
          <w:vertAlign w:val="superscript"/>
        </w:rPr>
        <w:t>16</w:t>
      </w:r>
      <w:r>
        <w:rPr>
          <w:i/>
          <w:color w:val="444444"/>
          <w:sz w:val="19"/>
        </w:rPr>
        <w:t xml:space="preserve"> Güven: yüksek (TSMC, Intel, CEG, GFS); Broadcom doğrulanmadı.</w:t>
      </w:r>
    </w:p>
    <w:p>
      <w:r>
        <w:t xml:space="preserve">Okuma: Temel katmanlar (TSMC) ve nakit zengini altyapı (Arista, Alphabet) için borç servisi baskı oluşturmaz. </w:t>
      </w:r>
      <w:r>
        <w:rPr>
          <w:b/>
        </w:rPr>
        <w:t>Tek yapısal sorun Intel'dir:</w:t>
      </w:r>
      <w:r>
        <w:t xml:space="preserve"> 0,63x karşılama, operasyonel kârın faiz yükünü karşılamadığını gösterir; ancak Intel bir foundry rakibi olarak zaten düşük sistemik etkiye sahiptir (§4.1), dolayısıyla sorunu bulaşıcıdan çok şirkete özgüdür.</w:t>
      </w:r>
    </w:p>
    <w:p>
      <w:pPr>
        <w:pStyle w:val="Heading2"/>
      </w:pPr>
      <w:r>
        <w:t>5.2 Likidite: kısa vadeli ödeme kapasitesi</w:t>
      </w:r>
    </w:p>
    <w:p>
      <w:r>
        <w:t xml:space="preserve">Finansal kırılmanın en erken sinyali genellikle bilanço kaldıracı değil </w:t>
      </w:r>
      <w:r>
        <w:rPr>
          <w:b/>
        </w:rPr>
        <w:t>likidite sıkışıklığı</w:t>
      </w:r>
      <w:r>
        <w:t xml:space="preserve">dır. Cari oran (dönen varlıklar / kısa vadeli borçlar) 1,0'in altında, şirketin bir yıl içindeki yükümlülüklerini dönen varlıklarıyla karşılayamadığını gösterir. </w:t>
      </w:r>
      <w:r>
        <w:rPr>
          <w:b/>
        </w:rPr>
        <w:t>Önemli sınırlama:</w:t>
      </w:r>
      <w:r>
        <w:t xml:space="preserve"> cari oranın 1'in altında olması tek başına "ödeyemez" anlamına gelmez — şirketin nakit üretimi (operasyonel nakit akışı), kullanılabilir kredi limitleri ve yükümlülük kompozisyonu da hesaba katılmalıdır. Cari oran bir </w:t>
      </w:r>
      <w:r>
        <w:rPr>
          <w:b/>
        </w:rPr>
        <w:t>uyarı göstergesidir</w:t>
      </w:r>
      <w:r>
        <w:t>, kesin bir temerrüt kanıtı değildir; aşağıdaki tabloda bu çerçeveyle okunmalıdır.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Şirket</w:t>
            </w:r>
          </w:p>
        </w:tc>
        <w:tc>
          <w:tcPr>
            <w:tcW w:type="dxa" w:w="2340"/>
            <w:shd w:val="clear" w:color="auto" w:fill="D9D9D9"/>
          </w:tcPr>
          <w:p>
            <w:r>
              <w:rPr>
                <w:b/>
                <w:sz w:val="18"/>
              </w:rPr>
            </w:r>
            <w:r>
              <w:rPr>
                <w:b/>
                <w:sz w:val="18"/>
              </w:rPr>
              <w:t>Kritik likidite göstergesi</w:t>
            </w:r>
          </w:p>
        </w:tc>
        <w:tc>
          <w:tcPr>
            <w:tcW w:type="dxa" w:w="2340"/>
            <w:shd w:val="clear" w:color="auto" w:fill="D9D9D9"/>
          </w:tcPr>
          <w:p>
            <w:r>
              <w:rPr>
                <w:b/>
                <w:sz w:val="18"/>
              </w:rPr>
            </w:r>
            <w:r>
              <w:rPr>
                <w:b/>
                <w:sz w:val="18"/>
              </w:rPr>
              <w:t>Değer</w:t>
            </w:r>
          </w:p>
        </w:tc>
        <w:tc>
          <w:tcPr>
            <w:tcW w:type="dxa" w:w="2340"/>
            <w:shd w:val="clear" w:color="auto" w:fill="D9D9D9"/>
          </w:tcPr>
          <w:p>
            <w:r>
              <w:rPr>
                <w:b/>
                <w:sz w:val="18"/>
              </w:rPr>
            </w:r>
            <w:r>
              <w:rPr>
                <w:b/>
                <w:sz w:val="18"/>
              </w:rPr>
              <w:t>Okuma</w:t>
            </w:r>
          </w:p>
        </w:tc>
      </w:tr>
      <w:tr>
        <w:tc>
          <w:tcPr>
            <w:tcW w:type="dxa" w:w="2340"/>
          </w:tcPr>
          <w:p>
            <w:r>
              <w:rPr>
                <w:sz w:val="18"/>
              </w:rPr>
            </w:r>
            <w:r>
              <w:rPr>
                <w:sz w:val="18"/>
              </w:rPr>
              <w:t>CoreWeave (CRWV)</w:t>
            </w:r>
          </w:p>
        </w:tc>
        <w:tc>
          <w:tcPr>
            <w:tcW w:type="dxa" w:w="2340"/>
          </w:tcPr>
          <w:p>
            <w:r>
              <w:rPr>
                <w:sz w:val="18"/>
              </w:rPr>
            </w:r>
            <w:r>
              <w:rPr>
                <w:sz w:val="18"/>
              </w:rPr>
              <w:t>Cari oran</w:t>
            </w:r>
          </w:p>
        </w:tc>
        <w:tc>
          <w:tcPr>
            <w:tcW w:type="dxa" w:w="2340"/>
          </w:tcPr>
          <w:p>
            <w:r>
              <w:rPr>
                <w:sz w:val="18"/>
              </w:rPr>
            </w:r>
            <w:r>
              <w:rPr>
                <w:b/>
                <w:sz w:val="18"/>
              </w:rPr>
              <w:t>0,31</w:t>
            </w:r>
          </w:p>
        </w:tc>
        <w:tc>
          <w:tcPr>
            <w:tcW w:type="dxa" w:w="2340"/>
          </w:tcPr>
          <w:p>
            <w:r>
              <w:rPr>
                <w:sz w:val="18"/>
              </w:rPr>
            </w:r>
            <w:r>
              <w:rPr>
                <w:sz w:val="18"/>
              </w:rPr>
              <w:t>Tehlikeli sıkışıklık; vadesi gelen yükümlülük dönen varlığın ~3 katı</w:t>
            </w:r>
          </w:p>
        </w:tc>
      </w:tr>
      <w:tr>
        <w:tc>
          <w:tcPr>
            <w:tcW w:type="dxa" w:w="2340"/>
          </w:tcPr>
          <w:p>
            <w:r>
              <w:rPr>
                <w:sz w:val="18"/>
              </w:rPr>
            </w:r>
            <w:r>
              <w:rPr>
                <w:sz w:val="18"/>
              </w:rPr>
              <w:t>Super Micro (SMCI)</w:t>
            </w:r>
          </w:p>
        </w:tc>
        <w:tc>
          <w:tcPr>
            <w:tcW w:type="dxa" w:w="2340"/>
          </w:tcPr>
          <w:p>
            <w:r>
              <w:rPr>
                <w:sz w:val="18"/>
              </w:rPr>
            </w:r>
            <w:r>
              <w:rPr>
                <w:sz w:val="18"/>
              </w:rPr>
              <w:t>Borç/özkaynak (D/E)</w:t>
            </w:r>
          </w:p>
        </w:tc>
        <w:tc>
          <w:tcPr>
            <w:tcW w:type="dxa" w:w="2340"/>
          </w:tcPr>
          <w:p>
            <w:r>
              <w:rPr>
                <w:sz w:val="18"/>
              </w:rPr>
            </w:r>
            <w:r>
              <w:rPr>
                <w:sz w:val="18"/>
              </w:rPr>
              <w:t>%115 (= 1,15x)</w:t>
            </w:r>
          </w:p>
        </w:tc>
        <w:tc>
          <w:tcPr>
            <w:tcW w:type="dxa" w:w="2340"/>
          </w:tcPr>
          <w:p>
            <w:r>
              <w:rPr>
                <w:sz w:val="18"/>
              </w:rPr>
            </w:r>
            <w:r>
              <w:rPr>
                <w:sz w:val="18"/>
              </w:rPr>
              <w:t>Sektör üstü kaldıraç; düşük marjla birleşince şoka duyarlı</w:t>
            </w:r>
          </w:p>
        </w:tc>
      </w:tr>
      <w:tr>
        <w:tc>
          <w:tcPr>
            <w:tcW w:type="dxa" w:w="2340"/>
          </w:tcPr>
          <w:p>
            <w:r>
              <w:rPr>
                <w:sz w:val="18"/>
              </w:rPr>
            </w:r>
            <w:r>
              <w:rPr>
                <w:sz w:val="18"/>
              </w:rPr>
              <w:t>Intel (INTC)</w:t>
            </w:r>
          </w:p>
        </w:tc>
        <w:tc>
          <w:tcPr>
            <w:tcW w:type="dxa" w:w="2340"/>
          </w:tcPr>
          <w:p>
            <w:r>
              <w:rPr>
                <w:sz w:val="18"/>
              </w:rPr>
            </w:r>
            <w:r>
              <w:rPr>
                <w:sz w:val="18"/>
              </w:rPr>
              <w:t>Faiz karşılama</w:t>
            </w:r>
          </w:p>
        </w:tc>
        <w:tc>
          <w:tcPr>
            <w:tcW w:type="dxa" w:w="2340"/>
          </w:tcPr>
          <w:p>
            <w:r>
              <w:rPr>
                <w:sz w:val="18"/>
              </w:rPr>
            </w:r>
            <w:r>
              <w:rPr>
                <w:sz w:val="18"/>
              </w:rPr>
              <w:t>0,63x</w:t>
            </w:r>
          </w:p>
        </w:tc>
        <w:tc>
          <w:tcPr>
            <w:tcW w:type="dxa" w:w="2340"/>
          </w:tcPr>
          <w:p>
            <w:r>
              <w:rPr>
                <w:sz w:val="18"/>
              </w:rPr>
            </w:r>
            <w:r>
              <w:rPr>
                <w:sz w:val="18"/>
              </w:rPr>
              <w:t>Operasyonel kâr faizi karşılamıyor</w:t>
            </w:r>
          </w:p>
        </w:tc>
      </w:tr>
      <w:tr>
        <w:tc>
          <w:tcPr>
            <w:tcW w:type="dxa" w:w="2340"/>
          </w:tcPr>
          <w:p>
            <w:r>
              <w:rPr>
                <w:sz w:val="18"/>
              </w:rPr>
            </w:r>
            <w:r>
              <w:rPr>
                <w:sz w:val="18"/>
              </w:rPr>
              <w:t>Arista (ANET)</w:t>
            </w:r>
          </w:p>
        </w:tc>
        <w:tc>
          <w:tcPr>
            <w:tcW w:type="dxa" w:w="2340"/>
          </w:tcPr>
          <w:p>
            <w:r>
              <w:rPr>
                <w:sz w:val="18"/>
              </w:rPr>
            </w:r>
            <w:r>
              <w:rPr>
                <w:sz w:val="18"/>
              </w:rPr>
              <w:t>Borç</w:t>
            </w:r>
          </w:p>
        </w:tc>
        <w:tc>
          <w:tcPr>
            <w:tcW w:type="dxa" w:w="2340"/>
          </w:tcPr>
          <w:p>
            <w:r>
              <w:rPr>
                <w:sz w:val="18"/>
              </w:rPr>
            </w:r>
            <w:r>
              <w:rPr>
                <w:sz w:val="18"/>
              </w:rPr>
              <w:t>0 (nakit 12,4 milyar $)</w:t>
            </w:r>
          </w:p>
        </w:tc>
        <w:tc>
          <w:tcPr>
            <w:tcW w:type="dxa" w:w="2340"/>
          </w:tcPr>
          <w:p>
            <w:r>
              <w:rPr>
                <w:sz w:val="18"/>
              </w:rPr>
            </w:r>
            <w:r>
              <w:rPr>
                <w:sz w:val="18"/>
              </w:rPr>
              <w:t>İncelenen borç-servis metrikleri açısından düşük risk</w:t>
            </w:r>
          </w:p>
        </w:tc>
      </w:tr>
      <w:tr>
        <w:tc>
          <w:tcPr>
            <w:tcW w:type="dxa" w:w="2340"/>
          </w:tcPr>
          <w:p>
            <w:r>
              <w:rPr>
                <w:sz w:val="18"/>
              </w:rPr>
            </w:r>
            <w:r>
              <w:rPr>
                <w:sz w:val="18"/>
              </w:rPr>
              <w:t>Alphabet (GOOGL)</w:t>
            </w:r>
          </w:p>
        </w:tc>
        <w:tc>
          <w:tcPr>
            <w:tcW w:type="dxa" w:w="2340"/>
          </w:tcPr>
          <w:p>
            <w:r>
              <w:rPr>
                <w:sz w:val="18"/>
              </w:rPr>
            </w:r>
            <w:r>
              <w:rPr>
                <w:sz w:val="18"/>
              </w:rPr>
              <w:t>Net pozisyon</w:t>
            </w:r>
          </w:p>
        </w:tc>
        <w:tc>
          <w:tcPr>
            <w:tcW w:type="dxa" w:w="2340"/>
          </w:tcPr>
          <w:p>
            <w:r>
              <w:rPr>
                <w:sz w:val="18"/>
              </w:rPr>
            </w:r>
            <w:r>
              <w:rPr>
                <w:sz w:val="18"/>
              </w:rPr>
              <w:t>nakit 126,8 milyar $ &gt; borç 77,5 milyar $</w:t>
            </w:r>
          </w:p>
        </w:tc>
        <w:tc>
          <w:tcPr>
            <w:tcW w:type="dxa" w:w="2340"/>
          </w:tcPr>
          <w:p>
            <w:r>
              <w:rPr>
                <w:sz w:val="18"/>
              </w:rPr>
            </w:r>
            <w:r>
              <w:rPr>
                <w:sz w:val="18"/>
              </w:rPr>
              <w:t>Net nakit; faiz riskinden arındırılmış</w:t>
            </w:r>
          </w:p>
        </w:tc>
      </w:tr>
      <w:tr>
        <w:tc>
          <w:tcPr>
            <w:tcW w:type="dxa" w:w="2340"/>
          </w:tcPr>
          <w:p>
            <w:r>
              <w:rPr>
                <w:sz w:val="18"/>
              </w:rPr>
            </w:r>
            <w:r>
              <w:rPr>
                <w:sz w:val="18"/>
              </w:rPr>
              <w:t>TSMC</w:t>
            </w:r>
          </w:p>
        </w:tc>
        <w:tc>
          <w:tcPr>
            <w:tcW w:type="dxa" w:w="2340"/>
          </w:tcPr>
          <w:p>
            <w:r>
              <w:rPr>
                <w:sz w:val="18"/>
              </w:rPr>
            </w:r>
            <w:r>
              <w:rPr>
                <w:sz w:val="18"/>
              </w:rPr>
              <w:t>Nakit/borç</w:t>
            </w:r>
          </w:p>
        </w:tc>
        <w:tc>
          <w:tcPr>
            <w:tcW w:type="dxa" w:w="2340"/>
          </w:tcPr>
          <w:p>
            <w:r>
              <w:rPr>
                <w:sz w:val="18"/>
              </w:rPr>
            </w:r>
            <w:r>
              <w:rPr>
                <w:sz w:val="18"/>
              </w:rPr>
              <w:t>3,17</w:t>
            </w:r>
          </w:p>
        </w:tc>
        <w:tc>
          <w:tcPr>
            <w:tcW w:type="dxa" w:w="2340"/>
          </w:tcPr>
          <w:p>
            <w:r>
              <w:rPr>
                <w:sz w:val="18"/>
              </w:rPr>
            </w:r>
            <w:r>
              <w:rPr>
                <w:sz w:val="18"/>
              </w:rPr>
              <w:t>Net nakit; likidite kalesi</w:t>
            </w:r>
          </w:p>
        </w:tc>
      </w:tr>
    </w:tbl>
    <w:p/>
    <w:p>
      <w:r>
        <w:rPr>
          <w:i/>
          <w:color w:val="444444"/>
          <w:sz w:val="19"/>
        </w:rPr>
        <w:t>Kaynak: CRWV cari oran ve borç</w:t>
      </w:r>
      <w:r>
        <w:rPr>
          <w:i/>
          <w:color w:val="444444"/>
          <w:sz w:val="19"/>
          <w:vertAlign w:val="superscript"/>
        </w:rPr>
        <w:t>4</w:t>
      </w:r>
      <w:r>
        <w:rPr>
          <w:i/>
          <w:color w:val="444444"/>
          <w:sz w:val="19"/>
        </w:rPr>
        <w:t>; SMCI D/E</w:t>
      </w:r>
      <w:r>
        <w:rPr>
          <w:i/>
          <w:color w:val="444444"/>
          <w:sz w:val="19"/>
          <w:vertAlign w:val="superscript"/>
        </w:rPr>
        <w:t>17</w:t>
      </w:r>
      <w:r>
        <w:rPr>
          <w:i/>
          <w:color w:val="444444"/>
          <w:sz w:val="19"/>
        </w:rPr>
        <w:t>; Intel karşılama</w:t>
      </w:r>
      <w:r>
        <w:rPr>
          <w:i/>
          <w:color w:val="444444"/>
          <w:sz w:val="19"/>
          <w:vertAlign w:val="superscript"/>
        </w:rPr>
        <w:t>14</w:t>
      </w:r>
      <w:r>
        <w:rPr>
          <w:i/>
          <w:color w:val="444444"/>
          <w:sz w:val="19"/>
        </w:rPr>
        <w:t>; Arista</w:t>
      </w:r>
      <w:r>
        <w:rPr>
          <w:i/>
          <w:color w:val="444444"/>
          <w:sz w:val="19"/>
          <w:vertAlign w:val="superscript"/>
        </w:rPr>
        <w:t>15</w:t>
      </w:r>
      <w:r>
        <w:rPr>
          <w:i/>
          <w:color w:val="444444"/>
          <w:sz w:val="19"/>
        </w:rPr>
        <w:t>; Alphabet</w:t>
      </w:r>
      <w:r>
        <w:rPr>
          <w:i/>
          <w:color w:val="444444"/>
          <w:sz w:val="19"/>
          <w:vertAlign w:val="superscript"/>
        </w:rPr>
        <w:t>18</w:t>
      </w:r>
      <w:r>
        <w:rPr>
          <w:i/>
          <w:color w:val="444444"/>
          <w:sz w:val="19"/>
        </w:rPr>
        <w:t>; TSMC</w:t>
      </w:r>
      <w:r>
        <w:rPr>
          <w:i/>
          <w:color w:val="444444"/>
          <w:sz w:val="19"/>
          <w:vertAlign w:val="superscript"/>
        </w:rPr>
        <w:t>12</w:t>
      </w:r>
      <w:r>
        <w:rPr>
          <w:i/>
          <w:color w:val="444444"/>
          <w:sz w:val="19"/>
        </w:rPr>
        <w:t>. Tarih: 13 Temmuz 2026. Güven: yüksek (resmi dosyalama).</w:t>
      </w:r>
    </w:p>
    <w:p>
      <w:pPr>
        <w:pStyle w:val="Heading2"/>
      </w:pPr>
      <w:r>
        <w:t>5.3 Kaldıraç ve vade yoğunlaşması</w:t>
      </w:r>
    </w:p>
    <w:p>
      <w:r>
        <w:t xml:space="preserve">Kaldıraç tek başına risk değildir; </w:t>
      </w:r>
      <w:r>
        <w:rPr>
          <w:b/>
        </w:rPr>
        <w:t>vade yoğunlaşması</w:t>
      </w:r>
      <w:r>
        <w:t xml:space="preserve"> (borcun ne zaman geri ödeneceği) ve </w:t>
      </w:r>
      <w:r>
        <w:rPr>
          <w:b/>
        </w:rPr>
        <w:t>değişken faiz maruziyeti</w:t>
      </w:r>
      <w:r>
        <w:t xml:space="preserve"> ile birlikte okunmalıdır.</w:t>
      </w:r>
    </w:p>
    <w:p>
      <w:pPr>
        <w:pStyle w:val="ListBullet"/>
      </w:pPr>
      <w:r>
        <w:rPr>
          <w:b/>
        </w:rPr>
        <w:t>Değişken faiz riski (yüksek):</w:t>
      </w:r>
      <w:r>
        <w:t xml:space="preserve"> CoreWeave'in 8,5 milyar $ DDTL 4.0 tesisi SOFR + %2,25 ile sabit %5,9 arasında fiyatlanmıştır.</w:t>
      </w:r>
      <w:r>
        <w:rPr>
          <w:vertAlign w:val="superscript"/>
        </w:rPr>
        <w:t>4</w:t>
      </w:r>
      <w:r>
        <w:t xml:space="preserve"> Higher-for-longer faiz ortamında (§8.4) bu, faiz giderinin piyasa faiziyle birlikte şişebileceği anlamına gelir — kredi geri çağırma (margin call) eşikleri kamuya kapalı olduğundan tam risk hesaplanamaz (§10).</w:t>
      </w:r>
    </w:p>
    <w:p>
      <w:pPr>
        <w:pStyle w:val="ListBullet"/>
      </w:pPr>
      <w:r>
        <w:rPr>
          <w:b/>
        </w:rPr>
        <w:t>Vade / yeniden finansman riski (yüksek):</w:t>
      </w:r>
      <w:r>
        <w:t xml:space="preserve"> CoreWeave toplam 25,1 milyar $ borç taşırken yıllık geliri ~12,6 milyar $ ve net zarar marjı %36'dır.</w:t>
      </w:r>
      <w:r>
        <w:rPr>
          <w:vertAlign w:val="superscript"/>
        </w:rPr>
        <w:t>4</w:t>
      </w:r>
      <w:r>
        <w:t xml:space="preserve"> Borç çevirme kapasitesi, teminatlı GPU'ların ikinci el fiyatına ve kredi fonlarının risk iştahına bağlıdır.</w:t>
      </w:r>
    </w:p>
    <w:p>
      <w:pPr>
        <w:pStyle w:val="ListBullet"/>
      </w:pPr>
      <w:r>
        <w:rPr>
          <w:b/>
        </w:rPr>
        <w:t>Yapısal kaldıraç (orta):</w:t>
      </w:r>
      <w:r>
        <w:t xml:space="preserve"> Meta toplam 238 milyar $ bağlayıcı sözleşme (tek çeyrekte 107 milyar $ "iptal edilemez" taahhüt) bildirmiştir.</w:t>
      </w:r>
      <w:r>
        <w:rPr>
          <w:vertAlign w:val="superscript"/>
        </w:rPr>
        <w:t>19</w:t>
      </w:r>
      <w:r>
        <w:t xml:space="preserve"> Bu bir borç değil, gelecek nakit çıkışı taahhüdüdür (§7.4); ancak 2027'de -24 milyar $ FCF projeksiyonu (analist tahmini)</w:t>
      </w:r>
      <w:r>
        <w:rPr>
          <w:vertAlign w:val="superscript"/>
        </w:rPr>
        <w:t>20</w:t>
      </w:r>
      <w:r>
        <w:t xml:space="preserve"> ile birleşince ödeme takvimi baskısı yaratır.</w:t>
      </w:r>
    </w:p>
    <w:p>
      <w:pPr>
        <w:pStyle w:val="ListBullet"/>
      </w:pPr>
      <w:r>
        <w:rPr>
          <w:b/>
        </w:rPr>
        <w:t>Yüksek ama yönetilebilir:</w:t>
      </w:r>
      <w:r>
        <w:t xml:space="preserve"> Amazon 2026'da 72 milyar $ borçlanmıştır</w:t>
      </w:r>
      <w:r>
        <w:rPr>
          <w:vertAlign w:val="superscript"/>
        </w:rPr>
        <w:t>6</w:t>
      </w:r>
      <w:r>
        <w:t>; Fitch notu AA- ile yatırım yapılabilir seviyededir</w:t>
      </w:r>
      <w:r>
        <w:rPr>
          <w:vertAlign w:val="superscript"/>
        </w:rPr>
        <w:t>21</w:t>
      </w:r>
      <w:r>
        <w:t>, dolayısıyla yeniden finansman riski düşük.</w:t>
      </w:r>
    </w:p>
    <w:p>
      <w:pPr>
        <w:pStyle w:val="Heading2"/>
      </w:pPr>
      <w:r>
        <w:t>5.4 Finansal kırılganlık sıralaması</w:t>
      </w:r>
    </w:p>
    <w:p>
      <w:r>
        <w:t>Finansal kırılganlık (§4'teki sistemik etkiden bağımsız) açısından şirketler şöyle sıralanır — en kırılgandan en sağlama:</w:t>
      </w:r>
    </w:p>
    <w:p>
      <w:pPr>
        <w:ind w:left="432"/>
      </w:pPr>
      <w:r>
        <w:t xml:space="preserve">1. </w:t>
      </w:r>
      <w:r>
        <w:rPr>
          <w:b/>
        </w:rPr>
        <w:t>CoreWeave</w:t>
      </w:r>
      <w:r>
        <w:t xml:space="preserve"> — cari oran 0,31, GPU-teminatlı değişken faizli borç, zarar. En olası yakın vadeli finansal kırılma noktası.</w:t>
      </w:r>
    </w:p>
    <w:p>
      <w:pPr>
        <w:ind w:left="432"/>
      </w:pPr>
      <w:r>
        <w:t xml:space="preserve">2. </w:t>
      </w:r>
      <w:r>
        <w:rPr>
          <w:b/>
        </w:rPr>
        <w:t>Super Micro</w:t>
      </w:r>
      <w:r>
        <w:t xml:space="preserve"> — D/E %115, net marj %3,70; kaldıraç + düşük marj bileşimi.</w:t>
      </w:r>
    </w:p>
    <w:p>
      <w:pPr>
        <w:ind w:left="432"/>
      </w:pPr>
      <w:r>
        <w:t xml:space="preserve">3. </w:t>
      </w:r>
      <w:r>
        <w:rPr>
          <w:b/>
        </w:rPr>
        <w:t>Intel</w:t>
      </w:r>
      <w:r>
        <w:t xml:space="preserve"> — faiz karşılama 0,63x; yapısal kârlılık sorunu (F/K -175,3x</w:t>
      </w:r>
      <w:r>
        <w:rPr>
          <w:vertAlign w:val="superscript"/>
        </w:rPr>
        <w:t>14</w:t>
      </w:r>
      <w:r>
        <w:t>).</w:t>
      </w:r>
    </w:p>
    <w:p>
      <w:pPr>
        <w:ind w:left="432"/>
      </w:pPr>
      <w:r>
        <w:t xml:space="preserve">4. </w:t>
      </w:r>
      <w:r>
        <w:rPr>
          <w:b/>
        </w:rPr>
        <w:t>Meta</w:t>
      </w:r>
      <w:r>
        <w:t xml:space="preserve"> — borç değil ama devasa nakit taahhüdü + negatif FCF projeksiyonu.</w:t>
      </w:r>
    </w:p>
    <w:p>
      <w:pPr>
        <w:ind w:left="432"/>
      </w:pPr>
      <w:r>
        <w:t xml:space="preserve">5. </w:t>
      </w:r>
      <w:r>
        <w:rPr>
          <w:b/>
        </w:rPr>
        <w:t>Amazon</w:t>
      </w:r>
      <w:r>
        <w:t xml:space="preserve"> — büyük borçlanma ama yatırım yapılabilir not ve güçlü operasyonel nakit.</w:t>
      </w:r>
    </w:p>
    <w:p>
      <w:pPr>
        <w:ind w:left="432"/>
      </w:pPr>
      <w:r>
        <w:t xml:space="preserve">6. </w:t>
      </w:r>
      <w:r>
        <w:rPr>
          <w:b/>
        </w:rPr>
        <w:t>Arista, Alphabet, TSMC, ASML</w:t>
      </w:r>
      <w:r>
        <w:t xml:space="preserve"> — incelenen borç-servis ve likidite metrikleri açısından düşük risk.</w:t>
      </w:r>
    </w:p>
    <w:p>
      <w:pPr>
        <w:ind w:left="576"/>
      </w:pPr>
      <w:r>
        <w:rPr>
          <w:b/>
          <w:i/>
          <w:color w:val="444444"/>
        </w:rPr>
        <w:t>Önemli ayrım:</w:t>
      </w:r>
      <w:r>
        <w:rPr>
          <w:i/>
          <w:color w:val="444444"/>
        </w:rPr>
        <w:t xml:space="preserve"> Bu sıralama "hangi şirketin finansal kırılganlığı daha yüksek?" sorusunu yanıtlar; "hangisi batarsa sistem çöker?" sorusunu değil. İkinci sorunun yanıtı §4'tedir ve bu iki liste bilinçli olarak farklıdır.</w:t>
      </w:r>
    </w:p>
    <w:p>
      <w:pPr>
        <w:pStyle w:val="Heading1"/>
      </w:pPr>
      <w:r>
        <w:t>6. Şirket ve Katman Bazlı Analiz</w:t>
      </w:r>
    </w:p>
    <w:p>
      <w:r>
        <w:t xml:space="preserve">Bu bölüm, değer zincirinin altı katmanını tek tek inceler. Her şirket için kilit finansal veriler ve </w:t>
      </w:r>
      <w:r>
        <w:rPr>
          <w:b/>
        </w:rPr>
        <w:t>birincil risk türü etiketi</w:t>
      </w:r>
      <w:r>
        <w:t xml:space="preserve"> verilir (§2.3'teki dört risk türünden: finansal temerrüt, operasyonel tedarik kesintisi, finansal bulaşıcılık, piyasa/değerleme). Veri tarihi 13 Temmuz 2026'dır; "analist tahmini" ve "senaryo varsayımı" açıkça etiketlenmiştir.</w:t>
      </w:r>
    </w:p>
    <w:p>
      <w:pPr>
        <w:pStyle w:val="Heading2"/>
      </w:pPr>
      <w:r>
        <w:t>6.1 Katman 1 — Fiziksel Üretim: Litografi ve Dökümhaneler</w:t>
      </w:r>
    </w:p>
    <w:p>
      <w:r>
        <w:rPr>
          <w:b/>
        </w:rPr>
        <w:t>ASML Holding.</w:t>
      </w:r>
      <w:r>
        <w:t xml:space="preserve"> EUV litografi makinelerinin dünyadaki tek tedarikçisi. Q1 2026'da 8,76 milyar € net satış ve 2,75 milyar € net kâr açıkladı; 2026 tam yıl gelir beklentisi 36–40 milyar €, brüt marj %51–53.</w:t>
      </w:r>
      <w:r>
        <w:rPr>
          <w:vertAlign w:val="superscript"/>
        </w:rPr>
        <w:t>22</w:t>
      </w:r>
      <w:r>
        <w:t xml:space="preserve"> Bilançosunda 8,3 milyar € nakit ve kısa vadeli yatırıma karşılık toplam borç 2,7 milyar € (borç/özkaynak %13).</w:t>
      </w:r>
      <w:r>
        <w:rPr>
          <w:vertAlign w:val="superscript"/>
        </w:rPr>
        <w:t>3</w:t>
      </w:r>
      <w:r>
        <w:t xml:space="preserve"> F/K 60,8x ile yatırımcının tekel primini yansıtıyor.</w:t>
      </w:r>
      <w:r>
        <w:rPr>
          <w:vertAlign w:val="superscript"/>
        </w:rPr>
        <w:t>23</w:t>
      </w:r>
    </w:p>
    <w:p>
      <w:r>
        <w:rPr>
          <w:i/>
          <w:color w:val="444444"/>
          <w:sz w:val="19"/>
        </w:rPr>
        <w:t>Birincil risk etiketi: operasyonel tedarik kesintisi (ikamesi son derece güç) + piyasa/değerleme (yüksek F/K). Finansal temerrüt riski incelenen metrikler açısından düşük.</w:t>
      </w:r>
    </w:p>
    <w:p>
      <w:r>
        <w:rPr>
          <w:b/>
        </w:rPr>
        <w:t>TSMC.</w:t>
      </w:r>
      <w:r>
        <w:t xml:space="preserve"> Dünyanın en büyük bağımsız dökümhanesi. Q1 2026'da 1,134 trilyon NT$ (~35,9 milyar $) net satış/hasılat ve 572,48 milyar NT$ net kâr açıkladı; brüt marj %66,2; gelirin </w:t>
      </w:r>
      <w:r>
        <w:rPr>
          <w:b/>
        </w:rPr>
        <w:t>%74'ü 7nm ve altı ileri düğümlerden</w:t>
      </w:r>
      <w:r>
        <w:t xml:space="preserve"> (bu bir gelir kompozisyonu verisidir, pazar payı değildir).</w:t>
      </w:r>
      <w:r>
        <w:rPr>
          <w:vertAlign w:val="superscript"/>
        </w:rPr>
        <w:t>1</w:t>
      </w:r>
      <w:r>
        <w:t xml:space="preserve"> Faiz karşılama 242,5x, nakit/borç 3,17; 2026 capex 52–56 milyar $, tamamen kendi serbest nakit akışıyla finanse ediliyor.</w:t>
      </w:r>
      <w:r>
        <w:rPr>
          <w:vertAlign w:val="superscript"/>
        </w:rPr>
        <w:t>2</w:t>
      </w:r>
      <w:r>
        <w:rPr>
          <w:vertAlign w:val="superscript"/>
        </w:rPr>
        <w:t>24</w:t>
      </w:r>
      <w:r>
        <w:t xml:space="preserve"> S&amp;P görünümü "Positive"a revize etti.</w:t>
      </w:r>
      <w:r>
        <w:rPr>
          <w:vertAlign w:val="superscript"/>
        </w:rPr>
        <w:t>25</w:t>
      </w:r>
    </w:p>
    <w:p>
      <w:r>
        <w:rPr>
          <w:i/>
          <w:color w:val="444444"/>
          <w:sz w:val="19"/>
        </w:rPr>
        <w:t>Birincil risk etiketi: operasyonel tedarik kesintisi (coğrafi yoğunlaşma / jeopolitik). Finansal temerrüt riski incelenen metrikler açısından çok düşük.</w:t>
      </w:r>
    </w:p>
    <w:p>
      <w:r>
        <w:rPr>
          <w:b/>
        </w:rPr>
        <w:t>GlobalFoundries.</w:t>
      </w:r>
      <w:r>
        <w:t xml:space="preserve"> Eski nesil düğümlere odaklı; bu yüzden AI patlamasından TSMC ölçeğinde yararlanamıyor. Çeyreklik gelir 1,63 milyar $; net borç/özkaynak %9,8; faiz karşılama 16,5x.</w:t>
      </w:r>
      <w:r>
        <w:rPr>
          <w:vertAlign w:val="superscript"/>
        </w:rPr>
        <w:t>13</w:t>
      </w:r>
      <w:r>
        <w:t xml:space="preserve"> İçeriden satış sinyali: bir strateji yöneticisi hisselerinin %78'ini sattı.</w:t>
      </w:r>
      <w:r>
        <w:rPr>
          <w:vertAlign w:val="superscript"/>
        </w:rPr>
        <w:t>26</w:t>
      </w:r>
    </w:p>
    <w:p>
      <w:r>
        <w:rPr>
          <w:i/>
          <w:color w:val="444444"/>
          <w:sz w:val="19"/>
        </w:rPr>
        <w:t>Birincil risk etiketi: piyasa/değerleme (büyüme fırsatını kaçırma) + rekabet. Finansal temerrüt riski düşük.</w:t>
      </w:r>
    </w:p>
    <w:p>
      <w:r>
        <w:rPr>
          <w:b/>
        </w:rPr>
        <w:t>Intel.</w:t>
      </w:r>
      <w:r>
        <w:t xml:space="preserve"> Foundry pivotunun finansal bedelini taşıyor. Foundry iş biriminin çeyreklik dış müşteri geliri yalnızca 174 milyon $ iken operasyonel zarar 2,4 milyar $; faiz karşılama 0,63x; F/K -175,3x.</w:t>
      </w:r>
      <w:r>
        <w:rPr>
          <w:vertAlign w:val="superscript"/>
        </w:rPr>
        <w:t>14</w:t>
      </w:r>
      <w:r>
        <w:t xml:space="preserve"> 18A sürecinin geç kârlılığa ulaşacağı haberleri sonrası hisse bir haftada %21 düştü (bu olayın yorumu kaynaklar arasında tartışmalı).</w:t>
      </w:r>
      <w:r>
        <w:rPr>
          <w:vertAlign w:val="superscript"/>
        </w:rPr>
        <w:t>27</w:t>
      </w:r>
    </w:p>
    <w:p>
      <w:r>
        <w:rPr>
          <w:i/>
          <w:color w:val="444444"/>
          <w:sz w:val="19"/>
        </w:rPr>
        <w:t>Birincil risk etiketi: finansal temerrüt baskısı (kârlılık) + stratejik/yönetim riski. Sistemik etkisi düşük (foundry'de ikame güçlü).</w:t>
      </w:r>
    </w:p>
    <w:p>
      <w:pPr>
        <w:pStyle w:val="Heading2"/>
      </w:pPr>
      <w:r>
        <w:t>6.2 Katman 2 — Çip Tasarımcıları (Fabless)</w:t>
      </w:r>
    </w:p>
    <w:p>
      <w:r>
        <w:rPr>
          <w:b/>
        </w:rPr>
        <w:t>NVIDIA.</w:t>
      </w:r>
      <w:r>
        <w:t xml:space="preserve"> Eğitim ve inference donanımının fiili standardı. Çeyreklik gelir artışı %85; analistler Q2 için %96 büyüme öngörüyor (analist tahmini).</w:t>
      </w:r>
      <w:r>
        <w:rPr>
          <w:vertAlign w:val="superscript"/>
        </w:rPr>
        <w:t>28</w:t>
      </w:r>
      <w:r>
        <w:rPr>
          <w:vertAlign w:val="superscript"/>
        </w:rPr>
        <w:t>29</w:t>
      </w:r>
      <w:r>
        <w:t xml:space="preserve"> Piyasa değeri ~5,1 trilyon $. Gücü fiyatlama gücü ve CUDA ekosistemi.</w:t>
      </w:r>
    </w:p>
    <w:p>
      <w:r>
        <w:rPr>
          <w:i/>
          <w:color w:val="444444"/>
          <w:sz w:val="19"/>
        </w:rPr>
        <w:t>Birincil risk etiketi: operasyonel tedarik kesintisi (TSMC'ye bağımlılık) + piyasa/değerleme. Finansal temerrüt riski düşük (güçlü operasyonel nakit).</w:t>
      </w:r>
    </w:p>
    <w:p>
      <w:r>
        <w:rPr>
          <w:b/>
        </w:rPr>
        <w:t>AMD.</w:t>
      </w:r>
      <w:r>
        <w:t xml:space="preserve"> Veri merkezi gelirinde yıllık %57 artış; ileri F/K 51,5, P/S 11,6 (kâr büyüme beklentisi %44 fiyatlanmış).</w:t>
      </w:r>
      <w:r>
        <w:rPr>
          <w:vertAlign w:val="superscript"/>
        </w:rPr>
        <w:t>30</w:t>
      </w:r>
      <w:r>
        <w:rPr>
          <w:vertAlign w:val="superscript"/>
        </w:rPr>
        <w:t>31</w:t>
      </w:r>
      <w:r>
        <w:t xml:space="preserve"> Lisa Su'ya göre agentic AI iş yükleriyle sunucu CPU pazarı 2030'a kadar 120 milyar $'a ulaşacak (yönetici projeksiyonu / tahmin).</w:t>
      </w:r>
    </w:p>
    <w:p>
      <w:r>
        <w:rPr>
          <w:i/>
          <w:color w:val="444444"/>
          <w:sz w:val="19"/>
        </w:rPr>
        <w:t>Birincil risk etiketi: piyasa/değerleme (yüksek beklenti) + rekabet. Finansal temerrüt riski düşük.</w:t>
      </w:r>
    </w:p>
    <w:p>
      <w:r>
        <w:rPr>
          <w:b/>
        </w:rPr>
        <w:t>Broadcom.</w:t>
      </w:r>
      <w:r>
        <w:t xml:space="preserve"> Gelirin %58'i yarı iletken, %42'si altyapı yazılımı; net kâr marjı %41,96; borç/özkaynak 0,74x; F/K 66,5x.</w:t>
      </w:r>
      <w:r>
        <w:rPr>
          <w:vertAlign w:val="superscript"/>
        </w:rPr>
        <w:t>16</w:t>
      </w:r>
      <w:r>
        <w:t xml:space="preserve"> Güçlü serbest nakit akışı borç servisini destekliyor.</w:t>
      </w:r>
    </w:p>
    <w:p>
      <w:r>
        <w:rPr>
          <w:i/>
          <w:color w:val="444444"/>
          <w:sz w:val="19"/>
        </w:rPr>
        <w:t>Birincil risk etiketi: piyasa/değerleme + müşteri yoğunlaşması. Finansal temerrüt riski düşük.</w:t>
      </w:r>
    </w:p>
    <w:p>
      <w:r>
        <w:rPr>
          <w:b/>
        </w:rPr>
        <w:t>Qualcomm.</w:t>
      </w:r>
      <w:r>
        <w:t xml:space="preserve"> Mobilden AI veri merkezine yöneliyor; Meta'nın yeni nesil sunucuları için Dragonfly C1000 tedarik ortaklığı; 20 milyar $ hisse geri alım programı.</w:t>
      </w:r>
      <w:r>
        <w:rPr>
          <w:vertAlign w:val="superscript"/>
        </w:rPr>
        <w:t>32</w:t>
      </w:r>
      <w:r>
        <w:t xml:space="preserve"> Piyasa değeri ~196 milyar $.</w:t>
      </w:r>
    </w:p>
    <w:p>
      <w:r>
        <w:rPr>
          <w:i/>
          <w:color w:val="444444"/>
          <w:sz w:val="19"/>
        </w:rPr>
        <w:t>Birincil risk etiketi: stratejik geçiş riski + piyasa/değerleme. Finansal temerrüt riski düşük.</w:t>
      </w:r>
    </w:p>
    <w:p>
      <w:pPr>
        <w:pStyle w:val="Heading2"/>
      </w:pPr>
      <w:r>
        <w:t>6.3 Katman 3 — Veri Merkezi, Ağ ve Enerji Altyapısı</w:t>
      </w:r>
    </w:p>
    <w:p>
      <w:r>
        <w:rPr>
          <w:b/>
        </w:rPr>
        <w:t>Arista Networks.</w:t>
      </w:r>
      <w:r>
        <w:t xml:space="preserve"> Veri merkezi Ethernet ağı. </w:t>
      </w:r>
      <w:r>
        <w:rPr>
          <w:b/>
        </w:rPr>
        <w:t>Sıfır borç</w:t>
      </w:r>
      <w:r>
        <w:t>, 12,4 milyar $ nakit; gelir yıllık %35,1 artışla 2,7 milyar $; net marj %38,3; F/K 63,4.</w:t>
      </w:r>
      <w:r>
        <w:rPr>
          <w:vertAlign w:val="superscript"/>
        </w:rPr>
        <w:t>15</w:t>
      </w:r>
      <w:r>
        <w:t xml:space="preserve"> Yüksek faiz ortamından tamamen korunaklı.</w:t>
      </w:r>
    </w:p>
    <w:p>
      <w:r>
        <w:rPr>
          <w:i/>
          <w:color w:val="444444"/>
          <w:sz w:val="19"/>
        </w:rPr>
        <w:t>Birincil risk etiketi: müşteri yoğunlaşması + piyasa/değerleme. İncelenen borç-servis metrikleri açısından düşük riskli (sıfır borç "risksiz" demek değildir — gelir düşüşü ve değerleme riski devam eder).</w:t>
      </w:r>
    </w:p>
    <w:p>
      <w:r>
        <w:rPr>
          <w:b/>
        </w:rPr>
        <w:t>Super Micro Computer.</w:t>
      </w:r>
      <w:r>
        <w:t xml:space="preserve"> Sunucu montajı. Borç/özkaynak %115 (= 1,15x); brüt marj %8,39, net marj %3,70'e düştü; F/K 14,9.</w:t>
      </w:r>
      <w:r>
        <w:rPr>
          <w:vertAlign w:val="superscript"/>
        </w:rPr>
        <w:t>17</w:t>
      </w:r>
      <w:r>
        <w:t xml:space="preserve"> Yüksek kaldıraç + düşük marj bileşimi makro şoka duyarlı.</w:t>
      </w:r>
    </w:p>
    <w:p>
      <w:r>
        <w:rPr>
          <w:i/>
          <w:color w:val="444444"/>
          <w:sz w:val="19"/>
        </w:rPr>
        <w:t>Birincil risk etiketi: finansal temerrüt baskısı (kaldıraç + marj) + operasyonel (geçmiş muhasebe sorunları). Sistemik etkisi düşük (Dell/HPE ikame edebilir).</w:t>
      </w:r>
    </w:p>
    <w:p>
      <w:r>
        <w:rPr>
          <w:b/>
        </w:rPr>
        <w:t>Constellation Energy.</w:t>
      </w:r>
      <w:r>
        <w:t xml:space="preserve"> Nükleer/temiz enerji; veri merkezi inşasının fiziksel kapasite duvarı. Calpine satın alımı sonrası 2026 gelir hedefi 36,5 milyar $; borç/özkaynak 0,67x (utility ortalamasının altında); faiz karşılama 16,5x; toplam borç 22,46 milyar $.</w:t>
      </w:r>
      <w:r>
        <w:rPr>
          <w:vertAlign w:val="superscript"/>
        </w:rPr>
        <w:t>11</w:t>
      </w:r>
      <w:r>
        <w:rPr>
          <w:vertAlign w:val="superscript"/>
        </w:rPr>
        <w:t>33</w:t>
      </w:r>
    </w:p>
    <w:p>
      <w:r>
        <w:rPr>
          <w:i/>
          <w:color w:val="444444"/>
          <w:sz w:val="19"/>
        </w:rPr>
        <w:t>Birincil risk etiketi: operasyonel tedarik (enerji arzının kritikliği) + düzenleyici. Finansal temerrüt riski düşük (istikrarlı utility nakit akışı).</w:t>
      </w:r>
    </w:p>
    <w:p>
      <w:pPr>
        <w:pStyle w:val="Heading2"/>
      </w:pPr>
      <w:r>
        <w:t>6.4 Katman 4 — Hyperscaler'lar ve Capex Sarmalı</w:t>
      </w:r>
    </w:p>
    <w:p>
      <w:r>
        <w:t>Bu katman, "dairesel finansman" riskinin yoğunlaştığı yerdir: devasa capex, borç ve hisse arzıyla finanse ediliyor; getiri ise büyük ölçüde LLM gelirine bağlı (§3.3).</w:t>
      </w:r>
    </w:p>
    <w:p>
      <w:r>
        <w:rPr>
          <w:b/>
        </w:rPr>
        <w:t>Amazon.</w:t>
      </w:r>
      <w:r>
        <w:t xml:space="preserve"> AWS çeyreklik büyüme %28,4 (son 15 çeyreğin en yükseği); toplam gelir 181,5 milyar $.</w:t>
      </w:r>
      <w:r>
        <w:rPr>
          <w:vertAlign w:val="superscript"/>
        </w:rPr>
        <w:t>34</w:t>
      </w:r>
      <w:r>
        <w:t xml:space="preserve"> Capex 2025'te 131 milyar $ → 2026'da 200 milyar $; son 12 aylık FCF 25,9 milyar $'dan 1,2 milyar $'a eridi.</w:t>
      </w:r>
      <w:r>
        <w:rPr>
          <w:vertAlign w:val="superscript"/>
        </w:rPr>
        <w:t>34</w:t>
      </w:r>
      <w:r>
        <w:t xml:space="preserve"> 2026'da 8 dilimde 25 milyar $ tahvil (62 milyar $ talep), yıllık toplam borçlanma 72 milyar $; Fitch notu AA-.</w:t>
      </w:r>
      <w:r>
        <w:rPr>
          <w:vertAlign w:val="superscript"/>
        </w:rPr>
        <w:t>6</w:t>
      </w:r>
      <w:r>
        <w:rPr>
          <w:vertAlign w:val="superscript"/>
        </w:rPr>
        <w:t>21</w:t>
      </w:r>
    </w:p>
    <w:p>
      <w:r>
        <w:rPr>
          <w:i/>
          <w:color w:val="444444"/>
          <w:sz w:val="19"/>
        </w:rPr>
        <w:t>Birincil risk etiketi: piyasa/değerleme + yatırım disiplini baskısı (FCF erozyonu). Finansal temerrüt riski düşük (yatırım yapılabilir not, güçlü operasyonel nakit).</w:t>
      </w:r>
    </w:p>
    <w:p>
      <w:r>
        <w:rPr>
          <w:b/>
        </w:rPr>
        <w:t>Meta.</w:t>
      </w:r>
      <w:r>
        <w:t xml:space="preserve"> Q1 gelir %33 artışla 56,3 milyar $.</w:t>
      </w:r>
      <w:r>
        <w:rPr>
          <w:vertAlign w:val="superscript"/>
        </w:rPr>
        <w:t>7</w:t>
      </w:r>
      <w:r>
        <w:t xml:space="preserve"> 2026 capex 125–145 milyar $; tek çeyrekte 107 milyar $ "iptal edilemez" taahhüt, toplam bağlayıcı sözleşme 238 milyar $; uzun vadeli borç 58,7 milyar $, nakit 81,2 milyar $.</w:t>
      </w:r>
      <w:r>
        <w:rPr>
          <w:vertAlign w:val="superscript"/>
        </w:rPr>
        <w:t>19</w:t>
      </w:r>
      <w:r>
        <w:t xml:space="preserve"> 2027 FCF projeksiyonu -24 milyar $ (analist tahmini).</w:t>
      </w:r>
      <w:r>
        <w:rPr>
          <w:vertAlign w:val="superscript"/>
        </w:rPr>
        <w:t>20</w:t>
      </w:r>
    </w:p>
    <w:p>
      <w:r>
        <w:rPr>
          <w:i/>
          <w:color w:val="444444"/>
          <w:sz w:val="19"/>
        </w:rPr>
        <w:t>Birincil risk etiketi: yatırım disiplini / nakit taahhüdü baskısı + piyasa/değerleme. Finansal temerrüt riski düşük ama negatif FCF projeksiyonu izlenmeli.</w:t>
      </w:r>
    </w:p>
    <w:p>
      <w:r>
        <w:rPr>
          <w:b/>
        </w:rPr>
        <w:t>Alphabet.</w:t>
      </w:r>
      <w:r>
        <w:t xml:space="preserve"> Google Cloud geliri %63 büyümeyle 20 milyar $, operasyonel marj %36,1.</w:t>
      </w:r>
      <w:r>
        <w:rPr>
          <w:vertAlign w:val="superscript"/>
        </w:rPr>
        <w:t>8</w:t>
      </w:r>
      <w:r>
        <w:t xml:space="preserve"> 2026 capex 180–190 milyar $; borçlanma yerine 84,75 milyar $ hisse arzı (10 milyar $'ı Berkshire'a özel tahsis dâhil); uzun vadeli borç 77,5 milyar $, nakit 126,8 milyar $.</w:t>
      </w:r>
      <w:r>
        <w:rPr>
          <w:vertAlign w:val="superscript"/>
        </w:rPr>
        <w:t>18</w:t>
      </w:r>
    </w:p>
    <w:p>
      <w:r>
        <w:rPr>
          <w:i/>
          <w:color w:val="444444"/>
          <w:sz w:val="19"/>
        </w:rPr>
        <w:t>Birincil risk etiketi: yatırım disiplini baskısı. En sağlam bilanço: hisse arzı faiz riskini almıyor; net nakit pozisyonu.</w:t>
      </w:r>
    </w:p>
    <w:p>
      <w:r>
        <w:rPr>
          <w:b/>
        </w:rPr>
        <w:t>Microsoft.</w:t>
      </w:r>
      <w:r>
        <w:t xml:space="preserve"> Azure büyüme %39; uzun vadeli borç 46,1 milyar $.</w:t>
      </w:r>
      <w:r>
        <w:rPr>
          <w:vertAlign w:val="superscript"/>
        </w:rPr>
        <w:t>35</w:t>
      </w:r>
      <w:r>
        <w:t xml:space="preserve"> OpenAI ortaklığındaki kâr paylaşımı yükümlülüğü 38 milyar $ ile sınırlandırılmış — nakit çıkışı öngörülebilir.</w:t>
      </w:r>
      <w:r>
        <w:rPr>
          <w:vertAlign w:val="superscript"/>
        </w:rPr>
        <w:t>36</w:t>
      </w:r>
    </w:p>
    <w:p>
      <w:r>
        <w:rPr>
          <w:i/>
          <w:color w:val="444444"/>
          <w:sz w:val="19"/>
        </w:rPr>
        <w:t>Birincil risk etiketi: piyasa/değerleme + ortaklık konsantrasyonu. Finansal temerrüt riski düşük.</w:t>
      </w:r>
    </w:p>
    <w:p>
      <w:r>
        <w:rPr>
          <w:b/>
        </w:rPr>
        <w:t>Apple.</w:t>
      </w:r>
      <w:r>
        <w:t xml:space="preserve"> Devasa AI veri merkezi inşasından uzak; edge AI (uç cihaz) odaklı. Piyasa değeri ~4,64 trilyon $.</w:t>
      </w:r>
      <w:r>
        <w:rPr>
          <w:vertAlign w:val="superscript"/>
        </w:rPr>
        <w:t>37</w:t>
      </w:r>
    </w:p>
    <w:p>
      <w:r>
        <w:rPr>
          <w:i/>
          <w:color w:val="444444"/>
          <w:sz w:val="19"/>
        </w:rPr>
        <w:t>Birincil risk etiketi: görece düşük; altyapı maliyet sarmalının dışında. Piyasa/değerleme ve tüketici talebi riski.</w:t>
      </w:r>
    </w:p>
    <w:p>
      <w:pPr>
        <w:pStyle w:val="Heading2"/>
      </w:pPr>
      <w:r>
        <w:t>6.5 Katman 5 — Neo-Cloud Sağlayıcıları (En Kırılgan)</w:t>
      </w:r>
    </w:p>
    <w:p>
      <w:r>
        <w:rPr>
          <w:b/>
        </w:rPr>
        <w:t>CoreWeave.</w:t>
      </w:r>
      <w:r>
        <w:t xml:space="preserve"> Mart 2026 itibarıyla sipariş birikimi (backlog) 99,4 milyar $ — ancak </w:t>
      </w:r>
      <w:r>
        <w:rPr>
          <w:b/>
        </w:rPr>
        <w:t>backlog bir borç değil, beklenen gelir görünürlüğüdür</w:t>
      </w:r>
      <w:r>
        <w:t xml:space="preserve"> (§7.4). 2026 capex 31–35 milyar $; öngörülen yıllık gelir ~12,6 milyar $; toplam borç 25,1 milyar $; net zarar marjı %36; cari oran 0,31.</w:t>
      </w:r>
      <w:r>
        <w:rPr>
          <w:vertAlign w:val="superscript"/>
        </w:rPr>
        <w:t>4</w:t>
      </w:r>
      <w:r>
        <w:rPr>
          <w:vertAlign w:val="superscript"/>
        </w:rPr>
        <w:t>38</w:t>
      </w:r>
      <w:r>
        <w:t xml:space="preserve"> J.P. Morgan DDTL 4.0 tesisi 8,5 milyar $, SOFR + %2,25 ile sabit %5,9 arası.</w:t>
      </w:r>
      <w:r>
        <w:rPr>
          <w:vertAlign w:val="superscript"/>
        </w:rPr>
        <w:t>4</w:t>
      </w:r>
      <w:r>
        <w:t xml:space="preserve"> S&amp;P, 3,5 milyar $ tahvillere spekülatif 'B' notu verdi.</w:t>
      </w:r>
      <w:r>
        <w:rPr>
          <w:vertAlign w:val="superscript"/>
        </w:rPr>
        <w:t>5</w:t>
      </w:r>
    </w:p>
    <w:p>
      <w:r>
        <w:rPr>
          <w:i/>
          <w:color w:val="444444"/>
          <w:sz w:val="19"/>
        </w:rPr>
        <w:t>Birincil risk etiketi: finansal temerrüt + finansal bulaşıcılık (GPU-teminatlı kredi ağı). Sistemin en olası yakın vadeli finansal kırılma noktası.</w:t>
      </w:r>
    </w:p>
    <w:p>
      <w:r>
        <w:rPr>
          <w:b/>
        </w:rPr>
        <w:t>Nebius Group.</w:t>
      </w:r>
      <w:r>
        <w:t xml:space="preserve"> Q1 2026 gelir yıllık %684 artışla 399 milyon $; düzeltilmiş EBITDA pozitif; nakit rezervi ~9,3 milyar $; 2026 capex hedefi 20–25 milyar $.</w:t>
      </w:r>
      <w:r>
        <w:rPr>
          <w:vertAlign w:val="superscript"/>
        </w:rPr>
        <w:t>39</w:t>
      </w:r>
      <w:r>
        <w:rPr>
          <w:vertAlign w:val="superscript"/>
        </w:rPr>
        <w:t>40</w:t>
      </w:r>
      <w:r>
        <w:t xml:space="preserve"> Gelirin %98'i AI bulut kiralama — yoğunlaşma riski.</w:t>
      </w:r>
    </w:p>
    <w:p>
      <w:r>
        <w:rPr>
          <w:i/>
          <w:color w:val="444444"/>
          <w:sz w:val="19"/>
        </w:rPr>
        <w:t>Birincil risk etiketi: finansal temerrüt baskısı (devasa capex / sınırlı operasyonel gelir) + gelir yoğunlaşması.</w:t>
      </w:r>
    </w:p>
    <w:p>
      <w:r>
        <w:rPr>
          <w:b/>
        </w:rPr>
        <w:t>Lambda Labs (özel, IPO hazırlığı).</w:t>
      </w:r>
      <w:r>
        <w:t xml:space="preserve"> Kasım 2025 değerlemesi 5,9 milyar $; ARR 760 milyon $ (%79 büyüme); net zarar ~175 milyon $.</w:t>
      </w:r>
      <w:r>
        <w:rPr>
          <w:vertAlign w:val="superscript"/>
        </w:rPr>
        <w:t>41</w:t>
      </w:r>
      <w:r>
        <w:t xml:space="preserve"> Büyümeyi finanse etmek için 1 milyar $ sendikasyon + 350 milyon $ IPO-öncesi finansman arıyor; H2 2026 halka arz hedefi.</w:t>
      </w:r>
      <w:r>
        <w:rPr>
          <w:vertAlign w:val="superscript"/>
        </w:rPr>
        <w:t>42</w:t>
      </w:r>
      <w:r>
        <w:t xml:space="preserve"> </w:t>
      </w:r>
      <w:r>
        <w:rPr>
          <w:b/>
        </w:rPr>
        <w:t>Not: bu planlanan finansman henüz kesinleşmemiştir ve runway hesabına nakit olarak dahil edilemez (§7.5).</w:t>
      </w:r>
    </w:p>
    <w:p>
      <w:r>
        <w:rPr>
          <w:i/>
          <w:color w:val="444444"/>
          <w:sz w:val="19"/>
        </w:rPr>
        <w:t>Birincil risk etiketi: finansal temerrüt baskısı + yeniden finansman/IPO zamanlama riski.</w:t>
      </w:r>
    </w:p>
    <w:p>
      <w:pPr>
        <w:pStyle w:val="Heading2"/>
      </w:pPr>
      <w:r>
        <w:t>6.6 Katman 6 — Temel Modeller (LLM Geliştiricileri)</w:t>
      </w:r>
    </w:p>
    <w:p>
      <w:r>
        <w:rPr>
          <w:b/>
        </w:rPr>
        <w:t>OpenAI.</w:t>
      </w:r>
      <w:r>
        <w:t xml:space="preserve"> Mart 2026'da 122 milyar $ fonlama turu (SoftBank, Amazon, NVIDIA, Microsoft) ile 852 milyar $ post-money değerleme.</w:t>
      </w:r>
      <w:r>
        <w:rPr>
          <w:vertAlign w:val="superscript"/>
        </w:rPr>
        <w:t>43</w:t>
      </w:r>
      <w:r>
        <w:rPr>
          <w:vertAlign w:val="superscript"/>
        </w:rPr>
        <w:t>9</w:t>
      </w:r>
      <w:r>
        <w:t xml:space="preserve"> ARR 25 milyar $; 2026 inference maliyeti 14,1 milyar $, toplam cash burn 27 milyar $ (analist tahmini).</w:t>
      </w:r>
      <w:r>
        <w:rPr>
          <w:vertAlign w:val="superscript"/>
        </w:rPr>
        <w:t>44</w:t>
      </w:r>
      <w:r>
        <w:t xml:space="preserve"> IPO 2027'ye ertelendi; %5 hissenin ABD hükümetine 42,6 milyar $ karşılığı satışı müzakere ediliyor (çakışan/tartışmalı bilgi).</w:t>
      </w:r>
      <w:r>
        <w:rPr>
          <w:vertAlign w:val="superscript"/>
        </w:rPr>
        <w:t>45</w:t>
      </w:r>
    </w:p>
    <w:p>
      <w:r>
        <w:rPr>
          <w:i/>
          <w:color w:val="444444"/>
          <w:sz w:val="19"/>
        </w:rPr>
        <w:t>Birincil risk etiketi: fonlama/runway ve sermaye piyasasına bağımlılık riski (yüksek burn) + piyasa/değerleme. Gelir kalitesi (churn, çok yıllık sözleşme payı) kamuya kapalı (§10).</w:t>
      </w:r>
    </w:p>
    <w:p>
      <w:r>
        <w:rPr>
          <w:b/>
        </w:rPr>
        <w:t>Anthropic.</w:t>
      </w:r>
      <w:r>
        <w:t xml:space="preserve"> Sequoia + Altimeter öncülüğünde 65 milyar $ yatırımla 965 milyar $ değerleme; Mayıs 2026 itibarıyla ARR %800 artışla 47 milyar $ (OpenAI'ı geride bıraktı, analist tahmini).</w:t>
      </w:r>
      <w:r>
        <w:rPr>
          <w:vertAlign w:val="superscript"/>
        </w:rPr>
        <w:t>46</w:t>
      </w:r>
      <w:r>
        <w:rPr>
          <w:vertAlign w:val="superscript"/>
        </w:rPr>
        <w:t>47</w:t>
      </w:r>
      <w:r>
        <w:t xml:space="preserve"> Haziran 2026'da gizli S-1 başvurusu; AWS üzerinden 100 milyar $ altyapı sözleşmesi.</w:t>
      </w:r>
      <w:r>
        <w:rPr>
          <w:vertAlign w:val="superscript"/>
        </w:rPr>
        <w:t>48</w:t>
      </w:r>
    </w:p>
    <w:p>
      <w:r>
        <w:rPr>
          <w:i/>
          <w:color w:val="444444"/>
          <w:sz w:val="19"/>
        </w:rPr>
        <w:t xml:space="preserve">Birincil risk etiketi: fonlama/runway ve sermaye piyasasına bağımlılık riski + gelir kalitesi belirsizliği. </w:t>
      </w:r>
      <w:r>
        <w:rPr>
          <w:b/>
          <w:i/>
          <w:color w:val="444444"/>
          <w:sz w:val="19"/>
        </w:rPr>
        <w:t>Net nakit pozisyonu ve cash burn kamuya kapalı olduğundan pist hesaplanamaz — sıralamaya sokulmamalıdır (§7.5, §10).</w:t>
      </w:r>
    </w:p>
    <w:p>
      <w:pPr>
        <w:pStyle w:val="Heading2"/>
      </w:pPr>
      <w:r>
        <w:t>6.7 Katmanlar arası sentez</w:t>
      </w:r>
    </w:p>
    <w:p>
      <w:r>
        <w:t>Üç gözlem öne çıkar:</w:t>
      </w:r>
    </w:p>
    <w:p>
      <w:pPr>
        <w:ind w:left="432"/>
      </w:pPr>
      <w:r>
        <w:t xml:space="preserve">1. </w:t>
      </w:r>
      <w:r>
        <w:rPr>
          <w:b/>
        </w:rPr>
        <w:t>Borç sarmalı tabanda değil tepede.</w:t>
      </w:r>
      <w:r>
        <w:t xml:space="preserve"> Temel katmanlar (ASML, TSMC, NVIDIA, Arista) güçlü operasyonel nakitle kendini finanse eder. Borç ve taahhüt yükü hyperscaler capex'i, neo-cloud kredileri ve LLM fonlama turlarında toplanmıştır.</w:t>
      </w:r>
    </w:p>
    <w:p>
      <w:pPr>
        <w:ind w:left="432"/>
      </w:pPr>
      <w:r>
        <w:t xml:space="preserve">2. </w:t>
      </w:r>
      <w:r>
        <w:rPr>
          <w:b/>
        </w:rPr>
        <w:t>En kırılgan halka sistemik açıdan en kritik halka değildir.</w:t>
      </w:r>
      <w:r>
        <w:t xml:space="preserve"> CoreWeave/Nebius/Lambda finansal olarak en zayıf; ama batmaları fiziksel üretimi durdurmaz. TSMC finansal olarak en sağlam; ama fiziksel kaybı sistemi durdurur.</w:t>
      </w:r>
    </w:p>
    <w:p>
      <w:pPr>
        <w:ind w:left="432"/>
      </w:pPr>
      <w:r>
        <w:t xml:space="preserve">3. </w:t>
      </w:r>
      <w:r>
        <w:rPr>
          <w:b/>
        </w:rPr>
        <w:t>Enerji yeni darboğaz.</w:t>
      </w:r>
      <w:r>
        <w:t xml:space="preserve"> Constellation'ın katman-3'e dahil edilmesi tesadüf değil: talep güçlü kalsa bile elektrik ve şebeke kapasitesi büyümeyi sınırlayabilir (§8).</w:t>
      </w:r>
    </w:p>
    <w:p>
      <w:pPr>
        <w:pStyle w:val="Heading1"/>
      </w:pPr>
      <w:r>
        <w:t>7. Düzeltilmiş Finansal Metrikler</w:t>
      </w:r>
    </w:p>
    <w:p>
      <w:r>
        <w:t>Bu bölüm, yanıltıcı kullanılabilecek oranları düzeltir ve her birinin yerine metodolojik olarak sağlam karşılığını koyar. Amaç, şirketleri yanlış birimlerle karşılaştırmaktan kaçınmaktır.</w:t>
      </w:r>
    </w:p>
    <w:p>
      <w:pPr>
        <w:pStyle w:val="Heading2"/>
      </w:pPr>
      <w:r>
        <w:t>7.1 Neden ARR ≠ cash burn</w:t>
      </w:r>
    </w:p>
    <w:p>
      <w:r>
        <w:t>ARR (annualized recurring revenue), bir dönemin sonundaki yıllıklandırılmış gelir koşu hızıdır; cash burn ise bir dönemdeki net nakit çıkışıdır. İkisi farklı ekonomik kavramlardır ve doğrudan karşılaştırılamaz. "ARR büyümesi burn'ü geçmeli" ifadesi birim olarak hatalıdır (biri gelir seviyesi/hızı, diğeri nakit açığı).</w:t>
      </w:r>
    </w:p>
    <w:p>
      <w:r>
        <w:t>OpenAI örneği: ARR 25 milyar $ iken 2026 cash burn'ü ~27 milyar $ olarak tahmin ediliyor (analist tahmini).</w:t>
      </w:r>
      <w:r>
        <w:rPr>
          <w:vertAlign w:val="superscript"/>
        </w:rPr>
        <w:t>44</w:t>
      </w:r>
      <w:r>
        <w:t xml:space="preserve"> Bu, "ARR burn'den küçük, batacak" anlamına gelmez — çünkü ARR'ye dahil olmayan gelirler, bir kerelik capex'in burn'ü şişirmesi ve fonlama turları resmi değiştirir. Doğru soru: </w:t>
      </w:r>
      <w:r>
        <w:rPr>
          <w:b/>
        </w:rPr>
        <w:t>brüt katkı marjı pozitif mi ve operasyonel nakit akışına giden yol var mı?</w:t>
      </w:r>
      <w:r>
        <w:t xml:space="preserve"> Bu veri kamuya kapalı olduğundan OpenAI için net yargı "hesaplanamaz"dır (§7.5).</w:t>
      </w:r>
    </w:p>
    <w:p>
      <w:r>
        <w:t>Kullanılması gereken metrikler: brüt katkı marjı, operasyonel nakit akışı, serbest nakit akışı, aylık net cash burn, burn multiple, net revenue retention, churn, GPU-saat başına birim ekonomi.</w:t>
      </w:r>
    </w:p>
    <w:p>
      <w:pPr>
        <w:pStyle w:val="Heading2"/>
      </w:pPr>
      <w:r>
        <w:t>7.2 Neden capex/FCF temel metrik değildir</w:t>
      </w:r>
    </w:p>
    <w:p>
      <w:r>
        <w:t>FCF, operasyonel nakit akışından (OCF) capex çıkarıldıktan sonra kalandır. Bu yüzden capex'i FCF'ye bölmek, özellikle FCF sıfıra yakınken matematiksel olarak patlayan ama ekonomik olarak kararsız bir oran verir.</w:t>
      </w:r>
    </w:p>
    <w:p>
      <w:r>
        <w:t xml:space="preserve">Amazon örneği: capex/FCF oranını hesaplamak için ileriye dönük 2026 capex tahmini (~200 milyar $) ile son 12 aylık FCF (1,2 milyar $) </w:t>
      </w:r>
      <w:r>
        <w:rPr>
          <w:b/>
        </w:rPr>
        <w:t>karıştırılamaz</w:t>
      </w:r>
      <w:r>
        <w:t xml:space="preserve"> — farklı dönemleri bölmek yanıltıcıdır; aynı dönem kullanılmalıdır. Resmî Q1 verisinde son 12 aylık OCF 148,5 milyar $, FCF 1,2 milyar $'dır;</w:t>
      </w:r>
      <w:r>
        <w:rPr>
          <w:vertAlign w:val="superscript"/>
        </w:rPr>
        <w:t>34</w:t>
      </w:r>
      <w:r>
        <w:t xml:space="preserve"> dolayısıyla aynı dönem capex ≈ OCF − FCF = 148,5 − 1,2 ≈ 147,3 milyar $'dır. "200 / 1,2 = 167x" gibi bir oran dönem uyumsuzluğundan patlar ve Amazon'un gerçek finansman açığını göstermez — Amazon 72 milyar $ borçlanmayı yatırım yapılabilir AA- notuyla</w:t>
      </w:r>
      <w:r>
        <w:rPr>
          <w:vertAlign w:val="superscript"/>
        </w:rPr>
        <w:t>21</w:t>
      </w:r>
      <w:r>
        <w:t xml:space="preserve"> ve güçlü OCF ile karşılar; FCF'nin sıfıra yaklaşması büyüme capex'inin kasıtlı tercihidir.</w:t>
      </w:r>
    </w:p>
    <w:p>
      <w:r>
        <w:t xml:space="preserve">Daha sağlam alternatif: </w:t>
      </w:r>
      <w:r>
        <w:rPr>
          <w:b/>
        </w:rPr>
        <w:t>capex / operasyonel nakit akışı (OCF)</w:t>
      </w:r>
      <w:r>
        <w:t>. Amazon için aynı dönem (son 12 ay) OCF 148,5 milyar $, capex ≈ 147,3 milyar $ olduğundan capex/OCF ≈ %99'dur.</w:t>
      </w:r>
      <w:r>
        <w:rPr>
          <w:vertAlign w:val="superscript"/>
        </w:rPr>
        <w:t>34</w:t>
      </w:r>
      <w:r>
        <w:t xml:space="preserve"> Bu, "capex neredeyse tüm operasyonel nakdi yiyor, finansman açığı borçla kapanıyor" sonucunu oran patlaması olmadan gösterir.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Metrik</w:t>
            </w:r>
          </w:p>
        </w:tc>
        <w:tc>
          <w:tcPr>
            <w:tcW w:type="dxa" w:w="2340"/>
            <w:shd w:val="clear" w:color="auto" w:fill="D9D9D9"/>
          </w:tcPr>
          <w:p>
            <w:r>
              <w:rPr>
                <w:b/>
                <w:sz w:val="18"/>
              </w:rPr>
            </w:r>
            <w:r>
              <w:rPr>
                <w:b/>
                <w:sz w:val="18"/>
              </w:rPr>
              <w:t>Sorunlu yaklaşım</w:t>
            </w:r>
          </w:p>
        </w:tc>
        <w:tc>
          <w:tcPr>
            <w:tcW w:type="dxa" w:w="2340"/>
            <w:shd w:val="clear" w:color="auto" w:fill="D9D9D9"/>
          </w:tcPr>
          <w:p>
            <w:r>
              <w:rPr>
                <w:b/>
                <w:sz w:val="18"/>
              </w:rPr>
            </w:r>
            <w:r>
              <w:rPr>
                <w:b/>
                <w:sz w:val="18"/>
              </w:rPr>
              <w:t>Düzeltilmiş yaklaşım</w:t>
            </w:r>
          </w:p>
        </w:tc>
        <w:tc>
          <w:tcPr>
            <w:tcW w:type="dxa" w:w="2340"/>
            <w:shd w:val="clear" w:color="auto" w:fill="D9D9D9"/>
          </w:tcPr>
          <w:p>
            <w:r>
              <w:rPr>
                <w:b/>
                <w:sz w:val="18"/>
              </w:rPr>
            </w:r>
            <w:r>
              <w:rPr>
                <w:b/>
                <w:sz w:val="18"/>
              </w:rPr>
              <w:t>Neden</w:t>
            </w:r>
          </w:p>
        </w:tc>
      </w:tr>
      <w:tr>
        <w:tc>
          <w:tcPr>
            <w:tcW w:type="dxa" w:w="2340"/>
          </w:tcPr>
          <w:p>
            <w:r>
              <w:rPr>
                <w:sz w:val="18"/>
              </w:rPr>
            </w:r>
            <w:r>
              <w:rPr>
                <w:sz w:val="18"/>
              </w:rPr>
              <w:t>Finansman açığı</w:t>
            </w:r>
          </w:p>
        </w:tc>
        <w:tc>
          <w:tcPr>
            <w:tcW w:type="dxa" w:w="2340"/>
          </w:tcPr>
          <w:p>
            <w:r>
              <w:rPr>
                <w:sz w:val="18"/>
              </w:rPr>
            </w:r>
            <w:r>
              <w:rPr>
                <w:sz w:val="18"/>
              </w:rPr>
              <w:t>capex/FCF</w:t>
            </w:r>
          </w:p>
        </w:tc>
        <w:tc>
          <w:tcPr>
            <w:tcW w:type="dxa" w:w="2340"/>
          </w:tcPr>
          <w:p>
            <w:r>
              <w:rPr>
                <w:sz w:val="18"/>
              </w:rPr>
            </w:r>
            <w:r>
              <w:rPr>
                <w:sz w:val="18"/>
              </w:rPr>
              <w:t>capex/OCF + net borç/EBITDA</w:t>
            </w:r>
          </w:p>
        </w:tc>
        <w:tc>
          <w:tcPr>
            <w:tcW w:type="dxa" w:w="2340"/>
          </w:tcPr>
          <w:p>
            <w:r>
              <w:rPr>
                <w:sz w:val="18"/>
              </w:rPr>
            </w:r>
            <w:r>
              <w:rPr>
                <w:sz w:val="18"/>
              </w:rPr>
              <w:t>FCF sıfıra yakınken oran kararsız</w:t>
            </w:r>
          </w:p>
        </w:tc>
      </w:tr>
      <w:tr>
        <w:tc>
          <w:tcPr>
            <w:tcW w:type="dxa" w:w="2340"/>
          </w:tcPr>
          <w:p>
            <w:r>
              <w:rPr>
                <w:sz w:val="18"/>
              </w:rPr>
            </w:r>
            <w:r>
              <w:rPr>
                <w:sz w:val="18"/>
              </w:rPr>
              <w:t>Borç servisi</w:t>
            </w:r>
          </w:p>
        </w:tc>
        <w:tc>
          <w:tcPr>
            <w:tcW w:type="dxa" w:w="2340"/>
          </w:tcPr>
          <w:p>
            <w:r>
              <w:rPr>
                <w:sz w:val="18"/>
              </w:rPr>
            </w:r>
            <w:r>
              <w:rPr>
                <w:sz w:val="18"/>
              </w:rPr>
              <w:t>—</w:t>
            </w:r>
          </w:p>
        </w:tc>
        <w:tc>
          <w:tcPr>
            <w:tcW w:type="dxa" w:w="2340"/>
          </w:tcPr>
          <w:p>
            <w:r>
              <w:rPr>
                <w:sz w:val="18"/>
              </w:rPr>
            </w:r>
            <w:r>
              <w:rPr>
                <w:sz w:val="18"/>
              </w:rPr>
              <w:t>faiz karşılama (EBIT/faiz)</w:t>
            </w:r>
          </w:p>
        </w:tc>
        <w:tc>
          <w:tcPr>
            <w:tcW w:type="dxa" w:w="2340"/>
          </w:tcPr>
          <w:p>
            <w:r>
              <w:rPr>
                <w:sz w:val="18"/>
              </w:rPr>
            </w:r>
            <w:r>
              <w:rPr>
                <w:sz w:val="18"/>
              </w:rPr>
              <w:t>doğrudan ödeme kapasitesini ölçer</w:t>
            </w:r>
          </w:p>
        </w:tc>
      </w:tr>
      <w:tr>
        <w:tc>
          <w:tcPr>
            <w:tcW w:type="dxa" w:w="2340"/>
          </w:tcPr>
          <w:p>
            <w:r>
              <w:rPr>
                <w:sz w:val="18"/>
              </w:rPr>
            </w:r>
            <w:r>
              <w:rPr>
                <w:sz w:val="18"/>
              </w:rPr>
              <w:t>Büyüme yükü</w:t>
            </w:r>
          </w:p>
        </w:tc>
        <w:tc>
          <w:tcPr>
            <w:tcW w:type="dxa" w:w="2340"/>
          </w:tcPr>
          <w:p>
            <w:r>
              <w:rPr>
                <w:sz w:val="18"/>
              </w:rPr>
            </w:r>
            <w:r>
              <w:rPr>
                <w:sz w:val="18"/>
              </w:rPr>
              <w:t>—</w:t>
            </w:r>
          </w:p>
        </w:tc>
        <w:tc>
          <w:tcPr>
            <w:tcW w:type="dxa" w:w="2340"/>
          </w:tcPr>
          <w:p>
            <w:r>
              <w:rPr>
                <w:sz w:val="18"/>
              </w:rPr>
            </w:r>
            <w:r>
              <w:rPr>
                <w:sz w:val="18"/>
              </w:rPr>
              <w:t>bakım capex / büyüme capex ayrımı</w:t>
            </w:r>
          </w:p>
        </w:tc>
        <w:tc>
          <w:tcPr>
            <w:tcW w:type="dxa" w:w="2340"/>
          </w:tcPr>
          <w:p>
            <w:r>
              <w:rPr>
                <w:sz w:val="18"/>
              </w:rPr>
            </w:r>
            <w:r>
              <w:rPr>
                <w:sz w:val="18"/>
              </w:rPr>
              <w:t>veri yoksa ayrım yapılamaz, not edilir</w:t>
            </w:r>
          </w:p>
        </w:tc>
      </w:tr>
    </w:tbl>
    <w:p/>
    <w:p>
      <w:pPr>
        <w:pStyle w:val="Heading2"/>
      </w:pPr>
      <w:r>
        <w:t>7.3 Net borç / EBITDA ve sabit yük karşılama</w:t>
      </w:r>
    </w:p>
    <w:p>
      <w:pPr>
        <w:pStyle w:val="ListBullet"/>
      </w:pPr>
      <w:r>
        <w:rPr>
          <w:b/>
        </w:rPr>
        <w:t>Net borç / EBITDA:</w:t>
      </w:r>
      <w:r>
        <w:t xml:space="preserve"> (toplam borç − nakit) / EBITDA. Pozitif ve yüksek değer borç çevirme baskısını gösterir. CoreWeave (borç 25,1 milyar $, zararda) bu metrikte en kötü; TSMC/Arista/Alphabet net nakit olduğundan negatif.</w:t>
      </w:r>
    </w:p>
    <w:p>
      <w:pPr>
        <w:pStyle w:val="ListBullet"/>
      </w:pPr>
      <w:r>
        <w:rPr>
          <w:b/>
        </w:rPr>
        <w:t>Sabit yük karşılama:</w:t>
      </w:r>
      <w:r>
        <w:t xml:space="preserve"> (EBIT + sabit yükler) / (faiz + sabit yükler). İptal edilemez taahhütleri de "sabit yük"e dahil eder; bu yüzden Meta'nın 238 milyar $ taahhüdü</w:t>
      </w:r>
      <w:r>
        <w:rPr>
          <w:vertAlign w:val="superscript"/>
        </w:rPr>
        <w:t>19</w:t>
      </w:r>
      <w:r>
        <w:t xml:space="preserve"> bu metrikte borç oranından daha görünür olur.</w:t>
      </w:r>
    </w:p>
    <w:p>
      <w:pPr>
        <w:pStyle w:val="ListBullet"/>
      </w:pPr>
      <w:r>
        <w:rPr>
          <w:b/>
        </w:rPr>
        <w:t>Likidite köprüsü:</w:t>
      </w:r>
      <w:r>
        <w:t xml:space="preserve"> (nakit + kullanılmamış kesin kredi) / önümüzdeki 12–24 aylık nakit ihtiyacı. CoreWeave'in cari oran 0,31</w:t>
      </w:r>
      <w:r>
        <w:rPr>
          <w:vertAlign w:val="superscript"/>
        </w:rPr>
        <w:t>4</w:t>
      </w:r>
      <w:r>
        <w:t xml:space="preserve"> ile köprüsü zayıftır.</w:t>
      </w:r>
    </w:p>
    <w:p>
      <w:pPr>
        <w:pStyle w:val="Heading2"/>
      </w:pPr>
      <w:r>
        <w:t>7.4 Yükümlülük türlerini ayırmak: borç ≠ taahhüt ≠ backlog ≠ hisse arzı</w:t>
      </w:r>
    </w:p>
    <w:p>
      <w:r>
        <w:t>Dört farklı kavram sıklıkla tek bir "ipotek endeksi"nde toplanır. Bunlar ekonomik olarak farklıdır: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Tür</w:t>
            </w:r>
          </w:p>
        </w:tc>
        <w:tc>
          <w:tcPr>
            <w:tcW w:type="dxa" w:w="2340"/>
            <w:shd w:val="clear" w:color="auto" w:fill="D9D9D9"/>
          </w:tcPr>
          <w:p>
            <w:r>
              <w:rPr>
                <w:b/>
                <w:sz w:val="18"/>
              </w:rPr>
            </w:r>
            <w:r>
              <w:rPr>
                <w:b/>
                <w:sz w:val="18"/>
              </w:rPr>
              <w:t>Örnek</w:t>
            </w:r>
          </w:p>
        </w:tc>
        <w:tc>
          <w:tcPr>
            <w:tcW w:type="dxa" w:w="2340"/>
            <w:shd w:val="clear" w:color="auto" w:fill="D9D9D9"/>
          </w:tcPr>
          <w:p>
            <w:r>
              <w:rPr>
                <w:b/>
                <w:sz w:val="18"/>
              </w:rPr>
            </w:r>
            <w:r>
              <w:rPr>
                <w:b/>
                <w:sz w:val="18"/>
              </w:rPr>
              <w:t>Bilanço yükümlülüğü mü?</w:t>
            </w:r>
          </w:p>
        </w:tc>
        <w:tc>
          <w:tcPr>
            <w:tcW w:type="dxa" w:w="2340"/>
            <w:shd w:val="clear" w:color="auto" w:fill="D9D9D9"/>
          </w:tcPr>
          <w:p>
            <w:r>
              <w:rPr>
                <w:b/>
                <w:sz w:val="18"/>
              </w:rPr>
            </w:r>
            <w:r>
              <w:rPr>
                <w:b/>
                <w:sz w:val="18"/>
              </w:rPr>
              <w:t>Risk</w:t>
            </w:r>
          </w:p>
        </w:tc>
      </w:tr>
      <w:tr>
        <w:tc>
          <w:tcPr>
            <w:tcW w:type="dxa" w:w="2340"/>
          </w:tcPr>
          <w:p>
            <w:r>
              <w:rPr>
                <w:sz w:val="18"/>
              </w:rPr>
            </w:r>
            <w:r>
              <w:rPr>
                <w:b/>
                <w:sz w:val="18"/>
              </w:rPr>
              <w:t>Finansal kaldıraç (borç)</w:t>
            </w:r>
          </w:p>
        </w:tc>
        <w:tc>
          <w:tcPr>
            <w:tcW w:type="dxa" w:w="2340"/>
          </w:tcPr>
          <w:p>
            <w:r>
              <w:rPr>
                <w:sz w:val="18"/>
              </w:rPr>
            </w:r>
            <w:r>
              <w:rPr>
                <w:sz w:val="18"/>
              </w:rPr>
              <w:t>Amazon 72 milyar $ tahvil; CoreWeave 25,1 milyar $</w:t>
            </w:r>
          </w:p>
        </w:tc>
        <w:tc>
          <w:tcPr>
            <w:tcW w:type="dxa" w:w="2340"/>
          </w:tcPr>
          <w:p>
            <w:r>
              <w:rPr>
                <w:sz w:val="18"/>
              </w:rPr>
            </w:r>
            <w:r>
              <w:rPr>
                <w:sz w:val="18"/>
              </w:rPr>
              <w:t>Evet</w:t>
            </w:r>
          </w:p>
        </w:tc>
        <w:tc>
          <w:tcPr>
            <w:tcW w:type="dxa" w:w="2340"/>
          </w:tcPr>
          <w:p>
            <w:r>
              <w:rPr>
                <w:sz w:val="18"/>
              </w:rPr>
            </w:r>
            <w:r>
              <w:rPr>
                <w:sz w:val="18"/>
              </w:rPr>
              <w:t>Faiz + anapara geri ödeme zorunlu</w:t>
            </w:r>
          </w:p>
        </w:tc>
      </w:tr>
      <w:tr>
        <w:tc>
          <w:tcPr>
            <w:tcW w:type="dxa" w:w="2340"/>
          </w:tcPr>
          <w:p>
            <w:r>
              <w:rPr>
                <w:sz w:val="18"/>
              </w:rPr>
            </w:r>
            <w:r>
              <w:rPr>
                <w:b/>
                <w:sz w:val="18"/>
              </w:rPr>
              <w:t>Sabit nakit taahhüdü</w:t>
            </w:r>
          </w:p>
        </w:tc>
        <w:tc>
          <w:tcPr>
            <w:tcW w:type="dxa" w:w="2340"/>
          </w:tcPr>
          <w:p>
            <w:r>
              <w:rPr>
                <w:sz w:val="18"/>
              </w:rPr>
            </w:r>
            <w:r>
              <w:rPr>
                <w:sz w:val="18"/>
              </w:rPr>
              <w:t>Meta 238 milyar $ bağlayıcı sözleşme; Anthropic 100 milyar $ AWS</w:t>
            </w:r>
          </w:p>
        </w:tc>
        <w:tc>
          <w:tcPr>
            <w:tcW w:type="dxa" w:w="2340"/>
          </w:tcPr>
          <w:p>
            <w:r>
              <w:rPr>
                <w:sz w:val="18"/>
              </w:rPr>
            </w:r>
            <w:r>
              <w:rPr>
                <w:sz w:val="18"/>
              </w:rPr>
              <w:t>Evet (gelecek nakit çıkışı)</w:t>
            </w:r>
          </w:p>
        </w:tc>
        <w:tc>
          <w:tcPr>
            <w:tcW w:type="dxa" w:w="2340"/>
          </w:tcPr>
          <w:p>
            <w:r>
              <w:rPr>
                <w:sz w:val="18"/>
              </w:rPr>
            </w:r>
            <w:r>
              <w:rPr>
                <w:sz w:val="18"/>
              </w:rPr>
              <w:t>İptal edilemez; ödeme takvimi baskısı</w:t>
            </w:r>
          </w:p>
        </w:tc>
      </w:tr>
      <w:tr>
        <w:tc>
          <w:tcPr>
            <w:tcW w:type="dxa" w:w="2340"/>
          </w:tcPr>
          <w:p>
            <w:r>
              <w:rPr>
                <w:sz w:val="18"/>
              </w:rPr>
            </w:r>
            <w:r>
              <w:rPr>
                <w:b/>
                <w:sz w:val="18"/>
              </w:rPr>
              <w:t>Backlog (sipariş birikimi)</w:t>
            </w:r>
          </w:p>
        </w:tc>
        <w:tc>
          <w:tcPr>
            <w:tcW w:type="dxa" w:w="2340"/>
          </w:tcPr>
          <w:p>
            <w:r>
              <w:rPr>
                <w:sz w:val="18"/>
              </w:rPr>
            </w:r>
            <w:r>
              <w:rPr>
                <w:sz w:val="18"/>
              </w:rPr>
              <w:t>CoreWeave 99,4 milyar $</w:t>
            </w:r>
          </w:p>
        </w:tc>
        <w:tc>
          <w:tcPr>
            <w:tcW w:type="dxa" w:w="2340"/>
          </w:tcPr>
          <w:p>
            <w:r>
              <w:rPr>
                <w:sz w:val="18"/>
              </w:rPr>
            </w:r>
            <w:r>
              <w:rPr>
                <w:b/>
                <w:sz w:val="18"/>
              </w:rPr>
              <w:t>Hayır</w:t>
            </w:r>
          </w:p>
        </w:tc>
        <w:tc>
          <w:tcPr>
            <w:tcW w:type="dxa" w:w="2340"/>
          </w:tcPr>
          <w:p>
            <w:r>
              <w:rPr>
                <w:sz w:val="18"/>
              </w:rPr>
            </w:r>
            <w:r>
              <w:rPr>
                <w:sz w:val="18"/>
              </w:rPr>
              <w:t>Gelir görünürlüğü; risk iptal hükümleri + müşteri yoğunlaşması + teslimat marjına bağlı</w:t>
            </w:r>
          </w:p>
        </w:tc>
      </w:tr>
      <w:tr>
        <w:tc>
          <w:tcPr>
            <w:tcW w:type="dxa" w:w="2340"/>
          </w:tcPr>
          <w:p>
            <w:r>
              <w:rPr>
                <w:sz w:val="18"/>
              </w:rPr>
            </w:r>
            <w:r>
              <w:rPr>
                <w:b/>
                <w:sz w:val="18"/>
              </w:rPr>
              <w:t>Hisse arzı (equity raise)</w:t>
            </w:r>
          </w:p>
        </w:tc>
        <w:tc>
          <w:tcPr>
            <w:tcW w:type="dxa" w:w="2340"/>
          </w:tcPr>
          <w:p>
            <w:r>
              <w:rPr>
                <w:sz w:val="18"/>
              </w:rPr>
            </w:r>
            <w:r>
              <w:rPr>
                <w:sz w:val="18"/>
              </w:rPr>
              <w:t>Alphabet 84,75 milyar $</w:t>
            </w:r>
          </w:p>
        </w:tc>
        <w:tc>
          <w:tcPr>
            <w:tcW w:type="dxa" w:w="2340"/>
          </w:tcPr>
          <w:p>
            <w:r>
              <w:rPr>
                <w:sz w:val="18"/>
              </w:rPr>
            </w:r>
            <w:r>
              <w:rPr>
                <w:sz w:val="18"/>
              </w:rPr>
              <w:t>Hayır</w:t>
            </w:r>
          </w:p>
        </w:tc>
        <w:tc>
          <w:tcPr>
            <w:tcW w:type="dxa" w:w="2340"/>
          </w:tcPr>
          <w:p>
            <w:r>
              <w:rPr>
                <w:sz w:val="18"/>
              </w:rPr>
            </w:r>
            <w:r>
              <w:rPr>
                <w:sz w:val="18"/>
              </w:rPr>
              <w:t>Borç değil; mevcut hissedarı sulandırarak riski sermayeye aktarır — "geleceği ipotek etmek" değil</w:t>
            </w:r>
          </w:p>
        </w:tc>
      </w:tr>
    </w:tbl>
    <w:p/>
    <w:p>
      <w:r>
        <w:t>Backlog'un risk olup olmadığı iptal hükümleri, teslim süresi, müşteri yoğunlaşması ve beklenen marj bilinmeden yargılanamaz; CoreWeave için bu detaylar kamuya kapalıdır (§10).</w:t>
      </w:r>
    </w:p>
    <w:p>
      <w:pPr>
        <w:pStyle w:val="Heading2"/>
      </w:pPr>
      <w:r>
        <w:t>7.5 Runway (pist) hesabının doğru formülü</w:t>
      </w:r>
    </w:p>
    <w:p>
      <w:r>
        <w:t>"Fonlama turu / yıllık zarar" gibi kaba bir hesap hem planlanan finansmanı nakit sayar hem net zararı cash burn ile karıştırır. Doğru formül:</w:t>
      </w:r>
    </w:p>
    <w:p>
      <w:r>
        <w:rPr>
          <w:rFonts w:ascii="Consolas" w:hAnsi="Consolas"/>
          <w:sz w:val="17"/>
        </w:rPr>
        <w:t>Runway (ay) =</w:t>
        <w:br/>
        <w:t xml:space="preserve">  ( Mevcut sınırsız nakit</w:t>
        <w:br/>
        <w:t xml:space="preserve">  + kesinleşmiş ve kullanılabilir kredi</w:t>
        <w:br/>
        <w:t xml:space="preserve">  − minimum işletme likiditesi</w:t>
        <w:br/>
        <w:t xml:space="preserve">  − vadesi gelecek borç/anapara</w:t>
        <w:br/>
        <w:t xml:space="preserve">  − zorunlu capex )</w:t>
        <w:br/>
        <w:t xml:space="preserve">  / aylık senaryo-düzeltilmiş net cash burn</w:t>
      </w:r>
    </w:p>
    <w:p>
      <w:r>
        <w:t xml:space="preserve">Kurallar: (1) net zarar = cash burn değildir; (2) fonlama turunun tamamı otomatik nakit değildir (primary/secondary, taksit, koşul ayrıştırılmalı); (3) planlanan IPO veya kredi finansmanı kesinleşmeden likiditeye eklenmez; (4) veri yetersizse sonuç </w:t>
      </w:r>
      <w:r>
        <w:rPr>
          <w:b/>
        </w:rPr>
        <w:t>"hesaplanamaz"</w:t>
      </w:r>
      <w:r>
        <w:t xml:space="preserve"> olur, sıralama yapılmaz.</w:t>
      </w:r>
    </w:p>
    <w:p>
      <w:r>
        <w:t>Uygulama:</w:t>
      </w:r>
    </w:p>
    <w:p>
      <w:pPr>
        <w:pStyle w:val="ListBullet"/>
      </w:pPr>
      <w:r>
        <w:rPr>
          <w:b/>
        </w:rPr>
        <w:t>OpenAI:</w:t>
      </w:r>
      <w:r>
        <w:t xml:space="preserve"> 122 milyar $ tur bildirildi</w:t>
      </w:r>
      <w:r>
        <w:rPr>
          <w:vertAlign w:val="superscript"/>
        </w:rPr>
        <w:t>9</w:t>
      </w:r>
      <w:r>
        <w:t xml:space="preserve">; ama bunun ne kadarı primary, ne kadarı secondary, taksit/koşul var mı bilinmiyor; burn'ün capex/işletme ayrımı yok. </w:t>
      </w:r>
      <w:r>
        <w:rPr>
          <w:b/>
        </w:rPr>
        <w:t>Sonuç: hesaplanamaz</w:t>
      </w:r>
      <w:r>
        <w:t xml:space="preserve"> (yalnızca "çok iyimser üst sınır" olarak yorumlanabilir).</w:t>
      </w:r>
    </w:p>
    <w:p>
      <w:pPr>
        <w:pStyle w:val="ListBullet"/>
      </w:pPr>
      <w:r>
        <w:rPr>
          <w:b/>
        </w:rPr>
        <w:t>Anthropic:</w:t>
      </w:r>
      <w:r>
        <w:t xml:space="preserve"> net nakit + cash burn kamuya kapalı. </w:t>
      </w:r>
      <w:r>
        <w:rPr>
          <w:b/>
        </w:rPr>
        <w:t>Sonuç: hesaplanamaz / veri yetersiz.</w:t>
      </w:r>
      <w:r>
        <w:t xml:space="preserve"> Hesaplanamayan bir değer pist sıralamasına sokulamaz.</w:t>
      </w:r>
    </w:p>
    <w:p>
      <w:pPr>
        <w:pStyle w:val="ListBullet"/>
      </w:pPr>
      <w:r>
        <w:rPr>
          <w:b/>
        </w:rPr>
        <w:t>Lambda:</w:t>
      </w:r>
      <w:r>
        <w:t xml:space="preserve"> 1 milyar $ sendikasyon + 350 milyon $ IPO-öncesi finansman </w:t>
      </w:r>
      <w:r>
        <w:rPr>
          <w:b/>
        </w:rPr>
        <w:t>planlanmıştır, kesinleşmemiştir</w:t>
      </w:r>
      <w:r>
        <w:t>;</w:t>
      </w:r>
      <w:r>
        <w:rPr>
          <w:vertAlign w:val="superscript"/>
        </w:rPr>
        <w:t>42</w:t>
      </w:r>
      <w:r>
        <w:t xml:space="preserve"> net zarar ~175 milyon $ burn değildir.</w:t>
      </w:r>
      <w:r>
        <w:rPr>
          <w:vertAlign w:val="superscript"/>
        </w:rPr>
        <w:t>41</w:t>
      </w:r>
      <w:r>
        <w:t xml:space="preserve"> </w:t>
      </w:r>
      <w:r>
        <w:rPr>
          <w:b/>
        </w:rPr>
        <w:t>Sonuç: hesaplanamaz</w:t>
      </w:r>
      <w:r>
        <w:t xml:space="preserve"> (planlanan finansman runway'e dahil edilemez).</w:t>
      </w:r>
    </w:p>
    <w:p>
      <w:pPr>
        <w:pStyle w:val="ListBullet"/>
      </w:pPr>
      <w:r>
        <w:rPr>
          <w:b/>
        </w:rPr>
        <w:t>CoreWeave:</w:t>
      </w:r>
      <w:r>
        <w:t xml:space="preserve"> yukarıdaki likidite köprüsü kurulmalı; cari oran 0,31 ile kısa vadeli köprü zayıf, ama kesin runway için covenant eşikleri gerekli (§10).</w:t>
      </w:r>
    </w:p>
    <w:p>
      <w:pPr>
        <w:pStyle w:val="Heading1"/>
      </w:pPr>
      <w:r>
        <w:t>8. Senaryo ve Stres Testleri</w:t>
      </w:r>
    </w:p>
    <w:p>
      <w:r>
        <w:t xml:space="preserve">Bu bölüm beş finansal/operasyonel/makro senaryo, bir </w:t>
      </w:r>
      <w:r>
        <w:rPr>
          <w:b/>
        </w:rPr>
        <w:t>baz senaryo</w:t>
      </w:r>
      <w:r>
        <w:t xml:space="preserve"> ve bir </w:t>
      </w:r>
      <w:r>
        <w:rPr>
          <w:b/>
        </w:rPr>
        <w:t>pozitif senaryo</w:t>
      </w:r>
      <w:r>
        <w:t xml:space="preserve"> sunar. Senaryolar şu ilkelerle sunulur:</w:t>
      </w:r>
    </w:p>
    <w:p>
      <w:pPr>
        <w:pStyle w:val="ListBullet"/>
      </w:pPr>
      <w:r>
        <w:t xml:space="preserve">Her senaryo §2.6'daki </w:t>
      </w:r>
      <w:r>
        <w:rPr>
          <w:b/>
        </w:rPr>
        <w:t>sayısal olasılık bandına</w:t>
      </w:r>
      <w:r>
        <w:t xml:space="preserve"> bağlanır ve </w:t>
      </w:r>
      <w:r>
        <w:rPr>
          <w:b/>
        </w:rPr>
        <w:t>merkez tahmin + alt/üst sınır</w:t>
      </w:r>
      <w:r>
        <w:t xml:space="preserve"> ile verilir.</w:t>
      </w:r>
    </w:p>
    <w:p>
      <w:pPr>
        <w:pStyle w:val="ListBullet"/>
      </w:pPr>
      <w:r>
        <w:rPr>
          <w:b/>
        </w:rPr>
        <w:t>Gerçekleşme ufku</w:t>
      </w:r>
      <w:r>
        <w:t xml:space="preserve"> (olayın önümüzdeki kaç ay içinde gerçekleşme olasılığı) ile </w:t>
      </w:r>
      <w:r>
        <w:rPr>
          <w:b/>
        </w:rPr>
        <w:t>kesinti süresi</w:t>
      </w:r>
      <w:r>
        <w:t xml:space="preserve"> (olayın ne kadar süreceği) ayrı alanlardır; ikisi karıştırılmaz.</w:t>
      </w:r>
    </w:p>
    <w:p>
      <w:pPr>
        <w:pStyle w:val="ListBullet"/>
      </w:pPr>
      <w:r>
        <w:t xml:space="preserve">Senaryolar </w:t>
      </w:r>
      <w:r>
        <w:rPr>
          <w:b/>
        </w:rPr>
        <w:t>bağımsız değildir</w:t>
      </w:r>
      <w:r>
        <w:t>; birbirini tetikleyebilir. Bu yüzden olasılıklar doğrudan toplanamaz — §8.8'de koşullu olasılıklar ve kesişim (inclusion-exclusion) matrisi kurulur.</w:t>
      </w:r>
    </w:p>
    <w:p>
      <w:pPr>
        <w:pStyle w:val="ListBullet"/>
      </w:pPr>
      <w:r>
        <w:t xml:space="preserve">Her senaryoya </w:t>
      </w:r>
      <w:r>
        <w:rPr>
          <w:b/>
        </w:rPr>
        <w:t>gerçek bir yanlışlayıcı kanıt</w:t>
      </w:r>
      <w:r>
        <w:t xml:space="preserve"> (falsifier) atanır; "senaryoyu erteleyen" olaylar yanlışlayıcı sayılmaz.</w:t>
      </w:r>
    </w:p>
    <w:p>
      <w:pPr>
        <w:ind w:left="576"/>
      </w:pPr>
      <w:r>
        <w:rPr>
          <w:b/>
          <w:i/>
          <w:color w:val="444444"/>
        </w:rPr>
        <w:t>Sayısal çerçeve uyarısı:</w:t>
      </w:r>
      <w:r>
        <w:rPr>
          <w:i/>
          <w:color w:val="444444"/>
        </w:rPr>
        <w:t xml:space="preserve"> Aşağıdaki yüzdeler, §2.6'daki şeffaf sözel→sayısal eşlemenin uygulanmasıdır; ampirik olarak kalibre edilmiş model çıktısı </w:t>
      </w:r>
      <w:r>
        <w:rPr>
          <w:b/>
          <w:i/>
          <w:color w:val="444444"/>
        </w:rPr>
        <w:t>değildir</w:t>
      </w:r>
      <w:r>
        <w:rPr>
          <w:i/>
          <w:color w:val="444444"/>
        </w:rPr>
        <w:t>. Bant genişlikleri, covenant, churn ve gerçek AI birim ekonomisi gibi temel girdilerin bilinmemesinden kaynaklanır (§10).</w:t>
      </w:r>
    </w:p>
    <w:p>
      <w:pPr>
        <w:ind w:left="576"/>
      </w:pPr>
      <w:r>
        <w:rPr>
          <w:b/>
          <w:i/>
          <w:color w:val="444444"/>
        </w:rPr>
        <w:t>Olasılık–etki ayrımı:</w:t>
      </w:r>
      <w:r>
        <w:rPr>
          <w:i/>
          <w:color w:val="444444"/>
        </w:rPr>
        <w:t xml:space="preserve"> "TSMC fiziksel kaybı en düşük olasılıklı olay" ile "sistemik çöküş en yıkıcı olarak fiziksel şoktan doğar" ifadeleri ilk bakışta çelişkili görünür ama değildir. Doğru formülasyon şudur: </w:t>
      </w:r>
      <w:r>
        <w:rPr>
          <w:b/>
          <w:i/>
          <w:color w:val="444444"/>
        </w:rPr>
        <w:t>En yıkıcı sistemik çöküş TSMC kaynaklı fiziksel şoktur (düşük olasılık / çok yüksek etki); en olası yakın vadeli finansal kırılma ise neo-cloud katmanındadır (yüksek olasılık / düşük-orta etki).</w:t>
      </w:r>
      <w:r>
        <w:rPr>
          <w:i/>
          <w:color w:val="444444"/>
        </w:rPr>
        <w:t xml:space="preserve"> Bu ikisi §4.1'deki iki eksenli matrisin farklı köşelerindedir ve çelişki değildir.</w:t>
      </w:r>
    </w:p>
    <w:p>
      <w:pPr>
        <w:pStyle w:val="Heading2"/>
      </w:pPr>
      <w:r>
        <w:t>8.1 Senaryo 1 — Neo-Cloud kredi temerrüdü (CoreWeave)</w:t>
      </w:r>
    </w:p>
    <w:p>
      <w:pPr>
        <w:jc w:val="center"/>
      </w:pPr>
      <w:r>
        <w:drawing>
          <wp:inline xmlns:a="http://schemas.openxmlformats.org/drawingml/2006/main" xmlns:pic="http://schemas.openxmlformats.org/drawingml/2006/picture">
            <wp:extent cx="5669280" cy="6744990"/>
            <wp:docPr id="4" name="Picture 4"/>
            <wp:cNvGraphicFramePr>
              <a:graphicFrameLocks noChangeAspect="1"/>
            </wp:cNvGraphicFramePr>
            <a:graphic>
              <a:graphicData uri="http://schemas.openxmlformats.org/drawingml/2006/picture">
                <pic:pic>
                  <pic:nvPicPr>
                    <pic:cNvPr id="0" name="ai_deger_zinciri_chart_domino.png"/>
                    <pic:cNvPicPr/>
                  </pic:nvPicPr>
                  <pic:blipFill>
                    <a:blip r:embed="rId12"/>
                    <a:stretch>
                      <a:fillRect/>
                    </a:stretch>
                  </pic:blipFill>
                  <pic:spPr>
                    <a:xfrm>
                      <a:off x="0" y="0"/>
                      <a:ext cx="5669280" cy="6744990"/>
                    </a:xfrm>
                    <a:prstGeom prst="rect"/>
                  </pic:spPr>
                </pic:pic>
              </a:graphicData>
            </a:graphic>
          </wp:inline>
        </w:drawing>
      </w:r>
    </w:p>
    <w:p>
      <w:pPr>
        <w:jc w:val="center"/>
      </w:pPr>
      <w:r>
        <w:rPr>
          <w:i/>
          <w:color w:val="555555"/>
          <w:sz w:val="17"/>
        </w:rPr>
        <w:t>Şekil 8.1 — Neo-Cloud kredi temerrüdü yayılım zinciri. Talep düşüşü → GPU kira fiyatı → CoreWeave faiz ödeme → teminata el koyma → ikinci el satış → donanım arz fazlası → NVIDIA fiyatlama gücü. Son kutu (yeşil) tamponu gösterir: nakit zengini hyperscaler'lar distressed varlıkları toplar, fiziksel üretim durmaz.</w:t>
      </w:r>
    </w:p>
    <w:p>
      <w:r>
        <w:rPr>
          <w:i/>
          <w:color w:val="444444"/>
          <w:sz w:val="19"/>
        </w:rPr>
        <w:t>Şekil 8.1 — Kaynak: §3.3 dairesel finansman analizi ve §6.5 CoreWeave verileri. Tarih: 13 Temmuz 2026. Yöntem: niteliksel yayılım modeli. Güven: orta.</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Pr>
                <w:b/>
                <w:sz w:val="18"/>
              </w:rPr>
            </w:r>
            <w:r>
              <w:rPr>
                <w:b/>
                <w:sz w:val="18"/>
              </w:rPr>
              <w:t>Alan</w:t>
            </w:r>
          </w:p>
        </w:tc>
        <w:tc>
          <w:tcPr>
            <w:tcW w:type="dxa" w:w="4680"/>
            <w:shd w:val="clear" w:color="auto" w:fill="D9D9D9"/>
          </w:tcPr>
          <w:p>
            <w:r>
              <w:rPr>
                <w:b/>
                <w:sz w:val="18"/>
              </w:rPr>
            </w:r>
            <w:r>
              <w:rPr>
                <w:b/>
                <w:sz w:val="18"/>
              </w:rPr>
              <w:t>İçerik</w:t>
            </w:r>
          </w:p>
        </w:tc>
      </w:tr>
      <w:tr>
        <w:tc>
          <w:tcPr>
            <w:tcW w:type="dxa" w:w="4680"/>
          </w:tcPr>
          <w:p>
            <w:r>
              <w:rPr>
                <w:sz w:val="18"/>
              </w:rPr>
            </w:r>
            <w:r>
              <w:rPr>
                <w:b/>
                <w:sz w:val="18"/>
              </w:rPr>
              <w:t>Gerçekleşme ufku</w:t>
            </w:r>
          </w:p>
        </w:tc>
        <w:tc>
          <w:tcPr>
            <w:tcW w:type="dxa" w:w="4680"/>
          </w:tcPr>
          <w:p>
            <w:r>
              <w:rPr>
                <w:sz w:val="18"/>
              </w:rPr>
            </w:r>
            <w:r>
              <w:rPr>
                <w:sz w:val="18"/>
              </w:rPr>
              <w:t>Önümüzdeki 12 ay (en yüksek duyarlılık) / 36 ay</w:t>
            </w:r>
          </w:p>
        </w:tc>
      </w:tr>
      <w:tr>
        <w:tc>
          <w:tcPr>
            <w:tcW w:type="dxa" w:w="4680"/>
          </w:tcPr>
          <w:p>
            <w:r>
              <w:rPr>
                <w:sz w:val="18"/>
              </w:rPr>
            </w:r>
            <w:r>
              <w:rPr>
                <w:b/>
                <w:sz w:val="18"/>
              </w:rPr>
              <w:t>Tetikleyici</w:t>
            </w:r>
          </w:p>
        </w:tc>
        <w:tc>
          <w:tcPr>
            <w:tcW w:type="dxa" w:w="4680"/>
          </w:tcPr>
          <w:p>
            <w:r>
              <w:rPr>
                <w:sz w:val="18"/>
              </w:rPr>
            </w:r>
            <w:r>
              <w:rPr>
                <w:sz w:val="18"/>
              </w:rPr>
              <w:t>GPU kiralama talebinde düşüş → saatlik kira ücreti düşüşü</w:t>
            </w:r>
          </w:p>
        </w:tc>
      </w:tr>
      <w:tr>
        <w:tc>
          <w:tcPr>
            <w:tcW w:type="dxa" w:w="4680"/>
          </w:tcPr>
          <w:p>
            <w:r>
              <w:rPr>
                <w:sz w:val="18"/>
              </w:rPr>
            </w:r>
            <w:r>
              <w:rPr>
                <w:b/>
                <w:sz w:val="18"/>
              </w:rPr>
              <w:t>Sayısal eşik</w:t>
            </w:r>
          </w:p>
        </w:tc>
        <w:tc>
          <w:tcPr>
            <w:tcW w:type="dxa" w:w="4680"/>
          </w:tcPr>
          <w:p>
            <w:r>
              <w:rPr>
                <w:sz w:val="18"/>
              </w:rPr>
            </w:r>
            <w:r>
              <w:rPr>
                <w:sz w:val="18"/>
              </w:rPr>
              <w:t xml:space="preserve">Gelirde çift haneli düşüş covenant baskısı yaratabilir; ancak kesin eşik DDTL covenant'ları kamuya kapalı olduğundan </w:t>
            </w:r>
            <w:r>
              <w:rPr>
                <w:b/>
                <w:sz w:val="18"/>
              </w:rPr>
              <w:t>hesaplanamaz</w:t>
            </w:r>
            <w:r>
              <w:rPr>
                <w:sz w:val="18"/>
              </w:rPr>
              <w:t xml:space="preserve"> (§10)</w:t>
            </w:r>
          </w:p>
        </w:tc>
      </w:tr>
      <w:tr>
        <w:tc>
          <w:tcPr>
            <w:tcW w:type="dxa" w:w="4680"/>
          </w:tcPr>
          <w:p>
            <w:r>
              <w:rPr>
                <w:sz w:val="18"/>
              </w:rPr>
            </w:r>
            <w:r>
              <w:rPr>
                <w:b/>
                <w:sz w:val="18"/>
              </w:rPr>
              <w:t>İlk etkilenen</w:t>
            </w:r>
          </w:p>
        </w:tc>
        <w:tc>
          <w:tcPr>
            <w:tcW w:type="dxa" w:w="4680"/>
          </w:tcPr>
          <w:p>
            <w:r>
              <w:rPr>
                <w:sz w:val="18"/>
              </w:rPr>
            </w:r>
            <w:r>
              <w:rPr>
                <w:sz w:val="18"/>
              </w:rPr>
              <w:t>CoreWeave (cari oran 0,31, SOFR-bazlı faiz)</w:t>
            </w:r>
            <w:r>
              <w:rPr>
                <w:sz w:val="18"/>
                <w:vertAlign w:val="superscript"/>
              </w:rPr>
              <w:t>4</w:t>
            </w:r>
          </w:p>
        </w:tc>
      </w:tr>
      <w:tr>
        <w:tc>
          <w:tcPr>
            <w:tcW w:type="dxa" w:w="4680"/>
          </w:tcPr>
          <w:p>
            <w:r>
              <w:rPr>
                <w:sz w:val="18"/>
              </w:rPr>
            </w:r>
            <w:r>
              <w:rPr>
                <w:b/>
                <w:sz w:val="18"/>
              </w:rPr>
              <w:t>Yayılım kanalı</w:t>
            </w:r>
          </w:p>
        </w:tc>
        <w:tc>
          <w:tcPr>
            <w:tcW w:type="dxa" w:w="4680"/>
          </w:tcPr>
          <w:p>
            <w:r>
              <w:rPr>
                <w:sz w:val="18"/>
              </w:rPr>
            </w:r>
            <w:r>
              <w:rPr>
                <w:sz w:val="18"/>
              </w:rPr>
              <w:t>Alacaklı kredi fonları → GPU teminatına el koyma → ikinci el donanım arzı → NVIDIA fiyatlama gücü → hisse fiyatları</w:t>
            </w:r>
          </w:p>
        </w:tc>
      </w:tr>
      <w:tr>
        <w:tc>
          <w:tcPr>
            <w:tcW w:type="dxa" w:w="4680"/>
          </w:tcPr>
          <w:p>
            <w:r>
              <w:rPr>
                <w:sz w:val="18"/>
              </w:rPr>
            </w:r>
            <w:r>
              <w:rPr>
                <w:b/>
                <w:sz w:val="18"/>
              </w:rPr>
              <w:t>Tamponlar</w:t>
            </w:r>
          </w:p>
        </w:tc>
        <w:tc>
          <w:tcPr>
            <w:tcW w:type="dxa" w:w="4680"/>
          </w:tcPr>
          <w:p>
            <w:r>
              <w:rPr>
                <w:sz w:val="18"/>
              </w:rPr>
            </w:r>
            <w:r>
              <w:rPr>
                <w:sz w:val="18"/>
              </w:rPr>
              <w:t>Nakit zengini hyperscaler'lar (Alphabet, Amazon, Microsoft) distressed GPU/kapasiteyi toplayabilir</w:t>
            </w:r>
          </w:p>
        </w:tc>
      </w:tr>
      <w:tr>
        <w:tc>
          <w:tcPr>
            <w:tcW w:type="dxa" w:w="4680"/>
          </w:tcPr>
          <w:p>
            <w:r>
              <w:rPr>
                <w:sz w:val="18"/>
              </w:rPr>
            </w:r>
            <w:r>
              <w:rPr>
                <w:b/>
                <w:sz w:val="18"/>
              </w:rPr>
              <w:t>2. tur etkiler</w:t>
            </w:r>
          </w:p>
        </w:tc>
        <w:tc>
          <w:tcPr>
            <w:tcW w:type="dxa" w:w="4680"/>
          </w:tcPr>
          <w:p>
            <w:r>
              <w:rPr>
                <w:sz w:val="18"/>
              </w:rPr>
            </w:r>
            <w:r>
              <w:rPr>
                <w:sz w:val="18"/>
              </w:rPr>
              <w:t>Kredi fonları zarar yazar; neo-cloud finansman koşulları sertleşir; Nebius/Lambda borçlanma maliyeti artar</w:t>
            </w:r>
          </w:p>
        </w:tc>
      </w:tr>
      <w:tr>
        <w:tc>
          <w:tcPr>
            <w:tcW w:type="dxa" w:w="4680"/>
          </w:tcPr>
          <w:p>
            <w:r>
              <w:rPr>
                <w:sz w:val="18"/>
              </w:rPr>
            </w:r>
            <w:r>
              <w:rPr>
                <w:b/>
                <w:sz w:val="18"/>
              </w:rPr>
              <w:t>Varlık transferi sürtünmeleri</w:t>
            </w:r>
          </w:p>
        </w:tc>
        <w:tc>
          <w:tcPr>
            <w:tcW w:type="dxa" w:w="4680"/>
          </w:tcPr>
          <w:p>
            <w:r>
              <w:rPr>
                <w:sz w:val="18"/>
              </w:rPr>
            </w:r>
            <w:r>
              <w:rPr>
                <w:sz w:val="18"/>
              </w:rPr>
              <w:t xml:space="preserve">GPU'lar nesil, lokasyon, güç altyapısı ve yazılım uyumluluğu nedeniyle </w:t>
            </w:r>
            <w:r>
              <w:rPr>
                <w:b/>
                <w:sz w:val="18"/>
              </w:rPr>
              <w:t>hemen devredilemez</w:t>
            </w:r>
            <w:r>
              <w:rPr>
                <w:sz w:val="18"/>
              </w:rPr>
              <w:t>; el koyma → yeniden dağıtım aylar alabilir</w:t>
            </w:r>
          </w:p>
        </w:tc>
      </w:tr>
      <w:tr>
        <w:tc>
          <w:tcPr>
            <w:tcW w:type="dxa" w:w="4680"/>
          </w:tcPr>
          <w:p>
            <w:r>
              <w:rPr>
                <w:sz w:val="18"/>
              </w:rPr>
            </w:r>
            <w:r>
              <w:rPr>
                <w:b/>
                <w:sz w:val="18"/>
              </w:rPr>
              <w:t>İyileşme süresi</w:t>
            </w:r>
          </w:p>
        </w:tc>
        <w:tc>
          <w:tcPr>
            <w:tcW w:type="dxa" w:w="4680"/>
          </w:tcPr>
          <w:p>
            <w:r>
              <w:rPr>
                <w:sz w:val="18"/>
              </w:rPr>
            </w:r>
            <w:r>
              <w:rPr>
                <w:sz w:val="18"/>
              </w:rPr>
              <w:t>6–18 ay (finans piyasası); fiziksel üretim durmaz</w:t>
            </w:r>
          </w:p>
        </w:tc>
      </w:tr>
      <w:tr>
        <w:tc>
          <w:tcPr>
            <w:tcW w:type="dxa" w:w="4680"/>
          </w:tcPr>
          <w:p>
            <w:r>
              <w:rPr>
                <w:sz w:val="18"/>
              </w:rPr>
            </w:r>
            <w:r>
              <w:rPr>
                <w:b/>
                <w:sz w:val="18"/>
              </w:rPr>
              <w:t>Olasılık (12 ay)</w:t>
            </w:r>
          </w:p>
        </w:tc>
        <w:tc>
          <w:tcPr>
            <w:tcW w:type="dxa" w:w="4680"/>
          </w:tcPr>
          <w:p>
            <w:r>
              <w:rPr>
                <w:sz w:val="18"/>
              </w:rPr>
            </w:r>
            <w:r>
              <w:rPr>
                <w:b/>
                <w:sz w:val="18"/>
              </w:rPr>
              <w:t>Orta-yüksek: %50–70, merkez %60</w:t>
            </w:r>
            <w:r>
              <w:rPr>
                <w:sz w:val="18"/>
              </w:rPr>
              <w:t xml:space="preserve"> (şeffaf eşleme, §2.6)</w:t>
            </w:r>
          </w:p>
        </w:tc>
      </w:tr>
      <w:tr>
        <w:tc>
          <w:tcPr>
            <w:tcW w:type="dxa" w:w="4680"/>
          </w:tcPr>
          <w:p>
            <w:r>
              <w:rPr>
                <w:sz w:val="18"/>
              </w:rPr>
            </w:r>
            <w:r>
              <w:rPr>
                <w:b/>
                <w:sz w:val="18"/>
              </w:rPr>
              <w:t>Etki aralığı</w:t>
            </w:r>
          </w:p>
        </w:tc>
        <w:tc>
          <w:tcPr>
            <w:tcW w:type="dxa" w:w="4680"/>
          </w:tcPr>
          <w:p>
            <w:r>
              <w:rPr>
                <w:sz w:val="18"/>
              </w:rPr>
            </w:r>
            <w:r>
              <w:rPr>
                <w:sz w:val="18"/>
              </w:rPr>
              <w:t xml:space="preserve">Şiddetli ama </w:t>
            </w:r>
            <w:r>
              <w:rPr>
                <w:b/>
                <w:sz w:val="18"/>
              </w:rPr>
              <w:t>sınırlı</w:t>
            </w:r>
            <w:r>
              <w:rPr>
                <w:sz w:val="18"/>
              </w:rPr>
              <w:t>; finans piyasasında kayıp, fiziksel zincirde kesinti yok</w:t>
            </w:r>
          </w:p>
        </w:tc>
      </w:tr>
      <w:tr>
        <w:tc>
          <w:tcPr>
            <w:tcW w:type="dxa" w:w="4680"/>
          </w:tcPr>
          <w:p>
            <w:r>
              <w:rPr>
                <w:sz w:val="18"/>
              </w:rPr>
            </w:r>
            <w:r>
              <w:rPr>
                <w:b/>
                <w:sz w:val="18"/>
              </w:rPr>
              <w:t>Güven</w:t>
            </w:r>
          </w:p>
        </w:tc>
        <w:tc>
          <w:tcPr>
            <w:tcW w:type="dxa" w:w="4680"/>
          </w:tcPr>
          <w:p>
            <w:r>
              <w:rPr>
                <w:sz w:val="18"/>
              </w:rPr>
            </w:r>
            <w:r>
              <w:rPr>
                <w:sz w:val="18"/>
              </w:rPr>
              <w:t>Orta (covenant detayları bilinmiyor)</w:t>
            </w:r>
          </w:p>
        </w:tc>
      </w:tr>
      <w:tr>
        <w:tc>
          <w:tcPr>
            <w:tcW w:type="dxa" w:w="4680"/>
          </w:tcPr>
          <w:p>
            <w:r>
              <w:rPr>
                <w:sz w:val="18"/>
              </w:rPr>
            </w:r>
            <w:r>
              <w:rPr>
                <w:b/>
                <w:sz w:val="18"/>
              </w:rPr>
              <w:t>Gerçek yanlışlayıcı kanıt</w:t>
            </w:r>
          </w:p>
        </w:tc>
        <w:tc>
          <w:tcPr>
            <w:tcW w:type="dxa" w:w="4680"/>
          </w:tcPr>
          <w:p>
            <w:r>
              <w:rPr>
                <w:sz w:val="18"/>
              </w:rPr>
            </w:r>
            <w:r>
              <w:rPr>
                <w:sz w:val="18"/>
              </w:rPr>
              <w:t xml:space="preserve">CoreWeave'in cari oranının kredi genişlemesi olmadan sürdürülebilir biçimde 1,0 üzerine çıkması </w:t>
            </w:r>
            <w:r>
              <w:rPr>
                <w:b/>
                <w:sz w:val="18"/>
              </w:rPr>
              <w:t>ve</w:t>
            </w:r>
            <w:r>
              <w:rPr>
                <w:sz w:val="18"/>
              </w:rPr>
              <w:t xml:space="preserve"> kira fiyatlarının istikrara kavuşması. </w:t>
            </w:r>
            <w:r>
              <w:rPr>
                <w:i/>
                <w:sz w:val="18"/>
              </w:rPr>
              <w:t>Not: covenant esnetilmesi temerrüdü yanlışlamaz, yalnızca erteler — bu yüzden falsifier sayılmaz.</w:t>
            </w:r>
          </w:p>
        </w:tc>
      </w:tr>
    </w:tbl>
    <w:p/>
    <w:p>
      <w:r>
        <w:rPr>
          <w:b/>
        </w:rPr>
        <w:t>Kritik not:</w:t>
      </w:r>
      <w:r>
        <w:t xml:space="preserve"> İkinci el </w:t>
      </w:r>
      <w:r>
        <w:rPr>
          <w:b/>
        </w:rPr>
        <w:t>eski nesil</w:t>
      </w:r>
      <w:r>
        <w:t xml:space="preserve"> GPU'ların yeni nesil NVIDIA fiyatlamasına etkisi sınırlıdır — yeni çipler farklı performans sınıfındadır; arz fazlası eski nesil fiyatını vurur, en yeni neslin fiyatlama gücünü doğrudan kırmaz.</w:t>
      </w:r>
    </w:p>
    <w:p>
      <w:pPr>
        <w:pStyle w:val="Heading2"/>
      </w:pPr>
      <w:r>
        <w:t>8.2 Senaryo 2 — Hyperscaler capex kesintisi (sermaye disiplini)</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Pr>
                <w:b/>
                <w:sz w:val="18"/>
              </w:rPr>
            </w:r>
            <w:r>
              <w:rPr>
                <w:b/>
                <w:sz w:val="18"/>
              </w:rPr>
              <w:t>Alan</w:t>
            </w:r>
          </w:p>
        </w:tc>
        <w:tc>
          <w:tcPr>
            <w:tcW w:type="dxa" w:w="4680"/>
            <w:shd w:val="clear" w:color="auto" w:fill="D9D9D9"/>
          </w:tcPr>
          <w:p>
            <w:r>
              <w:rPr>
                <w:b/>
                <w:sz w:val="18"/>
              </w:rPr>
            </w:r>
            <w:r>
              <w:rPr>
                <w:b/>
                <w:sz w:val="18"/>
              </w:rPr>
              <w:t>İçerik</w:t>
            </w:r>
          </w:p>
        </w:tc>
      </w:tr>
      <w:tr>
        <w:tc>
          <w:tcPr>
            <w:tcW w:type="dxa" w:w="4680"/>
          </w:tcPr>
          <w:p>
            <w:r>
              <w:rPr>
                <w:sz w:val="18"/>
              </w:rPr>
            </w:r>
            <w:r>
              <w:rPr>
                <w:b/>
                <w:sz w:val="18"/>
              </w:rPr>
              <w:t>Gerçekleşme ufku</w:t>
            </w:r>
          </w:p>
        </w:tc>
        <w:tc>
          <w:tcPr>
            <w:tcW w:type="dxa" w:w="4680"/>
          </w:tcPr>
          <w:p>
            <w:r>
              <w:rPr>
                <w:sz w:val="18"/>
              </w:rPr>
            </w:r>
            <w:r>
              <w:rPr>
                <w:sz w:val="18"/>
              </w:rPr>
              <w:t>Önümüzdeki 36 ay / 5 yıl</w:t>
            </w:r>
          </w:p>
        </w:tc>
      </w:tr>
      <w:tr>
        <w:tc>
          <w:tcPr>
            <w:tcW w:type="dxa" w:w="4680"/>
          </w:tcPr>
          <w:p>
            <w:r>
              <w:rPr>
                <w:sz w:val="18"/>
              </w:rPr>
            </w:r>
            <w:r>
              <w:rPr>
                <w:b/>
                <w:sz w:val="18"/>
              </w:rPr>
              <w:t>Tetikleyici</w:t>
            </w:r>
          </w:p>
        </w:tc>
        <w:tc>
          <w:tcPr>
            <w:tcW w:type="dxa" w:w="4680"/>
          </w:tcPr>
          <w:p>
            <w:r>
              <w:rPr>
                <w:sz w:val="18"/>
              </w:rPr>
            </w:r>
            <w:r>
              <w:rPr>
                <w:sz w:val="18"/>
              </w:rPr>
              <w:t>Meta FCF 2027'de -24 milyar $ (analist tahmini)</w:t>
            </w:r>
            <w:r>
              <w:rPr>
                <w:sz w:val="18"/>
                <w:vertAlign w:val="superscript"/>
              </w:rPr>
              <w:t>20</w:t>
            </w:r>
            <w:r>
              <w:rPr>
                <w:sz w:val="18"/>
              </w:rPr>
              <w:t xml:space="preserve"> ve Amazon FCF 1,2 milyar $</w:t>
            </w:r>
            <w:r>
              <w:rPr>
                <w:sz w:val="18"/>
                <w:vertAlign w:val="superscript"/>
              </w:rPr>
              <w:t>34</w:t>
            </w:r>
            <w:r>
              <w:rPr>
                <w:sz w:val="18"/>
              </w:rPr>
              <w:t xml:space="preserve"> üzerinden Wall Street baskısı; LLM ROI beklentisinin karşılanmaması</w:t>
            </w:r>
          </w:p>
        </w:tc>
      </w:tr>
      <w:tr>
        <w:tc>
          <w:tcPr>
            <w:tcW w:type="dxa" w:w="4680"/>
          </w:tcPr>
          <w:p>
            <w:r>
              <w:rPr>
                <w:sz w:val="18"/>
              </w:rPr>
            </w:r>
            <w:r>
              <w:rPr>
                <w:b/>
                <w:sz w:val="18"/>
              </w:rPr>
              <w:t>Sayısal eşik</w:t>
            </w:r>
          </w:p>
        </w:tc>
        <w:tc>
          <w:tcPr>
            <w:tcW w:type="dxa" w:w="4680"/>
          </w:tcPr>
          <w:p>
            <w:r>
              <w:rPr>
                <w:sz w:val="18"/>
              </w:rPr>
            </w:r>
            <w:r>
              <w:rPr>
                <w:sz w:val="18"/>
              </w:rPr>
              <w:t>Meta 238 milyar $ sözleşmesinin</w:t>
            </w:r>
            <w:r>
              <w:rPr>
                <w:sz w:val="18"/>
                <w:vertAlign w:val="superscript"/>
              </w:rPr>
              <w:t>19</w:t>
            </w:r>
            <w:r>
              <w:rPr>
                <w:sz w:val="18"/>
              </w:rPr>
              <w:t xml:space="preserve"> veya Amazon 200 milyar $ capex'inin</w:t>
            </w:r>
            <w:r>
              <w:rPr>
                <w:sz w:val="18"/>
                <w:vertAlign w:val="superscript"/>
              </w:rPr>
              <w:t>34</w:t>
            </w:r>
            <w:r>
              <w:rPr>
                <w:sz w:val="18"/>
              </w:rPr>
              <w:t xml:space="preserve"> ~%20'sinin iptali/ertelenmesi</w:t>
            </w:r>
          </w:p>
        </w:tc>
      </w:tr>
      <w:tr>
        <w:tc>
          <w:tcPr>
            <w:tcW w:type="dxa" w:w="4680"/>
          </w:tcPr>
          <w:p>
            <w:r>
              <w:rPr>
                <w:sz w:val="18"/>
              </w:rPr>
            </w:r>
            <w:r>
              <w:rPr>
                <w:b/>
                <w:sz w:val="18"/>
              </w:rPr>
              <w:t>İlk etkilenen</w:t>
            </w:r>
          </w:p>
        </w:tc>
        <w:tc>
          <w:tcPr>
            <w:tcW w:type="dxa" w:w="4680"/>
          </w:tcPr>
          <w:p>
            <w:r>
              <w:rPr>
                <w:sz w:val="18"/>
              </w:rPr>
            </w:r>
            <w:r>
              <w:rPr>
                <w:sz w:val="18"/>
              </w:rPr>
              <w:t>NVIDIA (sipariş), Arista (ağ satışı), Super Micro (sunucu)</w:t>
            </w:r>
          </w:p>
        </w:tc>
      </w:tr>
      <w:tr>
        <w:tc>
          <w:tcPr>
            <w:tcW w:type="dxa" w:w="4680"/>
          </w:tcPr>
          <w:p>
            <w:r>
              <w:rPr>
                <w:sz w:val="18"/>
              </w:rPr>
            </w:r>
            <w:r>
              <w:rPr>
                <w:b/>
                <w:sz w:val="18"/>
              </w:rPr>
              <w:t>Yayılım kanalı</w:t>
            </w:r>
          </w:p>
        </w:tc>
        <w:tc>
          <w:tcPr>
            <w:tcW w:type="dxa" w:w="4680"/>
          </w:tcPr>
          <w:p>
            <w:r>
              <w:rPr>
                <w:sz w:val="18"/>
              </w:rPr>
            </w:r>
            <w:r>
              <w:rPr>
                <w:sz w:val="18"/>
              </w:rPr>
              <w:t>Talep şoku upstream: hyperscaler → donanımcı → dökümhane → ekipman (§3.1, Akış 3)</w:t>
            </w:r>
          </w:p>
        </w:tc>
      </w:tr>
      <w:tr>
        <w:tc>
          <w:tcPr>
            <w:tcW w:type="dxa" w:w="4680"/>
          </w:tcPr>
          <w:p>
            <w:r>
              <w:rPr>
                <w:sz w:val="18"/>
              </w:rPr>
            </w:r>
            <w:r>
              <w:rPr>
                <w:b/>
                <w:sz w:val="18"/>
              </w:rPr>
              <w:t>Tamponlar</w:t>
            </w:r>
          </w:p>
        </w:tc>
        <w:tc>
          <w:tcPr>
            <w:tcW w:type="dxa" w:w="4680"/>
          </w:tcPr>
          <w:p>
            <w:r>
              <w:rPr>
                <w:sz w:val="18"/>
              </w:rPr>
            </w:r>
            <w:r>
              <w:rPr>
                <w:sz w:val="18"/>
              </w:rPr>
              <w:t xml:space="preserve">Hyperscaler'ların reklam/e-ticaret/kurumsal yazılım gelirleri çapraz sübvansiyon sağlar; bu kesinti temerrüt değil </w:t>
            </w:r>
            <w:r>
              <w:rPr>
                <w:b/>
                <w:sz w:val="18"/>
              </w:rPr>
              <w:t>verimlilik + özel çip (ASIC) geçişi</w:t>
            </w:r>
            <w:r>
              <w:rPr>
                <w:sz w:val="18"/>
              </w:rPr>
              <w:t xml:space="preserve"> yaratabilir</w:t>
            </w:r>
          </w:p>
        </w:tc>
      </w:tr>
      <w:tr>
        <w:tc>
          <w:tcPr>
            <w:tcW w:type="dxa" w:w="4680"/>
          </w:tcPr>
          <w:p>
            <w:r>
              <w:rPr>
                <w:sz w:val="18"/>
              </w:rPr>
            </w:r>
            <w:r>
              <w:rPr>
                <w:b/>
                <w:sz w:val="18"/>
              </w:rPr>
              <w:t>2. tur etkiler</w:t>
            </w:r>
          </w:p>
        </w:tc>
        <w:tc>
          <w:tcPr>
            <w:tcW w:type="dxa" w:w="4680"/>
          </w:tcPr>
          <w:p>
            <w:r>
              <w:rPr>
                <w:sz w:val="18"/>
              </w:rPr>
            </w:r>
            <w:r>
              <w:rPr>
                <w:sz w:val="18"/>
              </w:rPr>
              <w:t>Teknolojide piyasa değeri silinmesi; tedarikçi marj baskısı; işten çıkarmalar</w:t>
            </w:r>
          </w:p>
        </w:tc>
      </w:tr>
      <w:tr>
        <w:tc>
          <w:tcPr>
            <w:tcW w:type="dxa" w:w="4680"/>
          </w:tcPr>
          <w:p>
            <w:r>
              <w:rPr>
                <w:sz w:val="18"/>
              </w:rPr>
            </w:r>
            <w:r>
              <w:rPr>
                <w:b/>
                <w:sz w:val="18"/>
              </w:rPr>
              <w:t>İyileşme süresi</w:t>
            </w:r>
          </w:p>
        </w:tc>
        <w:tc>
          <w:tcPr>
            <w:tcW w:type="dxa" w:w="4680"/>
          </w:tcPr>
          <w:p>
            <w:r>
              <w:rPr>
                <w:sz w:val="18"/>
              </w:rPr>
            </w:r>
            <w:r>
              <w:rPr>
                <w:sz w:val="18"/>
              </w:rPr>
              <w:t>1–3 yıl ("AI yatırım durgunluğu")</w:t>
            </w:r>
          </w:p>
        </w:tc>
      </w:tr>
      <w:tr>
        <w:tc>
          <w:tcPr>
            <w:tcW w:type="dxa" w:w="4680"/>
          </w:tcPr>
          <w:p>
            <w:r>
              <w:rPr>
                <w:sz w:val="18"/>
              </w:rPr>
            </w:r>
            <w:r>
              <w:rPr>
                <w:b/>
                <w:sz w:val="18"/>
              </w:rPr>
              <w:t>Olasılık (36 ay)</w:t>
            </w:r>
          </w:p>
        </w:tc>
        <w:tc>
          <w:tcPr>
            <w:tcW w:type="dxa" w:w="4680"/>
          </w:tcPr>
          <w:p>
            <w:r>
              <w:rPr>
                <w:sz w:val="18"/>
              </w:rPr>
            </w:r>
            <w:r>
              <w:rPr>
                <w:b/>
                <w:sz w:val="18"/>
              </w:rPr>
              <w:t>Orta: %30–50, merkez %40</w:t>
            </w:r>
            <w:r>
              <w:rPr>
                <w:sz w:val="18"/>
              </w:rPr>
              <w:t xml:space="preserve"> (şeffaf eşleme, §2.6)</w:t>
            </w:r>
          </w:p>
        </w:tc>
      </w:tr>
      <w:tr>
        <w:tc>
          <w:tcPr>
            <w:tcW w:type="dxa" w:w="4680"/>
          </w:tcPr>
          <w:p>
            <w:r>
              <w:rPr>
                <w:sz w:val="18"/>
              </w:rPr>
            </w:r>
            <w:r>
              <w:rPr>
                <w:b/>
                <w:sz w:val="18"/>
              </w:rPr>
              <w:t>Etki aralığı</w:t>
            </w:r>
          </w:p>
        </w:tc>
        <w:tc>
          <w:tcPr>
            <w:tcW w:type="dxa" w:w="4680"/>
          </w:tcPr>
          <w:p>
            <w:r>
              <w:rPr>
                <w:sz w:val="18"/>
              </w:rPr>
            </w:r>
            <w:r>
              <w:rPr>
                <w:sz w:val="18"/>
              </w:rPr>
              <w:t>Sektörel durgunluk; sistemik çöküş değil</w:t>
            </w:r>
          </w:p>
        </w:tc>
      </w:tr>
      <w:tr>
        <w:tc>
          <w:tcPr>
            <w:tcW w:type="dxa" w:w="4680"/>
          </w:tcPr>
          <w:p>
            <w:r>
              <w:rPr>
                <w:sz w:val="18"/>
              </w:rPr>
            </w:r>
            <w:r>
              <w:rPr>
                <w:b/>
                <w:sz w:val="18"/>
              </w:rPr>
              <w:t>Güven</w:t>
            </w:r>
          </w:p>
        </w:tc>
        <w:tc>
          <w:tcPr>
            <w:tcW w:type="dxa" w:w="4680"/>
          </w:tcPr>
          <w:p>
            <w:r>
              <w:rPr>
                <w:sz w:val="18"/>
              </w:rPr>
            </w:r>
            <w:r>
              <w:rPr>
                <w:sz w:val="18"/>
              </w:rPr>
              <w:t>Orta (ROI beklentisi ölçülemez, §10)</w:t>
            </w:r>
          </w:p>
        </w:tc>
      </w:tr>
      <w:tr>
        <w:tc>
          <w:tcPr>
            <w:tcW w:type="dxa" w:w="4680"/>
          </w:tcPr>
          <w:p>
            <w:r>
              <w:rPr>
                <w:sz w:val="18"/>
              </w:rPr>
            </w:r>
            <w:r>
              <w:rPr>
                <w:b/>
                <w:sz w:val="18"/>
              </w:rPr>
              <w:t>Gerçek yanlışlayıcı kanıt</w:t>
            </w:r>
          </w:p>
        </w:tc>
        <w:tc>
          <w:tcPr>
            <w:tcW w:type="dxa" w:w="4680"/>
          </w:tcPr>
          <w:p>
            <w:r>
              <w:rPr>
                <w:sz w:val="18"/>
              </w:rPr>
            </w:r>
            <w:r>
              <w:rPr>
                <w:sz w:val="18"/>
              </w:rPr>
              <w:t xml:space="preserve">Capex seviyesi korunurken AI'ya atfedilebilir operasyonel nakit akışının artması ve capex/OCF oranının </w:t>
            </w:r>
            <w:r>
              <w:rPr>
                <w:b/>
                <w:sz w:val="18"/>
              </w:rPr>
              <w:t>gelir büyümesi sayesinde</w:t>
            </w:r>
            <w:r>
              <w:rPr>
                <w:sz w:val="18"/>
              </w:rPr>
              <w:t xml:space="preserve"> düşmesi. </w:t>
            </w:r>
            <w:r>
              <w:rPr>
                <w:i/>
                <w:sz w:val="18"/>
              </w:rPr>
              <w:t>Not: capex kesildiği için capex/OCF'nin düşmesi senaryoyu yanlışlamaz, doğrular — bu yüzden falsifier sayılmaz.</w:t>
            </w:r>
          </w:p>
        </w:tc>
      </w:tr>
    </w:tbl>
    <w:p/>
    <w:p>
      <w:r>
        <w:rPr>
          <w:b/>
        </w:rPr>
        <w:t>Alternatif yol (senaryo lehine olmayan):</w:t>
      </w:r>
      <w:r>
        <w:t xml:space="preserve"> Capex kesintisi kaçınılmaz olarak "AI Winter" demek değildir. Şirketler capex'i kısarken verimliliği artırabilir, özel ASIC'lere (Broadcom/Qualcomm) geçebilir ve birim maliyeti düşürebilir — bu, toplam çip talebini değil </w:t>
      </w:r>
      <w:r>
        <w:rPr>
          <w:b/>
        </w:rPr>
        <w:t>bileşimini</w:t>
      </w:r>
      <w:r>
        <w:t xml:space="preserve"> değiştirir. Ayrıca resesyonda bazı şirketler iş gücü maliyetini kısmak için otomasyon/AI yatırımını </w:t>
      </w:r>
      <w:r>
        <w:rPr>
          <w:b/>
        </w:rPr>
        <w:t>artırabilir</w:t>
      </w:r>
      <w:r>
        <w:t>; talep tek yönlü değildir.</w:t>
      </w:r>
    </w:p>
    <w:p>
      <w:pPr>
        <w:pStyle w:val="Heading2"/>
      </w:pPr>
      <w:r>
        <w:t>8.3 Senaryo 3 — TSMC fiziksel kesintisi (katastrofik etki)</w:t>
      </w:r>
    </w:p>
    <w:p>
      <w:r>
        <w:t xml:space="preserve">"Tam ve telafi edilemez kayıp" ifadesi olasılık-etki dengesini bozduğundan bu senaryo </w:t>
      </w:r>
      <w:r>
        <w:rPr>
          <w:b/>
        </w:rPr>
        <w:t>tam kayıp</w:t>
      </w:r>
      <w:r>
        <w:t xml:space="preserve"> yerine </w:t>
      </w:r>
      <w:r>
        <w:rPr>
          <w:b/>
        </w:rPr>
        <w:t>kısmi kesinti</w:t>
      </w:r>
      <w:r>
        <w:t xml:space="preserve"> olarak çerçevelenir. Ufuk olmayan bir olasılık anlamlı olmadığından iki soru ayrıştırılır: </w:t>
      </w:r>
      <w:r>
        <w:rPr>
          <w:b/>
        </w:rPr>
        <w:t>(a)</w:t>
      </w:r>
      <w:r>
        <w:t xml:space="preserve"> önümüzdeki bir ufukta herhangi bir ileri-düğüm kesintisinin </w:t>
      </w:r>
      <w:r>
        <w:rPr>
          <w:b/>
        </w:rPr>
        <w:t>gerçekleşme olasılığı</w:t>
      </w:r>
      <w:r>
        <w:t xml:space="preserve"> ve </w:t>
      </w:r>
      <w:r>
        <w:rPr>
          <w:b/>
        </w:rPr>
        <w:t>(b)</w:t>
      </w:r>
      <w:r>
        <w:t xml:space="preserve"> bir kesinti gerçekleşirse bunun ne kadar süreceğine ilişkin </w:t>
      </w:r>
      <w:r>
        <w:rPr>
          <w:b/>
        </w:rPr>
        <w:t>koşullu süre olasılığı</w:t>
      </w:r>
      <w:r>
        <w:t>. İkisi farklı sorulardır ve karıştırılmaz.</w:t>
      </w:r>
    </w:p>
    <w:p>
      <w:r>
        <w:rPr>
          <w:b/>
        </w:rPr>
        <w:t>(a) Gerçekleşme ufku — herhangi bir ileri-düğüm kesintisi (şeffaf eşleme, §2.6):</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Ufuk</w:t>
            </w:r>
          </w:p>
        </w:tc>
        <w:tc>
          <w:tcPr>
            <w:tcW w:type="dxa" w:w="3120"/>
            <w:shd w:val="clear" w:color="auto" w:fill="D9D9D9"/>
          </w:tcPr>
          <w:p>
            <w:r>
              <w:rPr>
                <w:b/>
                <w:sz w:val="18"/>
              </w:rPr>
            </w:r>
            <w:r>
              <w:rPr>
                <w:b/>
                <w:sz w:val="18"/>
              </w:rPr>
              <w:t>Herhangi bir ileri-düğüm kesintisi olasılığı</w:t>
            </w:r>
          </w:p>
        </w:tc>
        <w:tc>
          <w:tcPr>
            <w:tcW w:type="dxa" w:w="3120"/>
            <w:shd w:val="clear" w:color="auto" w:fill="D9D9D9"/>
          </w:tcPr>
          <w:p>
            <w:r>
              <w:rPr>
                <w:b/>
                <w:sz w:val="18"/>
              </w:rPr>
            </w:r>
            <w:r>
              <w:rPr>
                <w:b/>
                <w:sz w:val="18"/>
              </w:rPr>
              <w:t>Güven</w:t>
            </w:r>
          </w:p>
        </w:tc>
      </w:tr>
      <w:tr>
        <w:tc>
          <w:tcPr>
            <w:tcW w:type="dxa" w:w="3120"/>
          </w:tcPr>
          <w:p>
            <w:r>
              <w:rPr>
                <w:sz w:val="18"/>
              </w:rPr>
            </w:r>
            <w:r>
              <w:rPr>
                <w:sz w:val="18"/>
              </w:rPr>
              <w:t>Önümüzdeki 12 ay</w:t>
            </w:r>
          </w:p>
        </w:tc>
        <w:tc>
          <w:tcPr>
            <w:tcW w:type="dxa" w:w="3120"/>
          </w:tcPr>
          <w:p>
            <w:r>
              <w:rPr>
                <w:sz w:val="18"/>
              </w:rPr>
            </w:r>
            <w:r>
              <w:rPr>
                <w:sz w:val="18"/>
              </w:rPr>
              <w:t xml:space="preserve">Düşük: </w:t>
            </w:r>
            <w:r>
              <w:rPr>
                <w:b/>
                <w:sz w:val="18"/>
              </w:rPr>
              <w:t>%10–20, merkez %15</w:t>
            </w:r>
          </w:p>
        </w:tc>
        <w:tc>
          <w:tcPr>
            <w:tcW w:type="dxa" w:w="3120"/>
          </w:tcPr>
          <w:p>
            <w:r>
              <w:rPr>
                <w:sz w:val="18"/>
              </w:rPr>
            </w:r>
            <w:r>
              <w:rPr>
                <w:sz w:val="18"/>
              </w:rPr>
              <w:t>Düşük (jeopolitik baz oran kamuya kapalı, §10)</w:t>
            </w:r>
          </w:p>
        </w:tc>
      </w:tr>
      <w:tr>
        <w:tc>
          <w:tcPr>
            <w:tcW w:type="dxa" w:w="3120"/>
          </w:tcPr>
          <w:p>
            <w:r>
              <w:rPr>
                <w:sz w:val="18"/>
              </w:rPr>
            </w:r>
            <w:r>
              <w:rPr>
                <w:sz w:val="18"/>
              </w:rPr>
              <w:t>Önümüzdeki 36 ay</w:t>
            </w:r>
          </w:p>
        </w:tc>
        <w:tc>
          <w:tcPr>
            <w:tcW w:type="dxa" w:w="3120"/>
          </w:tcPr>
          <w:p>
            <w:r>
              <w:rPr>
                <w:sz w:val="18"/>
              </w:rPr>
            </w:r>
            <w:r>
              <w:rPr>
                <w:sz w:val="18"/>
              </w:rPr>
              <w:t xml:space="preserve">Düşük-orta: </w:t>
            </w:r>
            <w:r>
              <w:rPr>
                <w:b/>
                <w:sz w:val="18"/>
              </w:rPr>
              <w:t>%20–30, merkez %25</w:t>
            </w:r>
          </w:p>
        </w:tc>
        <w:tc>
          <w:tcPr>
            <w:tcW w:type="dxa" w:w="3120"/>
          </w:tcPr>
          <w:p>
            <w:r>
              <w:rPr>
                <w:sz w:val="18"/>
              </w:rPr>
            </w:r>
            <w:r>
              <w:rPr>
                <w:sz w:val="18"/>
              </w:rPr>
              <w:t>Düşük</w:t>
            </w:r>
          </w:p>
        </w:tc>
      </w:tr>
      <w:tr>
        <w:tc>
          <w:tcPr>
            <w:tcW w:type="dxa" w:w="3120"/>
          </w:tcPr>
          <w:p>
            <w:r>
              <w:rPr>
                <w:sz w:val="18"/>
              </w:rPr>
            </w:r>
            <w:r>
              <w:rPr>
                <w:sz w:val="18"/>
              </w:rPr>
              <w:t>Önümüzdeki 60 ay</w:t>
            </w:r>
          </w:p>
        </w:tc>
        <w:tc>
          <w:tcPr>
            <w:tcW w:type="dxa" w:w="3120"/>
          </w:tcPr>
          <w:p>
            <w:r>
              <w:rPr>
                <w:sz w:val="18"/>
              </w:rPr>
            </w:r>
            <w:r>
              <w:rPr>
                <w:sz w:val="18"/>
              </w:rPr>
              <w:t xml:space="preserve">Orta alt-ucu: </w:t>
            </w:r>
            <w:r>
              <w:rPr>
                <w:b/>
                <w:sz w:val="18"/>
              </w:rPr>
              <w:t>~%30</w:t>
            </w:r>
          </w:p>
        </w:tc>
        <w:tc>
          <w:tcPr>
            <w:tcW w:type="dxa" w:w="3120"/>
          </w:tcPr>
          <w:p>
            <w:r>
              <w:rPr>
                <w:sz w:val="18"/>
              </w:rPr>
            </w:r>
            <w:r>
              <w:rPr>
                <w:sz w:val="18"/>
              </w:rPr>
              <w:t>Düşük</w:t>
            </w:r>
          </w:p>
        </w:tc>
      </w:tr>
    </w:tbl>
    <w:p/>
    <w:p>
      <w:r>
        <w:rPr>
          <w:b/>
        </w:rPr>
        <w:t>(b) Koşullu süre — bir kesinti gerçekleşirse, en az bu süre (şeffaf eşleme):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Süre eşiği</w:t>
            </w:r>
          </w:p>
        </w:tc>
        <w:tc>
          <w:tcPr>
            <w:tcW w:type="dxa" w:w="2340"/>
            <w:shd w:val="clear" w:color="auto" w:fill="D9D9D9"/>
          </w:tcPr>
          <w:p>
            <w:r>
              <w:rPr>
                <w:b/>
                <w:sz w:val="18"/>
              </w:rPr>
            </w:r>
            <w:r>
              <w:rPr>
                <w:b/>
                <w:sz w:val="18"/>
              </w:rPr>
              <w:t>Koşullu olasılık</w:t>
            </w:r>
          </w:p>
        </w:tc>
        <w:tc>
          <w:tcPr>
            <w:tcW w:type="dxa" w:w="2340"/>
            <w:shd w:val="clear" w:color="auto" w:fill="D9D9D9"/>
          </w:tcPr>
          <w:p>
            <w:r>
              <w:rPr>
                <w:b/>
                <w:sz w:val="18"/>
              </w:rPr>
            </w:r>
            <w:r>
              <w:rPr>
                <w:b/>
                <w:sz w:val="18"/>
              </w:rPr>
              <w:t>Etki</w:t>
            </w:r>
          </w:p>
        </w:tc>
        <w:tc>
          <w:tcPr>
            <w:tcW w:type="dxa" w:w="2340"/>
            <w:shd w:val="clear" w:color="auto" w:fill="D9D9D9"/>
          </w:tcPr>
          <w:p>
            <w:r>
              <w:rPr>
                <w:b/>
                <w:sz w:val="18"/>
              </w:rPr>
            </w:r>
            <w:r>
              <w:rPr>
                <w:b/>
                <w:sz w:val="18"/>
              </w:rPr>
              <w:t>İyileşme</w:t>
            </w:r>
          </w:p>
        </w:tc>
      </w:tr>
      <w:tr>
        <w:tc>
          <w:tcPr>
            <w:tcW w:type="dxa" w:w="2340"/>
          </w:tcPr>
          <w:p>
            <w:r>
              <w:rPr>
                <w:sz w:val="18"/>
              </w:rPr>
            </w:r>
            <w:r>
              <w:rPr>
                <w:sz w:val="18"/>
              </w:rPr>
              <w:t>En az 1 ay</w:t>
            </w:r>
          </w:p>
        </w:tc>
        <w:tc>
          <w:tcPr>
            <w:tcW w:type="dxa" w:w="2340"/>
          </w:tcPr>
          <w:p>
            <w:r>
              <w:rPr>
                <w:sz w:val="18"/>
              </w:rPr>
            </w:r>
            <w:r>
              <w:rPr>
                <w:sz w:val="18"/>
              </w:rPr>
              <w:t xml:space="preserve">Yüksek: </w:t>
            </w:r>
            <w:r>
              <w:rPr>
                <w:b/>
                <w:sz w:val="18"/>
              </w:rPr>
              <w:t>~%70</w:t>
            </w:r>
          </w:p>
        </w:tc>
        <w:tc>
          <w:tcPr>
            <w:tcW w:type="dxa" w:w="2340"/>
          </w:tcPr>
          <w:p>
            <w:r>
              <w:rPr>
                <w:sz w:val="18"/>
              </w:rPr>
            </w:r>
            <w:r>
              <w:rPr>
                <w:sz w:val="18"/>
              </w:rPr>
              <w:t>Stok + fiyat şoku; üretim kaydırması</w:t>
            </w:r>
          </w:p>
        </w:tc>
        <w:tc>
          <w:tcPr>
            <w:tcW w:type="dxa" w:w="2340"/>
          </w:tcPr>
          <w:p>
            <w:r>
              <w:rPr>
                <w:sz w:val="18"/>
              </w:rPr>
            </w:r>
            <w:r>
              <w:rPr>
                <w:sz w:val="18"/>
              </w:rPr>
              <w:t>Haftalar–aylar</w:t>
            </w:r>
          </w:p>
        </w:tc>
      </w:tr>
      <w:tr>
        <w:tc>
          <w:tcPr>
            <w:tcW w:type="dxa" w:w="2340"/>
          </w:tcPr>
          <w:p>
            <w:r>
              <w:rPr>
                <w:sz w:val="18"/>
              </w:rPr>
            </w:r>
            <w:r>
              <w:rPr>
                <w:sz w:val="18"/>
              </w:rPr>
              <w:t>En az 6 ay</w:t>
            </w:r>
          </w:p>
        </w:tc>
        <w:tc>
          <w:tcPr>
            <w:tcW w:type="dxa" w:w="2340"/>
          </w:tcPr>
          <w:p>
            <w:r>
              <w:rPr>
                <w:sz w:val="18"/>
              </w:rPr>
            </w:r>
            <w:r>
              <w:rPr>
                <w:sz w:val="18"/>
              </w:rPr>
              <w:t xml:space="preserve">Orta: </w:t>
            </w:r>
            <w:r>
              <w:rPr>
                <w:b/>
                <w:sz w:val="18"/>
              </w:rPr>
              <w:t>%30–50, merkez %40</w:t>
            </w:r>
          </w:p>
        </w:tc>
        <w:tc>
          <w:tcPr>
            <w:tcW w:type="dxa" w:w="2340"/>
          </w:tcPr>
          <w:p>
            <w:r>
              <w:rPr>
                <w:sz w:val="18"/>
              </w:rPr>
            </w:r>
            <w:r>
              <w:rPr>
                <w:sz w:val="18"/>
              </w:rPr>
              <w:t>İleri düğüm arzı ciddi kısıtlı; NVIDIA/AMD/Broadcom üretim planı bozulur</w:t>
            </w:r>
          </w:p>
        </w:tc>
        <w:tc>
          <w:tcPr>
            <w:tcW w:type="dxa" w:w="2340"/>
          </w:tcPr>
          <w:p>
            <w:r>
              <w:rPr>
                <w:sz w:val="18"/>
              </w:rPr>
            </w:r>
            <w:r>
              <w:rPr>
                <w:sz w:val="18"/>
              </w:rPr>
              <w:t>1–2 yıl</w:t>
            </w:r>
          </w:p>
        </w:tc>
      </w:tr>
      <w:tr>
        <w:tc>
          <w:tcPr>
            <w:tcW w:type="dxa" w:w="2340"/>
          </w:tcPr>
          <w:p>
            <w:r>
              <w:rPr>
                <w:sz w:val="18"/>
              </w:rPr>
            </w:r>
            <w:r>
              <w:rPr>
                <w:sz w:val="18"/>
              </w:rPr>
              <w:t>En az 12 ay</w:t>
            </w:r>
          </w:p>
        </w:tc>
        <w:tc>
          <w:tcPr>
            <w:tcW w:type="dxa" w:w="2340"/>
          </w:tcPr>
          <w:p>
            <w:r>
              <w:rPr>
                <w:sz w:val="18"/>
              </w:rPr>
            </w:r>
            <w:r>
              <w:rPr>
                <w:sz w:val="18"/>
              </w:rPr>
              <w:t xml:space="preserve">Düşük-orta: </w:t>
            </w:r>
            <w:r>
              <w:rPr>
                <w:b/>
                <w:sz w:val="18"/>
              </w:rPr>
              <w:t>%20–30, merkez %25</w:t>
            </w:r>
          </w:p>
        </w:tc>
        <w:tc>
          <w:tcPr>
            <w:tcW w:type="dxa" w:w="2340"/>
          </w:tcPr>
          <w:p>
            <w:r>
              <w:rPr>
                <w:sz w:val="18"/>
              </w:rPr>
            </w:r>
            <w:r>
              <w:rPr>
                <w:sz w:val="18"/>
              </w:rPr>
              <w:t>Sistemik; küresel tüketici elektroniği ve AI genişlemesi durur</w:t>
            </w:r>
          </w:p>
        </w:tc>
        <w:tc>
          <w:tcPr>
            <w:tcW w:type="dxa" w:w="2340"/>
          </w:tcPr>
          <w:p>
            <w:r>
              <w:rPr>
                <w:sz w:val="18"/>
              </w:rPr>
            </w:r>
            <w:r>
              <w:rPr>
                <w:sz w:val="18"/>
              </w:rPr>
              <w:t>Yıllar (yeni kapasite inşası)</w:t>
            </w:r>
          </w:p>
        </w:tc>
      </w:tr>
    </w:tbl>
    <w:p/>
    <w:p>
      <w:r>
        <w:rPr>
          <w:b/>
        </w:rPr>
        <w:t>(c) Bileşik olasılık (36 aylık ufuk × koşullu süre; illüstratif, bağımsızlık varsayımıyla):</w:t>
      </w:r>
    </w:p>
    <w:p>
      <w:r>
        <w:rPr>
          <w:rFonts w:ascii="Consolas" w:hAnsi="Consolas"/>
          <w:sz w:val="17"/>
        </w:rPr>
        <w:t>36 ayda en az 1 aylık kesinti  ≈ %25 × ~%70 ≈ ~%18</w:t>
        <w:br/>
        <w:t>36 ayda en az 6 aylık kesinti  ≈ %25 × %40  ≈ ~%10</w:t>
        <w:br/>
        <w:t>36 ayda en az 12 aylık kesinti ≈ %25 × %25  ≈ ~%6</w:t>
      </w:r>
    </w:p>
    <w:p>
      <w:r>
        <w:t>Bu bileşik tablo, ufuk olasılığı ile koşullu sürenin aynı sayı olmadığını göstermek içindir; bağımsızlık varsayar ve kalibre tahmin değildir. §11'de kullanılan "36 ayda ≥12 aylık katastrofik kesinti ~%6" bu bileşik çerçeveyle tutarlıdır.</w:t>
      </w:r>
    </w:p>
    <w:p>
      <w:r>
        <w:rPr>
          <w:b/>
        </w:rPr>
        <w:t>Ortak alanlar:</w:t>
      </w:r>
      <w:r>
        <w:t xml:space="preserve"> </w:t>
      </w:r>
      <w:r>
        <w:rPr>
          <w:b/>
        </w:rPr>
        <w:t>Tetikleyici</w:t>
      </w:r>
      <w:r>
        <w:t xml:space="preserve"> — Tayvan–Çin gerilimi, deniz ablukası, tayfun/deprem. </w:t>
      </w:r>
      <w:r>
        <w:rPr>
          <w:b/>
        </w:rPr>
        <w:t>Gerçek yanlışlayıcı kanıt</w:t>
      </w:r>
      <w:r>
        <w:t xml:space="preserve"> — Tayvan–Çin geriliminin kalıcı biçimde azalması; TSMC'nin Tayvan dışı (ABD/Japonya) ileri düğüm kapasitesinin anlamlı paya ulaşması.</w:t>
      </w:r>
    </w:p>
    <w:p>
      <w:r>
        <w:rPr>
          <w:b/>
        </w:rPr>
        <w:t>Okuma:</w:t>
      </w:r>
      <w:r>
        <w:t xml:space="preserve"> Bu, en düşük olasılıklı ama en yüksek etkili senaryodur (§4.1 sol-üst kadran). Finansal değil </w:t>
      </w:r>
      <w:r>
        <w:rPr>
          <w:b/>
        </w:rPr>
        <w:t>jeopolitik/fiziksel</w:t>
      </w:r>
      <w:r>
        <w:t xml:space="preserve"> bir risktir; borç oranlarıyla ölçülemez, erken uyarı göstergeleri Tayvan Boğazı gerilimi ve enerji arzıdır (§9). "Önümüzdeki 36 ayda en az 12 ay süren bir kesinti" (bileşik ~%6), "herhangi bir tarihte 12 ay süren bir kesinti" ve "bir kesinti gerçekleştiğinde 12 ay sürmesi" (koşullu ~%25) farklı sorulardır; yukarıdaki üç tablo bu ayrımı korur.</w:t>
      </w:r>
    </w:p>
    <w:p>
      <w:pPr>
        <w:pStyle w:val="Heading2"/>
      </w:pPr>
      <w:r>
        <w:t>8.4 Makro Senaryo A — Higher-for-Longer faiz</w:t>
      </w:r>
    </w:p>
    <w:p>
      <w:r>
        <w:t>Fed %3,75'i inatçı enflasyon (PCE %3,84) nedeniyle 2027 sonuna kadar korur.</w:t>
      </w:r>
      <w:r>
        <w:rPr>
          <w:vertAlign w:val="superscript"/>
        </w:rPr>
        <w:t>49</w:t>
      </w:r>
      <w:r>
        <w:rPr>
          <w:vertAlign w:val="superscript"/>
        </w:rPr>
        <w:t>50</w:t>
      </w:r>
    </w:p>
    <w:p>
      <w:pPr>
        <w:pStyle w:val="ListBullet"/>
      </w:pPr>
      <w:r>
        <w:rPr>
          <w:b/>
        </w:rPr>
        <w:t>Gerçekleşme ufku:</w:t>
      </w:r>
      <w:r>
        <w:t xml:space="preserve"> önümüzdeki 24 ay. </w:t>
      </w:r>
      <w:r>
        <w:rPr>
          <w:b/>
        </w:rPr>
        <w:t>Olasılık: orta-yüksek, %50–70, merkez %60</w:t>
      </w:r>
      <w:r>
        <w:t xml:space="preserve"> (şeffaf eşleme; mevcut Fed söylemiyle uyumlu). </w:t>
      </w:r>
      <w:r>
        <w:rPr>
          <w:b/>
        </w:rPr>
        <w:t>Güven:</w:t>
      </w:r>
      <w:r>
        <w:t xml:space="preserve"> orta.</w:t>
      </w:r>
    </w:p>
    <w:p>
      <w:pPr>
        <w:pStyle w:val="ListBullet"/>
      </w:pPr>
      <w:r>
        <w:rPr>
          <w:b/>
        </w:rPr>
        <w:t>Asıl darbe:</w:t>
      </w:r>
      <w:r>
        <w:t xml:space="preserve"> yüksek kaldıraçlı, düşük marjlı şirketler — Super Micro (D/E %115) ve CoreWeave (25,1 milyar $ borç, SOFR-bazlı). Borç çevirme maliyeti fırlar, temerrüt olasılığı artar (koşullu olasılık için §8.8).</w:t>
      </w:r>
    </w:p>
    <w:p>
      <w:pPr>
        <w:pStyle w:val="ListBullet"/>
      </w:pPr>
      <w:r>
        <w:rPr>
          <w:b/>
        </w:rPr>
        <w:t>Korunanlar:</w:t>
      </w:r>
      <w:r>
        <w:t xml:space="preserve"> Arista (sıfır borç), Apple (yüksek nakit), hisse arzıyla finanse eden Alphabet.</w:t>
      </w:r>
    </w:p>
    <w:p>
      <w:pPr>
        <w:pStyle w:val="ListBullet"/>
      </w:pPr>
      <w:r>
        <w:rPr>
          <w:b/>
        </w:rPr>
        <w:t>Gerçek yanlışlayıcı kanıt:</w:t>
      </w:r>
      <w:r>
        <w:t xml:space="preserve"> Çekirdek TÜFE'nin %2 hedefine yaklaşması ve Fed'in indirim sinyali vermesi.</w:t>
      </w:r>
    </w:p>
    <w:p>
      <w:pPr>
        <w:pStyle w:val="Heading2"/>
      </w:pPr>
      <w:r>
        <w:t>8.5 Makro Senaryo B — Jeopolitik şok / enerji odaklı stagflasyon</w:t>
      </w:r>
    </w:p>
    <w:p>
      <w:r>
        <w:t>Orta Doğu çatışması bölgeselleşir; petrol 100 $ üzeri; enflasyon %5'i geçer, büyüme durur.</w:t>
      </w:r>
      <w:r>
        <w:rPr>
          <w:vertAlign w:val="superscript"/>
        </w:rPr>
        <w:t>51</w:t>
      </w:r>
    </w:p>
    <w:p>
      <w:pPr>
        <w:pStyle w:val="ListBullet"/>
      </w:pPr>
      <w:r>
        <w:rPr>
          <w:b/>
        </w:rPr>
        <w:t>Gerçekleşme ufku:</w:t>
      </w:r>
      <w:r>
        <w:t xml:space="preserve"> önümüzdeki 24 ay. </w:t>
      </w:r>
      <w:r>
        <w:rPr>
          <w:b/>
        </w:rPr>
        <w:t>Olasılık: düşük-orta, %20–30, merkez %25</w:t>
      </w:r>
      <w:r>
        <w:t xml:space="preserve"> (şeffaf eşleme). </w:t>
      </w:r>
      <w:r>
        <w:rPr>
          <w:b/>
        </w:rPr>
        <w:t>Güven:</w:t>
      </w:r>
      <w:r>
        <w:t xml:space="preserve"> düşük.</w:t>
      </w:r>
    </w:p>
    <w:p>
      <w:pPr>
        <w:pStyle w:val="ListBullet"/>
      </w:pPr>
      <w:r>
        <w:rPr>
          <w:b/>
        </w:rPr>
        <w:t>İki yönlü kıskaç:</w:t>
      </w:r>
      <w:r>
        <w:t xml:space="preserve"> (1) elektrik/emtia maliyeti fırlar → dökümhane ve veri merkezi operasyon maliyeti artar; Constellation gibi enerji sağlayıcıları değerlenir. (2) Enflasyon nedeniyle tüketici Apple ürünlerinden, reklam verenler Google/Meta bütçesinden kısar → Meta reklam geliri + 125–145 milyar $ capex birleşince nakit krizi.</w:t>
      </w:r>
    </w:p>
    <w:p>
      <w:pPr>
        <w:pStyle w:val="ListBullet"/>
      </w:pPr>
      <w:r>
        <w:rPr>
          <w:b/>
        </w:rPr>
        <w:t>Alternatif yol:</w:t>
      </w:r>
      <w:r>
        <w:t xml:space="preserve"> Talep güçlü kalsa bile </w:t>
      </w:r>
      <w:r>
        <w:rPr>
          <w:b/>
        </w:rPr>
        <w:t>elektrik ve şebeke kapasitesi</w:t>
      </w:r>
      <w:r>
        <w:t xml:space="preserve"> büyümeyi sınırlayabilir — bu, çip arzından bağımsız bir darboğazdır ve Constellation'ın kritikliğini artırır (§6.3).</w:t>
      </w:r>
    </w:p>
    <w:p>
      <w:pPr>
        <w:pStyle w:val="ListBullet"/>
      </w:pPr>
      <w:r>
        <w:rPr>
          <w:b/>
        </w:rPr>
        <w:t>Gerçek yanlışlayıcı kanıt:</w:t>
      </w:r>
      <w:r>
        <w:t xml:space="preserve"> Petrolün 80 $ altına dönmesi ve bölgesel gerilimin yatışması.</w:t>
      </w:r>
    </w:p>
    <w:p>
      <w:pPr>
        <w:pStyle w:val="Heading2"/>
      </w:pPr>
      <w:r>
        <w:t>8.6 Baz Senaryo — Kısıtlayıcı ama işleyen sistem (muhtemel patika)</w:t>
      </w:r>
    </w:p>
    <w:p>
      <w:r>
        <w:t>Yalnızca olumsuz/stres senaryoları içeren bir çerçeve, "iyi yöndeki olasılığı" rapordan hesaplamayı imkânsız kılar. Baz senaryo, en olası tek patikadır:</w:t>
      </w:r>
    </w:p>
    <w:p>
      <w:r>
        <w:rPr>
          <w:b/>
        </w:rPr>
        <w:t>Tanım:</w:t>
      </w:r>
      <w:r>
        <w:t xml:space="preserve"> Higher-for-longer faiz büyük ölçüde sürer; birkaç neo-cloud oyuncusu (CoreWeave başta) zorlanır ve yeniden finansman/konsolidasyon yaşar; ancak AI talebi ve hyperscaler capex'i genel olarak büyümeyi sürdürür. Fiziksel üretim (TSMC/ASML) kesintisiz çalışır.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Pr>
                <w:b/>
                <w:sz w:val="18"/>
              </w:rPr>
            </w:r>
            <w:r>
              <w:rPr>
                <w:b/>
                <w:sz w:val="18"/>
              </w:rPr>
              <w:t>Alan</w:t>
            </w:r>
          </w:p>
        </w:tc>
        <w:tc>
          <w:tcPr>
            <w:tcW w:type="dxa" w:w="4680"/>
            <w:shd w:val="clear" w:color="auto" w:fill="D9D9D9"/>
          </w:tcPr>
          <w:p>
            <w:r>
              <w:rPr>
                <w:b/>
                <w:sz w:val="18"/>
              </w:rPr>
            </w:r>
            <w:r>
              <w:rPr>
                <w:b/>
                <w:sz w:val="18"/>
              </w:rPr>
              <w:t>İçerik</w:t>
            </w:r>
          </w:p>
        </w:tc>
      </w:tr>
      <w:tr>
        <w:tc>
          <w:tcPr>
            <w:tcW w:type="dxa" w:w="4680"/>
          </w:tcPr>
          <w:p>
            <w:r>
              <w:rPr>
                <w:sz w:val="18"/>
              </w:rPr>
            </w:r>
            <w:r>
              <w:rPr>
                <w:b/>
                <w:sz w:val="18"/>
              </w:rPr>
              <w:t>Gerçekleşme ufku</w:t>
            </w:r>
          </w:p>
        </w:tc>
        <w:tc>
          <w:tcPr>
            <w:tcW w:type="dxa" w:w="4680"/>
          </w:tcPr>
          <w:p>
            <w:r>
              <w:rPr>
                <w:sz w:val="18"/>
              </w:rPr>
            </w:r>
            <w:r>
              <w:rPr>
                <w:sz w:val="18"/>
              </w:rPr>
              <w:t>Önümüzdeki 24–36 ay</w:t>
            </w:r>
          </w:p>
        </w:tc>
      </w:tr>
      <w:tr>
        <w:tc>
          <w:tcPr>
            <w:tcW w:type="dxa" w:w="4680"/>
          </w:tcPr>
          <w:p>
            <w:r>
              <w:rPr>
                <w:sz w:val="18"/>
              </w:rPr>
            </w:r>
            <w:r>
              <w:rPr>
                <w:b/>
                <w:sz w:val="18"/>
              </w:rPr>
              <w:t>Karakter</w:t>
            </w:r>
          </w:p>
        </w:tc>
        <w:tc>
          <w:tcPr>
            <w:tcW w:type="dxa" w:w="4680"/>
          </w:tcPr>
          <w:p>
            <w:r>
              <w:rPr>
                <w:sz w:val="18"/>
              </w:rPr>
            </w:r>
            <w:r>
              <w:rPr>
                <w:sz w:val="18"/>
              </w:rPr>
              <w:t>Büyüme devam eder ama finansman maliyeti yüksek kalır; kâr marjları baskı altında; zayıf bilançolar elenir, güçlüler konsolide olur</w:t>
            </w:r>
          </w:p>
        </w:tc>
      </w:tr>
      <w:tr>
        <w:tc>
          <w:tcPr>
            <w:tcW w:type="dxa" w:w="4680"/>
          </w:tcPr>
          <w:p>
            <w:r>
              <w:rPr>
                <w:sz w:val="18"/>
              </w:rPr>
            </w:r>
            <w:r>
              <w:rPr>
                <w:b/>
                <w:sz w:val="18"/>
              </w:rPr>
              <w:t>Görünür sonuç</w:t>
            </w:r>
          </w:p>
        </w:tc>
        <w:tc>
          <w:tcPr>
            <w:tcW w:type="dxa" w:w="4680"/>
          </w:tcPr>
          <w:p>
            <w:r>
              <w:rPr>
                <w:sz w:val="18"/>
              </w:rPr>
            </w:r>
            <w:r>
              <w:rPr>
                <w:sz w:val="18"/>
              </w:rPr>
              <w:t>Neo-cloud'da 1–2 temerrüt/konsolidasyon; hyperscaler capex'inde hız kesme ama mutlak düşüş yok; NVIDIA talebi yavaşlar ama pozitif kalır</w:t>
            </w:r>
          </w:p>
        </w:tc>
      </w:tr>
      <w:tr>
        <w:tc>
          <w:tcPr>
            <w:tcW w:type="dxa" w:w="4680"/>
          </w:tcPr>
          <w:p>
            <w:r>
              <w:rPr>
                <w:sz w:val="18"/>
              </w:rPr>
            </w:r>
            <w:r>
              <w:rPr>
                <w:b/>
                <w:sz w:val="18"/>
              </w:rPr>
              <w:t>Olasılık</w:t>
            </w:r>
          </w:p>
        </w:tc>
        <w:tc>
          <w:tcPr>
            <w:tcW w:type="dxa" w:w="4680"/>
          </w:tcPr>
          <w:p>
            <w:r>
              <w:rPr>
                <w:sz w:val="18"/>
              </w:rPr>
            </w:r>
            <w:r>
              <w:rPr>
                <w:sz w:val="18"/>
              </w:rPr>
              <w:t>Bu, "kötü yön olmadan devam" olasılığıyla yakından ilişkilidir; §11'de sayısallaştırılır (merkez ~%47, 36 ay)</w:t>
            </w:r>
          </w:p>
        </w:tc>
      </w:tr>
      <w:tr>
        <w:tc>
          <w:tcPr>
            <w:tcW w:type="dxa" w:w="4680"/>
          </w:tcPr>
          <w:p>
            <w:r>
              <w:rPr>
                <w:sz w:val="18"/>
              </w:rPr>
            </w:r>
            <w:r>
              <w:rPr>
                <w:b/>
                <w:sz w:val="18"/>
              </w:rPr>
              <w:t>Güven</w:t>
            </w:r>
          </w:p>
        </w:tc>
        <w:tc>
          <w:tcPr>
            <w:tcW w:type="dxa" w:w="4680"/>
          </w:tcPr>
          <w:p>
            <w:r>
              <w:rPr>
                <w:sz w:val="18"/>
              </w:rPr>
            </w:r>
            <w:r>
              <w:rPr>
                <w:sz w:val="18"/>
              </w:rPr>
              <w:t>Orta (şeffaf eşleme + niteliksel yargı)</w:t>
            </w:r>
          </w:p>
        </w:tc>
      </w:tr>
      <w:tr>
        <w:tc>
          <w:tcPr>
            <w:tcW w:type="dxa" w:w="4680"/>
          </w:tcPr>
          <w:p>
            <w:r>
              <w:rPr>
                <w:sz w:val="18"/>
              </w:rPr>
            </w:r>
            <w:r>
              <w:rPr>
                <w:b/>
                <w:sz w:val="18"/>
              </w:rPr>
              <w:t>Yanlışlayacak kanıt</w:t>
            </w:r>
          </w:p>
        </w:tc>
        <w:tc>
          <w:tcPr>
            <w:tcW w:type="dxa" w:w="4680"/>
          </w:tcPr>
          <w:p>
            <w:r>
              <w:rPr>
                <w:sz w:val="18"/>
              </w:rPr>
            </w:r>
            <w:r>
              <w:rPr>
                <w:sz w:val="18"/>
              </w:rPr>
              <w:t>Geniş, senkronize bir capex kesintisi + neo-cloud'da zincirleme temerrüt (bu durumda §8.2/§8.1 baskın hale gelir)</w:t>
            </w:r>
          </w:p>
        </w:tc>
      </w:tr>
    </w:tbl>
    <w:p/>
    <w:p>
      <w:pPr>
        <w:pStyle w:val="Heading2"/>
      </w:pPr>
      <w:r>
        <w:t>8.7 Pozitif Senaryo — Yumuşak iniş ve birim ekonomi iyileşmesi</w:t>
      </w:r>
    </w:p>
    <w:p>
      <w:r>
        <w:rPr>
          <w:b/>
        </w:rPr>
        <w:t>Tanım:</w:t>
      </w:r>
      <w:r>
        <w:t xml:space="preserve"> Enflasyon düşer, Fed 2026 sonu–2027'de indirim döngüsüne başlar, finansman maliyeti gevşer; AI birim ekonomisi (inference başına katkı marjı, GPU-saat verimi) iyileşir; capex/OCF oranı </w:t>
      </w:r>
      <w:r>
        <w:rPr>
          <w:b/>
        </w:rPr>
        <w:t>gelir büyümesiyle</w:t>
      </w:r>
      <w:r>
        <w:t xml:space="preserve"> düşerken AI'ya atfedilebilir gelir artışı sürer.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9D9D9"/>
          </w:tcPr>
          <w:p>
            <w:r>
              <w:rPr>
                <w:b/>
                <w:sz w:val="18"/>
              </w:rPr>
            </w:r>
            <w:r>
              <w:rPr>
                <w:b/>
                <w:sz w:val="18"/>
              </w:rPr>
              <w:t>Alan</w:t>
            </w:r>
          </w:p>
        </w:tc>
        <w:tc>
          <w:tcPr>
            <w:tcW w:type="dxa" w:w="4680"/>
            <w:shd w:val="clear" w:color="auto" w:fill="D9D9D9"/>
          </w:tcPr>
          <w:p>
            <w:r>
              <w:rPr>
                <w:b/>
                <w:sz w:val="18"/>
              </w:rPr>
            </w:r>
            <w:r>
              <w:rPr>
                <w:b/>
                <w:sz w:val="18"/>
              </w:rPr>
              <w:t>İçerik</w:t>
            </w:r>
          </w:p>
        </w:tc>
      </w:tr>
      <w:tr>
        <w:tc>
          <w:tcPr>
            <w:tcW w:type="dxa" w:w="4680"/>
          </w:tcPr>
          <w:p>
            <w:r>
              <w:rPr>
                <w:sz w:val="18"/>
              </w:rPr>
            </w:r>
            <w:r>
              <w:rPr>
                <w:b/>
                <w:sz w:val="18"/>
              </w:rPr>
              <w:t>Gerçekleşme ufku</w:t>
            </w:r>
          </w:p>
        </w:tc>
        <w:tc>
          <w:tcPr>
            <w:tcW w:type="dxa" w:w="4680"/>
          </w:tcPr>
          <w:p>
            <w:r>
              <w:rPr>
                <w:sz w:val="18"/>
              </w:rPr>
            </w:r>
            <w:r>
              <w:rPr>
                <w:sz w:val="18"/>
              </w:rPr>
              <w:t>Önümüzdeki 24–36 ay</w:t>
            </w:r>
          </w:p>
        </w:tc>
      </w:tr>
      <w:tr>
        <w:tc>
          <w:tcPr>
            <w:tcW w:type="dxa" w:w="4680"/>
          </w:tcPr>
          <w:p>
            <w:r>
              <w:rPr>
                <w:sz w:val="18"/>
              </w:rPr>
            </w:r>
            <w:r>
              <w:rPr>
                <w:b/>
                <w:sz w:val="18"/>
              </w:rPr>
              <w:t>Karakter</w:t>
            </w:r>
          </w:p>
        </w:tc>
        <w:tc>
          <w:tcPr>
            <w:tcW w:type="dxa" w:w="4680"/>
          </w:tcPr>
          <w:p>
            <w:r>
              <w:rPr>
                <w:sz w:val="18"/>
              </w:rPr>
            </w:r>
            <w:r>
              <w:rPr>
                <w:sz w:val="18"/>
              </w:rPr>
              <w:t>Finansman gevşer; neo-cloud yeniden finansmanı kolaylaşır; LLM gelir kalitesi (kurumsal sözleşmeler) güçlenir; değerleme baskısı azalır</w:t>
            </w:r>
          </w:p>
        </w:tc>
      </w:tr>
      <w:tr>
        <w:tc>
          <w:tcPr>
            <w:tcW w:type="dxa" w:w="4680"/>
          </w:tcPr>
          <w:p>
            <w:r>
              <w:rPr>
                <w:sz w:val="18"/>
              </w:rPr>
            </w:r>
            <w:r>
              <w:rPr>
                <w:b/>
                <w:sz w:val="18"/>
              </w:rPr>
              <w:t>Görünür sonuç</w:t>
            </w:r>
          </w:p>
        </w:tc>
        <w:tc>
          <w:tcPr>
            <w:tcW w:type="dxa" w:w="4680"/>
          </w:tcPr>
          <w:p>
            <w:r>
              <w:rPr>
                <w:sz w:val="18"/>
              </w:rPr>
            </w:r>
            <w:r>
              <w:rPr>
                <w:sz w:val="18"/>
              </w:rPr>
              <w:t>CoreWeave cari oranını toparlar; hyperscaler capex'i sürdürülebilir OCF ile finanse edilir; TSMC/ASML tam kapasite; değerleme primi korunur</w:t>
            </w:r>
          </w:p>
        </w:tc>
      </w:tr>
      <w:tr>
        <w:tc>
          <w:tcPr>
            <w:tcW w:type="dxa" w:w="4680"/>
          </w:tcPr>
          <w:p>
            <w:r>
              <w:rPr>
                <w:sz w:val="18"/>
              </w:rPr>
            </w:r>
            <w:r>
              <w:rPr>
                <w:b/>
                <w:sz w:val="18"/>
              </w:rPr>
              <w:t>Olasılık</w:t>
            </w:r>
          </w:p>
        </w:tc>
        <w:tc>
          <w:tcPr>
            <w:tcW w:type="dxa" w:w="4680"/>
          </w:tcPr>
          <w:p>
            <w:r>
              <w:rPr>
                <w:sz w:val="18"/>
              </w:rPr>
            </w:r>
            <w:r>
              <w:rPr>
                <w:sz w:val="18"/>
              </w:rPr>
              <w:t xml:space="preserve">§11'de sayısallaştırılır (olumlu makro ~%35, 24 ay; "çok güçlü bull senaryo" ise mevcut veriyle </w:t>
            </w:r>
            <w:r>
              <w:rPr>
                <w:b/>
                <w:sz w:val="18"/>
              </w:rPr>
              <w:t>hesaplanamaz</w:t>
            </w:r>
            <w:r>
              <w:rPr>
                <w:sz w:val="18"/>
              </w:rPr>
              <w:t>)</w:t>
            </w:r>
          </w:p>
        </w:tc>
      </w:tr>
      <w:tr>
        <w:tc>
          <w:tcPr>
            <w:tcW w:type="dxa" w:w="4680"/>
          </w:tcPr>
          <w:p>
            <w:r>
              <w:rPr>
                <w:sz w:val="18"/>
              </w:rPr>
            </w:r>
            <w:r>
              <w:rPr>
                <w:b/>
                <w:sz w:val="18"/>
              </w:rPr>
              <w:t>Güven</w:t>
            </w:r>
          </w:p>
        </w:tc>
        <w:tc>
          <w:tcPr>
            <w:tcW w:type="dxa" w:w="4680"/>
          </w:tcPr>
          <w:p>
            <w:r>
              <w:rPr>
                <w:sz w:val="18"/>
              </w:rPr>
            </w:r>
            <w:r>
              <w:rPr>
                <w:sz w:val="18"/>
              </w:rPr>
              <w:t>Düşük-orta (çekirdek enflasyonun ve AI gelir kalitesinin yönü belirsiz)</w:t>
            </w:r>
          </w:p>
        </w:tc>
      </w:tr>
      <w:tr>
        <w:tc>
          <w:tcPr>
            <w:tcW w:type="dxa" w:w="4680"/>
          </w:tcPr>
          <w:p>
            <w:r>
              <w:rPr>
                <w:sz w:val="18"/>
              </w:rPr>
            </w:r>
            <w:r>
              <w:rPr>
                <w:b/>
                <w:sz w:val="18"/>
              </w:rPr>
              <w:t>Yanlışlayacak kanıt</w:t>
            </w:r>
          </w:p>
        </w:tc>
        <w:tc>
          <w:tcPr>
            <w:tcW w:type="dxa" w:w="4680"/>
          </w:tcPr>
          <w:p>
            <w:r>
              <w:rPr>
                <w:sz w:val="18"/>
              </w:rPr>
            </w:r>
            <w:r>
              <w:rPr>
                <w:sz w:val="18"/>
              </w:rPr>
              <w:t>Çekirdek TÜFE'nin %3 üzerinde kalması ve AI'ya atfedilebilir gelirin capex büyümesinin gerisinde kalması</w:t>
            </w:r>
          </w:p>
        </w:tc>
      </w:tr>
    </w:tbl>
    <w:p/>
    <w:p>
      <w:r>
        <w:rPr>
          <w:b/>
        </w:rPr>
        <w:t>Önemli:</w:t>
      </w:r>
      <w:r>
        <w:t xml:space="preserve"> Mevcut verilerle "çok güçlü olumlu (bull) senaryo" olasılığı </w:t>
      </w:r>
      <w:r>
        <w:rPr>
          <w:b/>
        </w:rPr>
        <w:t>hesaplanamaz</w:t>
      </w:r>
      <w:r>
        <w:t xml:space="preserve"> — çünkü AI birim ekonomisinin gerçek iyileşme hızı ve LLM gelir kalitesi (churn/NRR) kamuya kapalıdır (§10). Hesaplanabilen şey, geniş kırılma olmadan sistemin dayanıklı kalmasıdır (§11).</w:t>
      </w:r>
    </w:p>
    <w:p>
      <w:pPr>
        <w:pStyle w:val="Heading2"/>
      </w:pPr>
      <w:r>
        <w:t>8.8 Senaryolar arası bağımlılık ve kesişim matrisi</w:t>
      </w:r>
    </w:p>
    <w:p>
      <w:r>
        <w:t xml:space="preserve">Senaryolar bağımsız değildir: higher-for-longer, CoreWeave temerrüdünü ve capex kesintisini tetikleyebilir; stagflasyon hem yüksek faiz hem capex kesintisiyle örtüşür. Bu yüzden senaryo olasılıkları </w:t>
      </w:r>
      <w:r>
        <w:rPr>
          <w:b/>
        </w:rPr>
        <w:t>doğrudan toplanamaz</w:t>
      </w:r>
      <w:r>
        <w:t xml:space="preserve"> — kesişimlerin düşülmesi (inclusion-exclusion) gerekir.</w:t>
      </w:r>
    </w:p>
    <w:p>
      <w:r>
        <w:rPr>
          <w:b/>
        </w:rPr>
        <w:t>Tanımlanan koşullu olasılıklar (şeffaf varsayımlar, kalibre model değil):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Koşullu olasılık</w:t>
            </w:r>
          </w:p>
        </w:tc>
        <w:tc>
          <w:tcPr>
            <w:tcW w:type="dxa" w:w="3120"/>
            <w:shd w:val="clear" w:color="auto" w:fill="D9D9D9"/>
          </w:tcPr>
          <w:p>
            <w:r>
              <w:rPr>
                <w:b/>
                <w:sz w:val="18"/>
              </w:rPr>
            </w:r>
            <w:r>
              <w:rPr>
                <w:b/>
                <w:sz w:val="18"/>
              </w:rPr>
              <w:t>Varsayım</w:t>
            </w:r>
          </w:p>
        </w:tc>
        <w:tc>
          <w:tcPr>
            <w:tcW w:type="dxa" w:w="3120"/>
            <w:shd w:val="clear" w:color="auto" w:fill="D9D9D9"/>
          </w:tcPr>
          <w:p>
            <w:r>
              <w:rPr>
                <w:b/>
                <w:sz w:val="18"/>
              </w:rPr>
            </w:r>
            <w:r>
              <w:rPr>
                <w:b/>
                <w:sz w:val="18"/>
              </w:rPr>
              <w:t>Dayanak</w:t>
            </w:r>
          </w:p>
        </w:tc>
      </w:tr>
      <w:tr>
        <w:tc>
          <w:tcPr>
            <w:tcW w:type="dxa" w:w="3120"/>
          </w:tcPr>
          <w:p>
            <w:r>
              <w:rPr>
                <w:sz w:val="18"/>
              </w:rPr>
            </w:r>
            <w:r>
              <w:rPr>
                <w:sz w:val="18"/>
              </w:rPr>
              <w:t>P(CoreWeave temerrüdü \</w:t>
            </w:r>
          </w:p>
        </w:tc>
        <w:tc>
          <w:tcPr>
            <w:tcW w:type="dxa" w:w="3120"/>
          </w:tcPr>
          <w:p>
            <w:r>
              <w:rPr>
                <w:sz w:val="18"/>
              </w:rPr>
            </w:r>
            <w:r>
              <w:rPr>
                <w:sz w:val="18"/>
              </w:rPr>
              <w:t>yüksek faiz)</w:t>
            </w:r>
          </w:p>
        </w:tc>
        <w:tc>
          <w:tcPr>
            <w:tcW w:type="dxa" w:w="3120"/>
          </w:tcPr>
          <w:p>
            <w:r>
              <w:rPr>
                <w:sz w:val="18"/>
              </w:rPr>
            </w:r>
            <w:r>
              <w:rPr>
                <w:sz w:val="18"/>
              </w:rPr>
              <w:t>Yüksek (borç SOFR-bazlı)</w:t>
            </w:r>
          </w:p>
        </w:tc>
      </w:tr>
      <w:tr>
        <w:tc>
          <w:tcPr>
            <w:tcW w:type="dxa" w:w="3120"/>
          </w:tcPr>
          <w:p>
            <w:r>
              <w:rPr>
                <w:sz w:val="18"/>
              </w:rPr>
            </w:r>
            <w:r>
              <w:rPr>
                <w:sz w:val="18"/>
              </w:rPr>
              <w:t>P(capex kesintisi \</w:t>
            </w:r>
          </w:p>
        </w:tc>
        <w:tc>
          <w:tcPr>
            <w:tcW w:type="dxa" w:w="3120"/>
          </w:tcPr>
          <w:p>
            <w:r>
              <w:rPr>
                <w:sz w:val="18"/>
              </w:rPr>
            </w:r>
            <w:r>
              <w:rPr>
                <w:sz w:val="18"/>
              </w:rPr>
              <w:t>yüksek LLM churn)</w:t>
            </w:r>
          </w:p>
        </w:tc>
        <w:tc>
          <w:tcPr>
            <w:tcW w:type="dxa" w:w="3120"/>
          </w:tcPr>
          <w:p>
            <w:r>
              <w:rPr>
                <w:sz w:val="18"/>
              </w:rPr>
            </w:r>
            <w:r>
              <w:rPr>
                <w:sz w:val="18"/>
              </w:rPr>
              <w:t>Yüksek</w:t>
            </w:r>
          </w:p>
        </w:tc>
      </w:tr>
      <w:tr>
        <w:tc>
          <w:tcPr>
            <w:tcW w:type="dxa" w:w="3120"/>
          </w:tcPr>
          <w:p>
            <w:r>
              <w:rPr>
                <w:sz w:val="18"/>
              </w:rPr>
            </w:r>
            <w:r>
              <w:rPr>
                <w:sz w:val="18"/>
              </w:rPr>
              <w:t>P(capex kesintisi \</w:t>
            </w:r>
          </w:p>
        </w:tc>
        <w:tc>
          <w:tcPr>
            <w:tcW w:type="dxa" w:w="3120"/>
          </w:tcPr>
          <w:p>
            <w:r>
              <w:rPr>
                <w:sz w:val="18"/>
              </w:rPr>
            </w:r>
            <w:r>
              <w:rPr>
                <w:sz w:val="18"/>
              </w:rPr>
              <w:t>stagflasyon)</w:t>
            </w:r>
          </w:p>
        </w:tc>
        <w:tc>
          <w:tcPr>
            <w:tcW w:type="dxa" w:w="3120"/>
          </w:tcPr>
          <w:p>
            <w:r>
              <w:rPr>
                <w:sz w:val="18"/>
              </w:rPr>
            </w:r>
            <w:r>
              <w:rPr>
                <w:sz w:val="18"/>
              </w:rPr>
              <w:t>~%60</w:t>
            </w:r>
          </w:p>
        </w:tc>
      </w:tr>
      <w:tr>
        <w:tc>
          <w:tcPr>
            <w:tcW w:type="dxa" w:w="3120"/>
          </w:tcPr>
          <w:p>
            <w:r>
              <w:rPr>
                <w:sz w:val="18"/>
              </w:rPr>
            </w:r>
            <w:r>
              <w:rPr>
                <w:sz w:val="18"/>
              </w:rPr>
              <w:t>P(neo-cloud bulaşıcılığı \</w:t>
            </w:r>
          </w:p>
        </w:tc>
        <w:tc>
          <w:tcPr>
            <w:tcW w:type="dxa" w:w="3120"/>
          </w:tcPr>
          <w:p>
            <w:r>
              <w:rPr>
                <w:sz w:val="18"/>
              </w:rPr>
            </w:r>
            <w:r>
              <w:rPr>
                <w:sz w:val="18"/>
              </w:rPr>
              <w:t>teminat değerinde %X düşüş)</w:t>
            </w:r>
          </w:p>
        </w:tc>
        <w:tc>
          <w:tcPr>
            <w:tcW w:type="dxa" w:w="3120"/>
          </w:tcPr>
          <w:p>
            <w:r>
              <w:rPr>
                <w:sz w:val="18"/>
              </w:rPr>
            </w:r>
            <w:r>
              <w:rPr>
                <w:sz w:val="18"/>
              </w:rPr>
              <w:t>Teminat haircut'e duyarlı</w:t>
            </w:r>
          </w:p>
        </w:tc>
      </w:tr>
      <w:tr>
        <w:tc>
          <w:tcPr>
            <w:tcW w:type="dxa" w:w="3120"/>
          </w:tcPr>
          <w:p>
            <w:r>
              <w:rPr>
                <w:sz w:val="18"/>
              </w:rPr>
            </w:r>
            <w:r>
              <w:rPr>
                <w:sz w:val="18"/>
              </w:rPr>
              <w:t>P(yüksek faiz \</w:t>
            </w:r>
          </w:p>
        </w:tc>
        <w:tc>
          <w:tcPr>
            <w:tcW w:type="dxa" w:w="3120"/>
          </w:tcPr>
          <w:p>
            <w:r>
              <w:rPr>
                <w:sz w:val="18"/>
              </w:rPr>
            </w:r>
            <w:r>
              <w:rPr>
                <w:sz w:val="18"/>
              </w:rPr>
              <w:t>stagflasyon)</w:t>
            </w:r>
          </w:p>
        </w:tc>
        <w:tc>
          <w:tcPr>
            <w:tcW w:type="dxa" w:w="3120"/>
          </w:tcPr>
          <w:p>
            <w:r>
              <w:rPr>
                <w:sz w:val="18"/>
              </w:rPr>
            </w:r>
            <w:r>
              <w:rPr>
                <w:sz w:val="18"/>
              </w:rPr>
              <w:t>~%80</w:t>
            </w:r>
          </w:p>
        </w:tc>
      </w:tr>
    </w:tbl>
    <w:p/>
    <w:p>
      <w:r>
        <w:rPr>
          <w:b/>
        </w:rPr>
        <w:t>İllüstratif kesişim hesabı (24 ay, olumsuz makro ortam):</w:t>
      </w:r>
    </w:p>
    <w:p>
      <w:r>
        <w:rPr>
          <w:rFonts w:ascii="Consolas" w:hAnsi="Consolas"/>
          <w:sz w:val="17"/>
        </w:rPr>
        <w:t>P(olumsuz makro) = P(higher-for-longer ∪ stagflasyon)</w:t>
        <w:br/>
        <w:t>= P(H4L) + P(stagflasyon) − P(H4L ∩ stagflasyon)</w:t>
        <w:br/>
        <w:t>= %60 + %25 − (P(stagflasyon) × P(H4L | stagflasyon))</w:t>
        <w:br/>
        <w:t>= %60 + %25 − (%25 × %80)</w:t>
        <w:br/>
        <w:t>= %60 + %25 − %20</w:t>
        <w:br/>
        <w:t>= ~%65</w:t>
      </w:r>
    </w:p>
    <w:p>
      <w:r>
        <w:t>Bu hesap, bağımsızlık varsayan naif toplamın (%85) neden yanlış olduğunu gösterir: kesişim (%20) düşülmeden yapılan toplam olasılığı şişirir. Tüm sayılar §2.6 şeffaf eşlemesine ve yukarıdaki koşullu varsayımlara dayanır; duyarlılık aralıkları geniştir. 12/24/36 aylık birleşik iyi-yön/kötü-yön olasılıkları §11'de sunulur.</w:t>
      </w:r>
    </w:p>
    <w:p>
      <w:pPr>
        <w:pStyle w:val="Heading2"/>
      </w:pPr>
      <w:r>
        <w:t>8.9 Senaryo özeti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D9D9"/>
          </w:tcPr>
          <w:p>
            <w:r>
              <w:rPr>
                <w:b/>
                <w:sz w:val="18"/>
              </w:rPr>
            </w:r>
            <w:r>
              <w:rPr>
                <w:b/>
                <w:sz w:val="18"/>
              </w:rPr>
              <w:t>Senaryo</w:t>
            </w:r>
          </w:p>
        </w:tc>
        <w:tc>
          <w:tcPr>
            <w:tcW w:type="dxa" w:w="1560"/>
            <w:shd w:val="clear" w:color="auto" w:fill="D9D9D9"/>
          </w:tcPr>
          <w:p>
            <w:r>
              <w:rPr>
                <w:b/>
                <w:sz w:val="18"/>
              </w:rPr>
            </w:r>
            <w:r>
              <w:rPr>
                <w:b/>
                <w:sz w:val="18"/>
              </w:rPr>
              <w:t>Gerçekleşme ufku</w:t>
            </w:r>
          </w:p>
        </w:tc>
        <w:tc>
          <w:tcPr>
            <w:tcW w:type="dxa" w:w="1560"/>
            <w:shd w:val="clear" w:color="auto" w:fill="D9D9D9"/>
          </w:tcPr>
          <w:p>
            <w:r>
              <w:rPr>
                <w:b/>
                <w:sz w:val="18"/>
              </w:rPr>
            </w:r>
            <w:r>
              <w:rPr>
                <w:b/>
                <w:sz w:val="18"/>
              </w:rPr>
              <w:t>Kesinti süresi</w:t>
            </w:r>
          </w:p>
        </w:tc>
        <w:tc>
          <w:tcPr>
            <w:tcW w:type="dxa" w:w="1560"/>
            <w:shd w:val="clear" w:color="auto" w:fill="D9D9D9"/>
          </w:tcPr>
          <w:p>
            <w:r>
              <w:rPr>
                <w:b/>
                <w:sz w:val="18"/>
              </w:rPr>
            </w:r>
            <w:r>
              <w:rPr>
                <w:b/>
                <w:sz w:val="18"/>
              </w:rPr>
              <w:t>Olasılık (merkez)</w:t>
            </w:r>
          </w:p>
        </w:tc>
        <w:tc>
          <w:tcPr>
            <w:tcW w:type="dxa" w:w="1560"/>
            <w:shd w:val="clear" w:color="auto" w:fill="D9D9D9"/>
          </w:tcPr>
          <w:p>
            <w:r>
              <w:rPr>
                <w:b/>
                <w:sz w:val="18"/>
              </w:rPr>
            </w:r>
            <w:r>
              <w:rPr>
                <w:b/>
                <w:sz w:val="18"/>
              </w:rPr>
              <w:t>Etki</w:t>
            </w:r>
          </w:p>
        </w:tc>
        <w:tc>
          <w:tcPr>
            <w:tcW w:type="dxa" w:w="1560"/>
            <w:shd w:val="clear" w:color="auto" w:fill="D9D9D9"/>
          </w:tcPr>
          <w:p>
            <w:r>
              <w:rPr>
                <w:b/>
                <w:sz w:val="18"/>
              </w:rPr>
            </w:r>
            <w:r>
              <w:rPr>
                <w:b/>
                <w:sz w:val="18"/>
              </w:rPr>
              <w:t>Tür</w:t>
            </w:r>
          </w:p>
        </w:tc>
      </w:tr>
      <w:tr>
        <w:tc>
          <w:tcPr>
            <w:tcW w:type="dxa" w:w="1560"/>
          </w:tcPr>
          <w:p>
            <w:r>
              <w:rPr>
                <w:sz w:val="18"/>
              </w:rPr>
            </w:r>
            <w:r>
              <w:rPr>
                <w:sz w:val="18"/>
              </w:rPr>
              <w:t>1 — Neo-Cloud temerrüdü</w:t>
            </w:r>
          </w:p>
        </w:tc>
        <w:tc>
          <w:tcPr>
            <w:tcW w:type="dxa" w:w="1560"/>
          </w:tcPr>
          <w:p>
            <w:r>
              <w:rPr>
                <w:sz w:val="18"/>
              </w:rPr>
            </w:r>
            <w:r>
              <w:rPr>
                <w:sz w:val="18"/>
              </w:rPr>
              <w:t>12 ay</w:t>
            </w:r>
          </w:p>
        </w:tc>
        <w:tc>
          <w:tcPr>
            <w:tcW w:type="dxa" w:w="1560"/>
          </w:tcPr>
          <w:p>
            <w:r>
              <w:rPr>
                <w:sz w:val="18"/>
              </w:rPr>
            </w:r>
            <w:r>
              <w:rPr>
                <w:sz w:val="18"/>
              </w:rPr>
              <w:t>—</w:t>
            </w:r>
          </w:p>
        </w:tc>
        <w:tc>
          <w:tcPr>
            <w:tcW w:type="dxa" w:w="1560"/>
          </w:tcPr>
          <w:p>
            <w:r>
              <w:rPr>
                <w:sz w:val="18"/>
              </w:rPr>
            </w:r>
            <w:r>
              <w:rPr>
                <w:sz w:val="18"/>
              </w:rPr>
              <w:t>Orta-yüksek (%60)</w:t>
            </w:r>
          </w:p>
        </w:tc>
        <w:tc>
          <w:tcPr>
            <w:tcW w:type="dxa" w:w="1560"/>
          </w:tcPr>
          <w:p>
            <w:r>
              <w:rPr>
                <w:sz w:val="18"/>
              </w:rPr>
            </w:r>
            <w:r>
              <w:rPr>
                <w:sz w:val="18"/>
              </w:rPr>
              <w:t>şiddetli ama sınırlı</w:t>
            </w:r>
          </w:p>
        </w:tc>
        <w:tc>
          <w:tcPr>
            <w:tcW w:type="dxa" w:w="1560"/>
          </w:tcPr>
          <w:p>
            <w:r>
              <w:rPr>
                <w:sz w:val="18"/>
              </w:rPr>
            </w:r>
            <w:r>
              <w:rPr>
                <w:sz w:val="18"/>
              </w:rPr>
              <w:t>finansal bulaşıcılık</w:t>
            </w:r>
          </w:p>
        </w:tc>
      </w:tr>
      <w:tr>
        <w:tc>
          <w:tcPr>
            <w:tcW w:type="dxa" w:w="1560"/>
          </w:tcPr>
          <w:p>
            <w:r>
              <w:rPr>
                <w:sz w:val="18"/>
              </w:rPr>
            </w:r>
            <w:r>
              <w:rPr>
                <w:sz w:val="18"/>
              </w:rPr>
              <w:t>2 — Hyperscaler capex kesintisi</w:t>
            </w:r>
          </w:p>
        </w:tc>
        <w:tc>
          <w:tcPr>
            <w:tcW w:type="dxa" w:w="1560"/>
          </w:tcPr>
          <w:p>
            <w:r>
              <w:rPr>
                <w:sz w:val="18"/>
              </w:rPr>
            </w:r>
            <w:r>
              <w:rPr>
                <w:sz w:val="18"/>
              </w:rPr>
              <w:t>36 ay</w:t>
            </w:r>
          </w:p>
        </w:tc>
        <w:tc>
          <w:tcPr>
            <w:tcW w:type="dxa" w:w="1560"/>
          </w:tcPr>
          <w:p>
            <w:r>
              <w:rPr>
                <w:sz w:val="18"/>
              </w:rPr>
            </w:r>
            <w:r>
              <w:rPr>
                <w:sz w:val="18"/>
              </w:rPr>
              <w:t>—</w:t>
            </w:r>
          </w:p>
        </w:tc>
        <w:tc>
          <w:tcPr>
            <w:tcW w:type="dxa" w:w="1560"/>
          </w:tcPr>
          <w:p>
            <w:r>
              <w:rPr>
                <w:sz w:val="18"/>
              </w:rPr>
            </w:r>
            <w:r>
              <w:rPr>
                <w:sz w:val="18"/>
              </w:rPr>
              <w:t>Orta (%40)</w:t>
            </w:r>
          </w:p>
        </w:tc>
        <w:tc>
          <w:tcPr>
            <w:tcW w:type="dxa" w:w="1560"/>
          </w:tcPr>
          <w:p>
            <w:r>
              <w:rPr>
                <w:sz w:val="18"/>
              </w:rPr>
            </w:r>
            <w:r>
              <w:rPr>
                <w:sz w:val="18"/>
              </w:rPr>
              <w:t>sektörel durgunluk</w:t>
            </w:r>
          </w:p>
        </w:tc>
        <w:tc>
          <w:tcPr>
            <w:tcW w:type="dxa" w:w="1560"/>
          </w:tcPr>
          <w:p>
            <w:r>
              <w:rPr>
                <w:sz w:val="18"/>
              </w:rPr>
            </w:r>
            <w:r>
              <w:rPr>
                <w:sz w:val="18"/>
              </w:rPr>
              <w:t>talep şoku</w:t>
            </w:r>
          </w:p>
        </w:tc>
      </w:tr>
      <w:tr>
        <w:tc>
          <w:tcPr>
            <w:tcW w:type="dxa" w:w="1560"/>
          </w:tcPr>
          <w:p>
            <w:r>
              <w:rPr>
                <w:sz w:val="18"/>
              </w:rPr>
            </w:r>
            <w:r>
              <w:rPr>
                <w:sz w:val="18"/>
              </w:rPr>
              <w:t>3 — TSMC fiziksel kesintisi</w:t>
            </w:r>
          </w:p>
        </w:tc>
        <w:tc>
          <w:tcPr>
            <w:tcW w:type="dxa" w:w="1560"/>
          </w:tcPr>
          <w:p>
            <w:r>
              <w:rPr>
                <w:sz w:val="18"/>
              </w:rPr>
            </w:r>
            <w:r>
              <w:rPr>
                <w:sz w:val="18"/>
              </w:rPr>
              <w:t>12/36/60 ay</w:t>
            </w:r>
          </w:p>
        </w:tc>
        <w:tc>
          <w:tcPr>
            <w:tcW w:type="dxa" w:w="1560"/>
          </w:tcPr>
          <w:p>
            <w:r>
              <w:rPr>
                <w:sz w:val="18"/>
              </w:rPr>
            </w:r>
            <w:r>
              <w:rPr>
                <w:sz w:val="18"/>
              </w:rPr>
              <w:t>1/6/12 ay (koşullu)</w:t>
            </w:r>
          </w:p>
        </w:tc>
        <w:tc>
          <w:tcPr>
            <w:tcW w:type="dxa" w:w="1560"/>
          </w:tcPr>
          <w:p>
            <w:r>
              <w:rPr>
                <w:sz w:val="18"/>
              </w:rPr>
            </w:r>
            <w:r>
              <w:rPr>
                <w:sz w:val="18"/>
              </w:rPr>
              <w:t>ufuk %15/%25/%30; 36 ayda ≥12 ay bileşik ~%6</w:t>
            </w:r>
          </w:p>
        </w:tc>
        <w:tc>
          <w:tcPr>
            <w:tcW w:type="dxa" w:w="1560"/>
          </w:tcPr>
          <w:p>
            <w:r>
              <w:rPr>
                <w:sz w:val="18"/>
              </w:rPr>
            </w:r>
            <w:r>
              <w:rPr>
                <w:sz w:val="18"/>
              </w:rPr>
              <w:t>katastrofik (≥12 ay)</w:t>
            </w:r>
          </w:p>
        </w:tc>
        <w:tc>
          <w:tcPr>
            <w:tcW w:type="dxa" w:w="1560"/>
          </w:tcPr>
          <w:p>
            <w:r>
              <w:rPr>
                <w:sz w:val="18"/>
              </w:rPr>
            </w:r>
            <w:r>
              <w:rPr>
                <w:sz w:val="18"/>
              </w:rPr>
              <w:t>operasyonel/jeopolitik</w:t>
            </w:r>
          </w:p>
        </w:tc>
      </w:tr>
      <w:tr>
        <w:tc>
          <w:tcPr>
            <w:tcW w:type="dxa" w:w="1560"/>
          </w:tcPr>
          <w:p>
            <w:r>
              <w:rPr>
                <w:sz w:val="18"/>
              </w:rPr>
            </w:r>
            <w:r>
              <w:rPr>
                <w:sz w:val="18"/>
              </w:rPr>
              <w:t>A — Higher-for-longer</w:t>
            </w:r>
          </w:p>
        </w:tc>
        <w:tc>
          <w:tcPr>
            <w:tcW w:type="dxa" w:w="1560"/>
          </w:tcPr>
          <w:p>
            <w:r>
              <w:rPr>
                <w:sz w:val="18"/>
              </w:rPr>
            </w:r>
            <w:r>
              <w:rPr>
                <w:sz w:val="18"/>
              </w:rPr>
              <w:t>24 ay</w:t>
            </w:r>
          </w:p>
        </w:tc>
        <w:tc>
          <w:tcPr>
            <w:tcW w:type="dxa" w:w="1560"/>
          </w:tcPr>
          <w:p>
            <w:r>
              <w:rPr>
                <w:sz w:val="18"/>
              </w:rPr>
            </w:r>
            <w:r>
              <w:rPr>
                <w:sz w:val="18"/>
              </w:rPr>
              <w:t>—</w:t>
            </w:r>
          </w:p>
        </w:tc>
        <w:tc>
          <w:tcPr>
            <w:tcW w:type="dxa" w:w="1560"/>
          </w:tcPr>
          <w:p>
            <w:r>
              <w:rPr>
                <w:sz w:val="18"/>
              </w:rPr>
            </w:r>
            <w:r>
              <w:rPr>
                <w:sz w:val="18"/>
              </w:rPr>
              <w:t>Orta-yüksek (%60)</w:t>
            </w:r>
          </w:p>
        </w:tc>
        <w:tc>
          <w:tcPr>
            <w:tcW w:type="dxa" w:w="1560"/>
          </w:tcPr>
          <w:p>
            <w:r>
              <w:rPr>
                <w:sz w:val="18"/>
              </w:rPr>
            </w:r>
            <w:r>
              <w:rPr>
                <w:sz w:val="18"/>
              </w:rPr>
              <w:t>kaldıraçlı şirketlerde temerrüt</w:t>
            </w:r>
          </w:p>
        </w:tc>
        <w:tc>
          <w:tcPr>
            <w:tcW w:type="dxa" w:w="1560"/>
          </w:tcPr>
          <w:p>
            <w:r>
              <w:rPr>
                <w:sz w:val="18"/>
              </w:rPr>
            </w:r>
            <w:r>
              <w:rPr>
                <w:sz w:val="18"/>
              </w:rPr>
              <w:t>finansal</w:t>
            </w:r>
          </w:p>
        </w:tc>
      </w:tr>
      <w:tr>
        <w:tc>
          <w:tcPr>
            <w:tcW w:type="dxa" w:w="1560"/>
          </w:tcPr>
          <w:p>
            <w:r>
              <w:rPr>
                <w:sz w:val="18"/>
              </w:rPr>
            </w:r>
            <w:r>
              <w:rPr>
                <w:sz w:val="18"/>
              </w:rPr>
              <w:t>B — Jeopolitik stagflasyon</w:t>
            </w:r>
          </w:p>
        </w:tc>
        <w:tc>
          <w:tcPr>
            <w:tcW w:type="dxa" w:w="1560"/>
          </w:tcPr>
          <w:p>
            <w:r>
              <w:rPr>
                <w:sz w:val="18"/>
              </w:rPr>
            </w:r>
            <w:r>
              <w:rPr>
                <w:sz w:val="18"/>
              </w:rPr>
              <w:t>24 ay</w:t>
            </w:r>
          </w:p>
        </w:tc>
        <w:tc>
          <w:tcPr>
            <w:tcW w:type="dxa" w:w="1560"/>
          </w:tcPr>
          <w:p>
            <w:r>
              <w:rPr>
                <w:sz w:val="18"/>
              </w:rPr>
            </w:r>
            <w:r>
              <w:rPr>
                <w:sz w:val="18"/>
              </w:rPr>
              <w:t>—</w:t>
            </w:r>
          </w:p>
        </w:tc>
        <w:tc>
          <w:tcPr>
            <w:tcW w:type="dxa" w:w="1560"/>
          </w:tcPr>
          <w:p>
            <w:r>
              <w:rPr>
                <w:sz w:val="18"/>
              </w:rPr>
            </w:r>
            <w:r>
              <w:rPr>
                <w:sz w:val="18"/>
              </w:rPr>
              <w:t>Düşük-orta (%25)</w:t>
            </w:r>
          </w:p>
        </w:tc>
        <w:tc>
          <w:tcPr>
            <w:tcW w:type="dxa" w:w="1560"/>
          </w:tcPr>
          <w:p>
            <w:r>
              <w:rPr>
                <w:sz w:val="18"/>
              </w:rPr>
            </w:r>
            <w:r>
              <w:rPr>
                <w:sz w:val="18"/>
              </w:rPr>
              <w:t>çift yönlü maliyet+talep</w:t>
            </w:r>
          </w:p>
        </w:tc>
        <w:tc>
          <w:tcPr>
            <w:tcW w:type="dxa" w:w="1560"/>
          </w:tcPr>
          <w:p>
            <w:r>
              <w:rPr>
                <w:sz w:val="18"/>
              </w:rPr>
            </w:r>
            <w:r>
              <w:rPr>
                <w:sz w:val="18"/>
              </w:rPr>
              <w:t>makro</w:t>
            </w:r>
          </w:p>
        </w:tc>
      </w:tr>
      <w:tr>
        <w:tc>
          <w:tcPr>
            <w:tcW w:type="dxa" w:w="1560"/>
          </w:tcPr>
          <w:p>
            <w:r>
              <w:rPr>
                <w:sz w:val="18"/>
              </w:rPr>
            </w:r>
            <w:r>
              <w:rPr>
                <w:sz w:val="18"/>
              </w:rPr>
              <w:t>Baz — Kısıtlayıcı ama işleyen</w:t>
            </w:r>
          </w:p>
        </w:tc>
        <w:tc>
          <w:tcPr>
            <w:tcW w:type="dxa" w:w="1560"/>
          </w:tcPr>
          <w:p>
            <w:r>
              <w:rPr>
                <w:sz w:val="18"/>
              </w:rPr>
            </w:r>
            <w:r>
              <w:rPr>
                <w:sz w:val="18"/>
              </w:rPr>
              <w:t>24–36 ay</w:t>
            </w:r>
          </w:p>
        </w:tc>
        <w:tc>
          <w:tcPr>
            <w:tcW w:type="dxa" w:w="1560"/>
          </w:tcPr>
          <w:p>
            <w:r>
              <w:rPr>
                <w:sz w:val="18"/>
              </w:rPr>
            </w:r>
            <w:r>
              <w:rPr>
                <w:sz w:val="18"/>
              </w:rPr>
              <w:t>—</w:t>
            </w:r>
          </w:p>
        </w:tc>
        <w:tc>
          <w:tcPr>
            <w:tcW w:type="dxa" w:w="1560"/>
          </w:tcPr>
          <w:p>
            <w:r>
              <w:rPr>
                <w:sz w:val="18"/>
              </w:rPr>
            </w:r>
            <w:r>
              <w:rPr>
                <w:sz w:val="18"/>
              </w:rPr>
              <w:t>§11 (~%47)</w:t>
            </w:r>
          </w:p>
        </w:tc>
        <w:tc>
          <w:tcPr>
            <w:tcW w:type="dxa" w:w="1560"/>
          </w:tcPr>
          <w:p>
            <w:r>
              <w:rPr>
                <w:sz w:val="18"/>
              </w:rPr>
            </w:r>
            <w:r>
              <w:rPr>
                <w:sz w:val="18"/>
              </w:rPr>
              <w:t>büyüme sürer, zayıflar elenir</w:t>
            </w:r>
          </w:p>
        </w:tc>
        <w:tc>
          <w:tcPr>
            <w:tcW w:type="dxa" w:w="1560"/>
          </w:tcPr>
          <w:p>
            <w:r>
              <w:rPr>
                <w:sz w:val="18"/>
              </w:rPr>
            </w:r>
            <w:r>
              <w:rPr>
                <w:sz w:val="18"/>
              </w:rPr>
              <w:t>baz</w:t>
            </w:r>
          </w:p>
        </w:tc>
      </w:tr>
      <w:tr>
        <w:tc>
          <w:tcPr>
            <w:tcW w:type="dxa" w:w="1560"/>
          </w:tcPr>
          <w:p>
            <w:r>
              <w:rPr>
                <w:sz w:val="18"/>
              </w:rPr>
            </w:r>
            <w:r>
              <w:rPr>
                <w:sz w:val="18"/>
              </w:rPr>
              <w:t>Pozitif — Yumuşak iniş</w:t>
            </w:r>
          </w:p>
        </w:tc>
        <w:tc>
          <w:tcPr>
            <w:tcW w:type="dxa" w:w="1560"/>
          </w:tcPr>
          <w:p>
            <w:r>
              <w:rPr>
                <w:sz w:val="18"/>
              </w:rPr>
            </w:r>
            <w:r>
              <w:rPr>
                <w:sz w:val="18"/>
              </w:rPr>
              <w:t>24–36 ay</w:t>
            </w:r>
          </w:p>
        </w:tc>
        <w:tc>
          <w:tcPr>
            <w:tcW w:type="dxa" w:w="1560"/>
          </w:tcPr>
          <w:p>
            <w:r>
              <w:rPr>
                <w:sz w:val="18"/>
              </w:rPr>
            </w:r>
            <w:r>
              <w:rPr>
                <w:sz w:val="18"/>
              </w:rPr>
              <w:t>—</w:t>
            </w:r>
          </w:p>
        </w:tc>
        <w:tc>
          <w:tcPr>
            <w:tcW w:type="dxa" w:w="1560"/>
          </w:tcPr>
          <w:p>
            <w:r>
              <w:rPr>
                <w:sz w:val="18"/>
              </w:rPr>
            </w:r>
            <w:r>
              <w:rPr>
                <w:sz w:val="18"/>
              </w:rPr>
              <w:t>§11 (~%35 makro)</w:t>
            </w:r>
          </w:p>
        </w:tc>
        <w:tc>
          <w:tcPr>
            <w:tcW w:type="dxa" w:w="1560"/>
          </w:tcPr>
          <w:p>
            <w:r>
              <w:rPr>
                <w:sz w:val="18"/>
              </w:rPr>
            </w:r>
            <w:r>
              <w:rPr>
                <w:sz w:val="18"/>
              </w:rPr>
              <w:t>birim ekonomi iyileşir</w:t>
            </w:r>
          </w:p>
        </w:tc>
        <w:tc>
          <w:tcPr>
            <w:tcW w:type="dxa" w:w="1560"/>
          </w:tcPr>
          <w:p>
            <w:r>
              <w:rPr>
                <w:sz w:val="18"/>
              </w:rPr>
            </w:r>
            <w:r>
              <w:rPr>
                <w:sz w:val="18"/>
              </w:rPr>
              <w:t>pozitif</w:t>
            </w:r>
          </w:p>
        </w:tc>
      </w:tr>
    </w:tbl>
    <w:p/>
    <w:p>
      <w:r>
        <w:rPr>
          <w:i/>
          <w:color w:val="444444"/>
          <w:sz w:val="19"/>
        </w:rPr>
        <w:t>Kaynak: §6 şirket verileri ve §8.4–8.5 makro verileri. Tarih: 13 Temmuz 2026. Olasılıklar §2.6 şeffaf sözel→sayısal eşlemesine dayanır; ampirik kalibre model değildir. Güven: düşük-orta.</w:t>
      </w:r>
    </w:p>
    <w:p>
      <w:pPr>
        <w:pStyle w:val="Heading1"/>
      </w:pPr>
      <w:r>
        <w:t>9. Erken Uyarı Gösterge Paneli</w:t>
      </w:r>
    </w:p>
    <w:p>
      <w:r>
        <w:t xml:space="preserve">Bu panel, §4.3'teki iki köşeye karşılık gelen iki risk tipini izler: </w:t>
      </w:r>
      <w:r>
        <w:rPr>
          <w:b/>
        </w:rPr>
        <w:t>likidite/kredi riski</w:t>
      </w:r>
      <w:r>
        <w:t xml:space="preserve"> (sağ-alt kadran, neo-cloud) ve </w:t>
      </w:r>
      <w:r>
        <w:rPr>
          <w:b/>
        </w:rPr>
        <w:t>fiziksel/jeopolitik risk</w:t>
      </w:r>
      <w:r>
        <w:t xml:space="preserve"> (sol-üst kadran, TSMC). Her gösterge için bir eşik ve bu eşiğin ne anlama geldiği belirtilir. Eşikler analist yargısına dayalı referans değerlerdir; kesin tetik noktaları değildir.</w:t>
      </w:r>
    </w:p>
    <w:p>
      <w:pPr>
        <w:pStyle w:val="Heading2"/>
      </w:pPr>
      <w:r>
        <w:t>9.1 Finansal / likidite göstergeleri (neo-cloud ve kaldıraçlı katman)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Gösterge</w:t>
            </w:r>
          </w:p>
        </w:tc>
        <w:tc>
          <w:tcPr>
            <w:tcW w:type="dxa" w:w="2340"/>
            <w:shd w:val="clear" w:color="auto" w:fill="D9D9D9"/>
          </w:tcPr>
          <w:p>
            <w:r>
              <w:rPr>
                <w:b/>
                <w:sz w:val="18"/>
              </w:rPr>
            </w:r>
            <w:r>
              <w:rPr>
                <w:b/>
                <w:sz w:val="18"/>
              </w:rPr>
              <w:t>İzlenecek eşik</w:t>
            </w:r>
          </w:p>
        </w:tc>
        <w:tc>
          <w:tcPr>
            <w:tcW w:type="dxa" w:w="2340"/>
            <w:shd w:val="clear" w:color="auto" w:fill="D9D9D9"/>
          </w:tcPr>
          <w:p>
            <w:r>
              <w:rPr>
                <w:b/>
                <w:sz w:val="18"/>
              </w:rPr>
            </w:r>
            <w:r>
              <w:rPr>
                <w:b/>
                <w:sz w:val="18"/>
              </w:rPr>
              <w:t>Anlamı</w:t>
            </w:r>
          </w:p>
        </w:tc>
        <w:tc>
          <w:tcPr>
            <w:tcW w:type="dxa" w:w="2340"/>
            <w:shd w:val="clear" w:color="auto" w:fill="D9D9D9"/>
          </w:tcPr>
          <w:p>
            <w:r>
              <w:rPr>
                <w:b/>
                <w:sz w:val="18"/>
              </w:rPr>
            </w:r>
            <w:r>
              <w:rPr>
                <w:b/>
                <w:sz w:val="18"/>
              </w:rPr>
              <w:t>İlgili şirket</w:t>
            </w:r>
          </w:p>
        </w:tc>
      </w:tr>
      <w:tr>
        <w:tc>
          <w:tcPr>
            <w:tcW w:type="dxa" w:w="2340"/>
          </w:tcPr>
          <w:p>
            <w:r>
              <w:rPr>
                <w:sz w:val="18"/>
              </w:rPr>
            </w:r>
            <w:r>
              <w:rPr>
                <w:sz w:val="18"/>
              </w:rPr>
              <w:t>GPU saatlik kira fiyatı</w:t>
            </w:r>
          </w:p>
        </w:tc>
        <w:tc>
          <w:tcPr>
            <w:tcW w:type="dxa" w:w="2340"/>
          </w:tcPr>
          <w:p>
            <w:r>
              <w:rPr>
                <w:sz w:val="18"/>
              </w:rPr>
            </w:r>
            <w:r>
              <w:rPr>
                <w:sz w:val="18"/>
              </w:rPr>
              <w:t>trendde çift haneli düşüş</w:t>
            </w:r>
          </w:p>
        </w:tc>
        <w:tc>
          <w:tcPr>
            <w:tcW w:type="dxa" w:w="2340"/>
          </w:tcPr>
          <w:p>
            <w:r>
              <w:rPr>
                <w:sz w:val="18"/>
              </w:rPr>
            </w:r>
            <w:r>
              <w:rPr>
                <w:sz w:val="18"/>
              </w:rPr>
              <w:t>neo-cloud gelir baskısı; temerrüt öncüsü</w:t>
            </w:r>
          </w:p>
        </w:tc>
        <w:tc>
          <w:tcPr>
            <w:tcW w:type="dxa" w:w="2340"/>
          </w:tcPr>
          <w:p>
            <w:r>
              <w:rPr>
                <w:sz w:val="18"/>
              </w:rPr>
            </w:r>
            <w:r>
              <w:rPr>
                <w:sz w:val="18"/>
              </w:rPr>
              <w:t>CoreWeave, Nebius, Lambda</w:t>
            </w:r>
          </w:p>
        </w:tc>
      </w:tr>
      <w:tr>
        <w:tc>
          <w:tcPr>
            <w:tcW w:type="dxa" w:w="2340"/>
          </w:tcPr>
          <w:p>
            <w:r>
              <w:rPr>
                <w:sz w:val="18"/>
              </w:rPr>
            </w:r>
            <w:r>
              <w:rPr>
                <w:sz w:val="18"/>
              </w:rPr>
              <w:t>CoreWeave cari oran</w:t>
            </w:r>
          </w:p>
        </w:tc>
        <w:tc>
          <w:tcPr>
            <w:tcW w:type="dxa" w:w="2340"/>
          </w:tcPr>
          <w:p>
            <w:r>
              <w:rPr>
                <w:sz w:val="18"/>
              </w:rPr>
            </w:r>
            <w:r>
              <w:rPr>
                <w:sz w:val="18"/>
              </w:rPr>
              <w:t>1,0 altı → yükseliş = olumlu; düşüş = olumsuz</w:t>
            </w:r>
          </w:p>
        </w:tc>
        <w:tc>
          <w:tcPr>
            <w:tcW w:type="dxa" w:w="2340"/>
          </w:tcPr>
          <w:p>
            <w:r>
              <w:rPr>
                <w:sz w:val="18"/>
              </w:rPr>
            </w:r>
            <w:r>
              <w:rPr>
                <w:sz w:val="18"/>
              </w:rPr>
              <w:t>kısa vadeli ödeme kapasitesi (mevcut 0,31)</w:t>
            </w:r>
          </w:p>
        </w:tc>
        <w:tc>
          <w:tcPr>
            <w:tcW w:type="dxa" w:w="2340"/>
          </w:tcPr>
          <w:p>
            <w:r>
              <w:rPr>
                <w:sz w:val="18"/>
              </w:rPr>
            </w:r>
            <w:r>
              <w:rPr>
                <w:sz w:val="18"/>
              </w:rPr>
              <w:t>CoreWeave</w:t>
            </w:r>
          </w:p>
        </w:tc>
      </w:tr>
      <w:tr>
        <w:tc>
          <w:tcPr>
            <w:tcW w:type="dxa" w:w="2340"/>
          </w:tcPr>
          <w:p>
            <w:r>
              <w:rPr>
                <w:sz w:val="18"/>
              </w:rPr>
            </w:r>
            <w:r>
              <w:rPr>
                <w:sz w:val="18"/>
              </w:rPr>
              <w:t>DDTL covenant eşikleri</w:t>
            </w:r>
          </w:p>
        </w:tc>
        <w:tc>
          <w:tcPr>
            <w:tcW w:type="dxa" w:w="2340"/>
          </w:tcPr>
          <w:p>
            <w:r>
              <w:rPr>
                <w:sz w:val="18"/>
              </w:rPr>
            </w:r>
            <w:r>
              <w:rPr>
                <w:b/>
                <w:sz w:val="18"/>
              </w:rPr>
              <w:t>bilinmiyor</w:t>
            </w:r>
            <w:r>
              <w:rPr>
                <w:sz w:val="18"/>
              </w:rPr>
              <w:t xml:space="preserve"> (§10)</w:t>
            </w:r>
          </w:p>
        </w:tc>
        <w:tc>
          <w:tcPr>
            <w:tcW w:type="dxa" w:w="2340"/>
          </w:tcPr>
          <w:p>
            <w:r>
              <w:rPr>
                <w:sz w:val="18"/>
              </w:rPr>
            </w:r>
            <w:r>
              <w:rPr>
                <w:sz w:val="18"/>
              </w:rPr>
              <w:t>kredi geri çağırma noktası; kamuya kapalı</w:t>
            </w:r>
          </w:p>
        </w:tc>
        <w:tc>
          <w:tcPr>
            <w:tcW w:type="dxa" w:w="2340"/>
          </w:tcPr>
          <w:p>
            <w:r>
              <w:rPr>
                <w:sz w:val="18"/>
              </w:rPr>
            </w:r>
            <w:r>
              <w:rPr>
                <w:sz w:val="18"/>
              </w:rPr>
              <w:t>CoreWeave</w:t>
            </w:r>
          </w:p>
        </w:tc>
      </w:tr>
      <w:tr>
        <w:tc>
          <w:tcPr>
            <w:tcW w:type="dxa" w:w="2340"/>
          </w:tcPr>
          <w:p>
            <w:r>
              <w:rPr>
                <w:sz w:val="18"/>
              </w:rPr>
            </w:r>
            <w:r>
              <w:rPr>
                <w:sz w:val="18"/>
              </w:rPr>
              <w:t>SOFR spread / değişken faiz</w:t>
            </w:r>
          </w:p>
        </w:tc>
        <w:tc>
          <w:tcPr>
            <w:tcW w:type="dxa" w:w="2340"/>
          </w:tcPr>
          <w:p>
            <w:r>
              <w:rPr>
                <w:sz w:val="18"/>
              </w:rPr>
            </w:r>
            <w:r>
              <w:rPr>
                <w:sz w:val="18"/>
              </w:rPr>
              <w:t>spread genişlemesi</w:t>
            </w:r>
          </w:p>
        </w:tc>
        <w:tc>
          <w:tcPr>
            <w:tcW w:type="dxa" w:w="2340"/>
          </w:tcPr>
          <w:p>
            <w:r>
              <w:rPr>
                <w:sz w:val="18"/>
              </w:rPr>
            </w:r>
            <w:r>
              <w:rPr>
                <w:sz w:val="18"/>
              </w:rPr>
              <w:t>değişken faizli borç servis maliyeti</w:t>
            </w:r>
          </w:p>
        </w:tc>
        <w:tc>
          <w:tcPr>
            <w:tcW w:type="dxa" w:w="2340"/>
          </w:tcPr>
          <w:p>
            <w:r>
              <w:rPr>
                <w:sz w:val="18"/>
              </w:rPr>
            </w:r>
            <w:r>
              <w:rPr>
                <w:sz w:val="18"/>
              </w:rPr>
              <w:t>CoreWeave, SMCI</w:t>
            </w:r>
          </w:p>
        </w:tc>
      </w:tr>
      <w:tr>
        <w:tc>
          <w:tcPr>
            <w:tcW w:type="dxa" w:w="2340"/>
          </w:tcPr>
          <w:p>
            <w:r>
              <w:rPr>
                <w:sz w:val="18"/>
              </w:rPr>
            </w:r>
            <w:r>
              <w:rPr>
                <w:sz w:val="18"/>
              </w:rPr>
              <w:t>Hyperscaler capex/OCF</w:t>
            </w:r>
          </w:p>
        </w:tc>
        <w:tc>
          <w:tcPr>
            <w:tcW w:type="dxa" w:w="2340"/>
          </w:tcPr>
          <w:p>
            <w:r>
              <w:rPr>
                <w:sz w:val="18"/>
              </w:rPr>
            </w:r>
            <w:r>
              <w:rPr>
                <w:sz w:val="18"/>
              </w:rPr>
              <w:t>%100'e yaklaşma ve üzeri</w:t>
            </w:r>
          </w:p>
        </w:tc>
        <w:tc>
          <w:tcPr>
            <w:tcW w:type="dxa" w:w="2340"/>
          </w:tcPr>
          <w:p>
            <w:r>
              <w:rPr>
                <w:sz w:val="18"/>
              </w:rPr>
            </w:r>
            <w:r>
              <w:rPr>
                <w:sz w:val="18"/>
              </w:rPr>
              <w:t>büyüme capex'i tüm operasyonel nakdi yiyor, borç bağımlılığı</w:t>
            </w:r>
          </w:p>
        </w:tc>
        <w:tc>
          <w:tcPr>
            <w:tcW w:type="dxa" w:w="2340"/>
          </w:tcPr>
          <w:p>
            <w:r>
              <w:rPr>
                <w:sz w:val="18"/>
              </w:rPr>
            </w:r>
            <w:r>
              <w:rPr>
                <w:sz w:val="18"/>
              </w:rPr>
              <w:t>Amazon, Meta, Alphabet</w:t>
            </w:r>
          </w:p>
        </w:tc>
      </w:tr>
      <w:tr>
        <w:tc>
          <w:tcPr>
            <w:tcW w:type="dxa" w:w="2340"/>
          </w:tcPr>
          <w:p>
            <w:r>
              <w:rPr>
                <w:sz w:val="18"/>
              </w:rPr>
            </w:r>
            <w:r>
              <w:rPr>
                <w:sz w:val="18"/>
              </w:rPr>
              <w:t>Negatif FCF projeksiyonu</w:t>
            </w:r>
          </w:p>
        </w:tc>
        <w:tc>
          <w:tcPr>
            <w:tcW w:type="dxa" w:w="2340"/>
          </w:tcPr>
          <w:p>
            <w:r>
              <w:rPr>
                <w:sz w:val="18"/>
              </w:rPr>
            </w:r>
            <w:r>
              <w:rPr>
                <w:sz w:val="18"/>
              </w:rPr>
              <w:t>gerçekleşme teyidi</w:t>
            </w:r>
          </w:p>
        </w:tc>
        <w:tc>
          <w:tcPr>
            <w:tcW w:type="dxa" w:w="2340"/>
          </w:tcPr>
          <w:p>
            <w:r>
              <w:rPr>
                <w:sz w:val="18"/>
              </w:rPr>
            </w:r>
            <w:r>
              <w:rPr>
                <w:sz w:val="18"/>
              </w:rPr>
              <w:t>yatırım disiplini baskısı</w:t>
            </w:r>
          </w:p>
        </w:tc>
        <w:tc>
          <w:tcPr>
            <w:tcW w:type="dxa" w:w="2340"/>
          </w:tcPr>
          <w:p>
            <w:r>
              <w:rPr>
                <w:sz w:val="18"/>
              </w:rPr>
            </w:r>
            <w:r>
              <w:rPr>
                <w:sz w:val="18"/>
              </w:rPr>
              <w:t>Meta (2027 tahmin -24 mr $)</w:t>
            </w:r>
          </w:p>
        </w:tc>
      </w:tr>
      <w:tr>
        <w:tc>
          <w:tcPr>
            <w:tcW w:type="dxa" w:w="2340"/>
          </w:tcPr>
          <w:p>
            <w:r>
              <w:rPr>
                <w:sz w:val="18"/>
              </w:rPr>
            </w:r>
            <w:r>
              <w:rPr>
                <w:sz w:val="18"/>
              </w:rPr>
              <w:t>LLM churn / net revenue retention</w:t>
            </w:r>
          </w:p>
        </w:tc>
        <w:tc>
          <w:tcPr>
            <w:tcW w:type="dxa" w:w="2340"/>
          </w:tcPr>
          <w:p>
            <w:r>
              <w:rPr>
                <w:sz w:val="18"/>
              </w:rPr>
            </w:r>
            <w:r>
              <w:rPr>
                <w:b/>
                <w:sz w:val="18"/>
              </w:rPr>
              <w:t>bilinmiyor</w:t>
            </w:r>
            <w:r>
              <w:rPr>
                <w:sz w:val="18"/>
              </w:rPr>
              <w:t xml:space="preserve"> (§10)</w:t>
            </w:r>
          </w:p>
        </w:tc>
        <w:tc>
          <w:tcPr>
            <w:tcW w:type="dxa" w:w="2340"/>
          </w:tcPr>
          <w:p>
            <w:r>
              <w:rPr>
                <w:sz w:val="18"/>
              </w:rPr>
            </w:r>
            <w:r>
              <w:rPr>
                <w:sz w:val="18"/>
              </w:rPr>
              <w:t>ARR'nin kalıcılığı; değerleme dayanağı</w:t>
            </w:r>
          </w:p>
        </w:tc>
        <w:tc>
          <w:tcPr>
            <w:tcW w:type="dxa" w:w="2340"/>
          </w:tcPr>
          <w:p>
            <w:r>
              <w:rPr>
                <w:sz w:val="18"/>
              </w:rPr>
            </w:r>
            <w:r>
              <w:rPr>
                <w:sz w:val="18"/>
              </w:rPr>
              <w:t>OpenAI, Anthropic</w:t>
            </w:r>
          </w:p>
        </w:tc>
      </w:tr>
    </w:tbl>
    <w:p/>
    <w:p>
      <w:pPr>
        <w:pStyle w:val="Heading2"/>
      </w:pPr>
      <w:r>
        <w:t>9.2 Fiziksel / jeopolitik / enerji göstergeleri (temel katman)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Gösterge</w:t>
            </w:r>
          </w:p>
        </w:tc>
        <w:tc>
          <w:tcPr>
            <w:tcW w:type="dxa" w:w="2340"/>
            <w:shd w:val="clear" w:color="auto" w:fill="D9D9D9"/>
          </w:tcPr>
          <w:p>
            <w:r>
              <w:rPr>
                <w:b/>
                <w:sz w:val="18"/>
              </w:rPr>
            </w:r>
            <w:r>
              <w:rPr>
                <w:b/>
                <w:sz w:val="18"/>
              </w:rPr>
              <w:t>İzlenecek eşik</w:t>
            </w:r>
          </w:p>
        </w:tc>
        <w:tc>
          <w:tcPr>
            <w:tcW w:type="dxa" w:w="2340"/>
            <w:shd w:val="clear" w:color="auto" w:fill="D9D9D9"/>
          </w:tcPr>
          <w:p>
            <w:r>
              <w:rPr>
                <w:b/>
                <w:sz w:val="18"/>
              </w:rPr>
            </w:r>
            <w:r>
              <w:rPr>
                <w:b/>
                <w:sz w:val="18"/>
              </w:rPr>
              <w:t>Anlamı</w:t>
            </w:r>
          </w:p>
        </w:tc>
        <w:tc>
          <w:tcPr>
            <w:tcW w:type="dxa" w:w="2340"/>
            <w:shd w:val="clear" w:color="auto" w:fill="D9D9D9"/>
          </w:tcPr>
          <w:p>
            <w:r>
              <w:rPr>
                <w:b/>
                <w:sz w:val="18"/>
              </w:rPr>
            </w:r>
            <w:r>
              <w:rPr>
                <w:b/>
                <w:sz w:val="18"/>
              </w:rPr>
              <w:t>İlgili şirket</w:t>
            </w:r>
          </w:p>
        </w:tc>
      </w:tr>
      <w:tr>
        <w:tc>
          <w:tcPr>
            <w:tcW w:type="dxa" w:w="2340"/>
          </w:tcPr>
          <w:p>
            <w:r>
              <w:rPr>
                <w:sz w:val="18"/>
              </w:rPr>
            </w:r>
            <w:r>
              <w:rPr>
                <w:sz w:val="18"/>
              </w:rPr>
              <w:t>Tayvan Boğazı gerilimi</w:t>
            </w:r>
          </w:p>
        </w:tc>
        <w:tc>
          <w:tcPr>
            <w:tcW w:type="dxa" w:w="2340"/>
          </w:tcPr>
          <w:p>
            <w:r>
              <w:rPr>
                <w:sz w:val="18"/>
              </w:rPr>
            </w:r>
            <w:r>
              <w:rPr>
                <w:sz w:val="18"/>
              </w:rPr>
              <w:t>askeri/economic kısıtlama sinyali</w:t>
            </w:r>
          </w:p>
        </w:tc>
        <w:tc>
          <w:tcPr>
            <w:tcW w:type="dxa" w:w="2340"/>
          </w:tcPr>
          <w:p>
            <w:r>
              <w:rPr>
                <w:sz w:val="18"/>
              </w:rPr>
            </w:r>
            <w:r>
              <w:rPr>
                <w:sz w:val="18"/>
              </w:rPr>
              <w:t>ileri düğüm arz riski (en düşük olasılık / en yüksek etki)</w:t>
            </w:r>
          </w:p>
        </w:tc>
        <w:tc>
          <w:tcPr>
            <w:tcW w:type="dxa" w:w="2340"/>
          </w:tcPr>
          <w:p>
            <w:r>
              <w:rPr>
                <w:sz w:val="18"/>
              </w:rPr>
            </w:r>
            <w:r>
              <w:rPr>
                <w:sz w:val="18"/>
              </w:rPr>
              <w:t>TSMC, NVIDIA, AMD, Broadcom, Apple</w:t>
            </w:r>
          </w:p>
        </w:tc>
      </w:tr>
      <w:tr>
        <w:tc>
          <w:tcPr>
            <w:tcW w:type="dxa" w:w="2340"/>
          </w:tcPr>
          <w:p>
            <w:r>
              <w:rPr>
                <w:sz w:val="18"/>
              </w:rPr>
            </w:r>
            <w:r>
              <w:rPr>
                <w:sz w:val="18"/>
              </w:rPr>
              <w:t>TSMC ileri düğüm gelir payı</w:t>
            </w:r>
          </w:p>
        </w:tc>
        <w:tc>
          <w:tcPr>
            <w:tcW w:type="dxa" w:w="2340"/>
          </w:tcPr>
          <w:p>
            <w:r>
              <w:rPr>
                <w:sz w:val="18"/>
              </w:rPr>
            </w:r>
            <w:r>
              <w:rPr>
                <w:sz w:val="18"/>
              </w:rPr>
              <w:t>%74'ten belirgin sapma</w:t>
            </w:r>
          </w:p>
        </w:tc>
        <w:tc>
          <w:tcPr>
            <w:tcW w:type="dxa" w:w="2340"/>
          </w:tcPr>
          <w:p>
            <w:r>
              <w:rPr>
                <w:sz w:val="18"/>
              </w:rPr>
            </w:r>
            <w:r>
              <w:rPr>
                <w:sz w:val="18"/>
              </w:rPr>
              <w:t>gelir kompozisyonu (pazar payı değil); kapasite/talep dengesi</w:t>
            </w:r>
          </w:p>
        </w:tc>
        <w:tc>
          <w:tcPr>
            <w:tcW w:type="dxa" w:w="2340"/>
          </w:tcPr>
          <w:p>
            <w:r>
              <w:rPr>
                <w:sz w:val="18"/>
              </w:rPr>
            </w:r>
            <w:r>
              <w:rPr>
                <w:sz w:val="18"/>
              </w:rPr>
              <w:t>TSMC</w:t>
            </w:r>
          </w:p>
        </w:tc>
      </w:tr>
      <w:tr>
        <w:tc>
          <w:tcPr>
            <w:tcW w:type="dxa" w:w="2340"/>
          </w:tcPr>
          <w:p>
            <w:r>
              <w:rPr>
                <w:sz w:val="18"/>
              </w:rPr>
            </w:r>
            <w:r>
              <w:rPr>
                <w:sz w:val="18"/>
              </w:rPr>
              <w:t>10 yıllık ABD getirisi</w:t>
            </w:r>
          </w:p>
        </w:tc>
        <w:tc>
          <w:tcPr>
            <w:tcW w:type="dxa" w:w="2340"/>
          </w:tcPr>
          <w:p>
            <w:r>
              <w:rPr>
                <w:sz w:val="18"/>
              </w:rPr>
            </w:r>
            <w:r>
              <w:rPr>
                <w:sz w:val="18"/>
              </w:rPr>
              <w:t>%4,44'ten yukarı ivme</w:t>
            </w:r>
          </w:p>
        </w:tc>
        <w:tc>
          <w:tcPr>
            <w:tcW w:type="dxa" w:w="2340"/>
          </w:tcPr>
          <w:p>
            <w:r>
              <w:rPr>
                <w:sz w:val="18"/>
              </w:rPr>
            </w:r>
            <w:r>
              <w:rPr>
                <w:sz w:val="18"/>
              </w:rPr>
              <w:t>borçlanma maliyeti; değerleme baskısı</w:t>
            </w:r>
          </w:p>
        </w:tc>
        <w:tc>
          <w:tcPr>
            <w:tcW w:type="dxa" w:w="2340"/>
          </w:tcPr>
          <w:p>
            <w:r>
              <w:rPr>
                <w:sz w:val="18"/>
              </w:rPr>
            </w:r>
            <w:r>
              <w:rPr>
                <w:sz w:val="18"/>
              </w:rPr>
              <w:t>tüm kaldıraçlı şirketler</w:t>
            </w:r>
          </w:p>
        </w:tc>
      </w:tr>
      <w:tr>
        <w:tc>
          <w:tcPr>
            <w:tcW w:type="dxa" w:w="2340"/>
          </w:tcPr>
          <w:p>
            <w:r>
              <w:rPr>
                <w:sz w:val="18"/>
              </w:rPr>
            </w:r>
            <w:r>
              <w:rPr>
                <w:sz w:val="18"/>
              </w:rPr>
              <w:t>Brent petrol</w:t>
            </w:r>
          </w:p>
        </w:tc>
        <w:tc>
          <w:tcPr>
            <w:tcW w:type="dxa" w:w="2340"/>
          </w:tcPr>
          <w:p>
            <w:r>
              <w:rPr>
                <w:sz w:val="18"/>
              </w:rPr>
            </w:r>
            <w:r>
              <w:rPr>
                <w:sz w:val="18"/>
              </w:rPr>
              <w:t>100 $ üzeri</w:t>
            </w:r>
          </w:p>
        </w:tc>
        <w:tc>
          <w:tcPr>
            <w:tcW w:type="dxa" w:w="2340"/>
          </w:tcPr>
          <w:p>
            <w:r>
              <w:rPr>
                <w:sz w:val="18"/>
              </w:rPr>
            </w:r>
            <w:r>
              <w:rPr>
                <w:sz w:val="18"/>
              </w:rPr>
              <w:t>enerji maliyeti; veri merkezi operasyon gideri</w:t>
            </w:r>
          </w:p>
        </w:tc>
        <w:tc>
          <w:tcPr>
            <w:tcW w:type="dxa" w:w="2340"/>
          </w:tcPr>
          <w:p>
            <w:r>
              <w:rPr>
                <w:sz w:val="18"/>
              </w:rPr>
            </w:r>
            <w:r>
              <w:rPr>
                <w:sz w:val="18"/>
              </w:rPr>
              <w:t>Constellation (olumlu), veri merkezleri (olumsuz)</w:t>
            </w:r>
          </w:p>
        </w:tc>
      </w:tr>
      <w:tr>
        <w:tc>
          <w:tcPr>
            <w:tcW w:type="dxa" w:w="2340"/>
          </w:tcPr>
          <w:p>
            <w:r>
              <w:rPr>
                <w:sz w:val="18"/>
              </w:rPr>
            </w:r>
            <w:r>
              <w:rPr>
                <w:sz w:val="18"/>
              </w:rPr>
              <w:t>Elektrik / şebeke kapasitesi</w:t>
            </w:r>
          </w:p>
        </w:tc>
        <w:tc>
          <w:tcPr>
            <w:tcW w:type="dxa" w:w="2340"/>
          </w:tcPr>
          <w:p>
            <w:r>
              <w:rPr>
                <w:sz w:val="18"/>
              </w:rPr>
            </w:r>
            <w:r>
              <w:rPr>
                <w:sz w:val="18"/>
              </w:rPr>
              <w:t>bağlantı kuyruğu uzaması</w:t>
            </w:r>
          </w:p>
        </w:tc>
        <w:tc>
          <w:tcPr>
            <w:tcW w:type="dxa" w:w="2340"/>
          </w:tcPr>
          <w:p>
            <w:r>
              <w:rPr>
                <w:sz w:val="18"/>
              </w:rPr>
            </w:r>
            <w:r>
              <w:rPr>
                <w:sz w:val="18"/>
              </w:rPr>
              <w:t>çip arzından bağımsız büyüme darboğazı</w:t>
            </w:r>
          </w:p>
        </w:tc>
        <w:tc>
          <w:tcPr>
            <w:tcW w:type="dxa" w:w="2340"/>
          </w:tcPr>
          <w:p>
            <w:r>
              <w:rPr>
                <w:sz w:val="18"/>
              </w:rPr>
            </w:r>
            <w:r>
              <w:rPr>
                <w:sz w:val="18"/>
              </w:rPr>
              <w:t>Constellation, hyperscaler</w:t>
            </w:r>
          </w:p>
        </w:tc>
      </w:tr>
      <w:tr>
        <w:tc>
          <w:tcPr>
            <w:tcW w:type="dxa" w:w="2340"/>
          </w:tcPr>
          <w:p>
            <w:r>
              <w:rPr>
                <w:sz w:val="18"/>
              </w:rPr>
            </w:r>
            <w:r>
              <w:rPr>
                <w:sz w:val="18"/>
              </w:rPr>
              <w:t>ASML sipariş / backlog</w:t>
            </w:r>
          </w:p>
        </w:tc>
        <w:tc>
          <w:tcPr>
            <w:tcW w:type="dxa" w:w="2340"/>
          </w:tcPr>
          <w:p>
            <w:r>
              <w:rPr>
                <w:sz w:val="18"/>
              </w:rPr>
            </w:r>
            <w:r>
              <w:rPr>
                <w:sz w:val="18"/>
              </w:rPr>
              <w:t>belirgin düşüş</w:t>
            </w:r>
          </w:p>
        </w:tc>
        <w:tc>
          <w:tcPr>
            <w:tcW w:type="dxa" w:w="2340"/>
          </w:tcPr>
          <w:p>
            <w:r>
              <w:rPr>
                <w:sz w:val="18"/>
              </w:rPr>
            </w:r>
            <w:r>
              <w:rPr>
                <w:sz w:val="18"/>
              </w:rPr>
              <w:t>talep şokunun upstream'e ulaşması (gecikmeli)</w:t>
            </w:r>
          </w:p>
        </w:tc>
        <w:tc>
          <w:tcPr>
            <w:tcW w:type="dxa" w:w="2340"/>
          </w:tcPr>
          <w:p>
            <w:r>
              <w:rPr>
                <w:sz w:val="18"/>
              </w:rPr>
            </w:r>
            <w:r>
              <w:rPr>
                <w:sz w:val="18"/>
              </w:rPr>
              <w:t>ASML</w:t>
            </w:r>
          </w:p>
        </w:tc>
      </w:tr>
    </w:tbl>
    <w:p/>
    <w:p>
      <w:pPr>
        <w:pStyle w:val="Heading2"/>
      </w:pPr>
      <w:r>
        <w:t>9.3 Panelin kullanımı</w:t>
      </w:r>
    </w:p>
    <w:p>
      <w:pPr>
        <w:pStyle w:val="ListBullet"/>
      </w:pPr>
      <w:r>
        <w:rPr>
          <w:b/>
        </w:rPr>
        <w:t>İki ayrı alarm seti:</w:t>
      </w:r>
      <w:r>
        <w:t xml:space="preserve"> Finansal göstergeler (§9.1) neo-cloud/kaldıraç riskini, fiziksel göstergeler (§9.2) TSMC/temel katman riskini izler. İkisi farklı zaman ufkunda ve farklı kanaldan çalışır; tek bir "AI risk göstergesi" yoktur.</w:t>
      </w:r>
    </w:p>
    <w:p>
      <w:pPr>
        <w:pStyle w:val="ListBullet"/>
      </w:pPr>
      <w:r>
        <w:rPr>
          <w:b/>
        </w:rPr>
        <w:t>En erken finansal sinyal:</w:t>
      </w:r>
      <w:r>
        <w:t xml:space="preserve"> GPU kira fiyatı + CoreWeave cari oranı + covenant durumu. Bu üçü neo-cloud temerrüdünün öncülleridir.</w:t>
      </w:r>
    </w:p>
    <w:p>
      <w:pPr>
        <w:pStyle w:val="ListBullet"/>
      </w:pPr>
      <w:r>
        <w:rPr>
          <w:b/>
        </w:rPr>
        <w:t>En kritik ama en geç fark edilen:</w:t>
      </w:r>
      <w:r>
        <w:t xml:space="preserve"> Tayvan Boğazı gerilimi. Finansal verilerle görünmez; bu yüzden ayrı bir izleme gerektirir.</w:t>
      </w:r>
    </w:p>
    <w:p>
      <w:pPr>
        <w:pStyle w:val="ListBullet"/>
      </w:pPr>
      <w:r>
        <w:rPr>
          <w:b/>
        </w:rPr>
        <w:t>Bilgi boşlukları:</w:t>
      </w:r>
      <w:r>
        <w:t xml:space="preserve"> Covenant eşikleri, LLM churn ve tahvil alıcı demografisi kamuya kapalıdır; bu göstergeler "bilinmiyor" olarak işaretlenmiştir ve §10'da veri ihtiyacı olarak listelenir.</w:t>
      </w:r>
    </w:p>
    <w:p>
      <w:r>
        <w:rPr>
          <w:i/>
          <w:color w:val="444444"/>
          <w:sz w:val="19"/>
        </w:rPr>
        <w:t>Kaynak: §6 şirket verileri, §8.4–8.5 makro verileri ve §8 senaryo şablonlarından türetilmiştir. Tarih: 13 Temmuz 2026. Eşikler analist yargısına dayalı referans değerlerdir. Güven: orta.</w:t>
      </w:r>
    </w:p>
    <w:p>
      <w:pPr>
        <w:pStyle w:val="Heading1"/>
      </w:pPr>
      <w:r>
        <w:t>10. Kör Noktalar ve Veri İhtiyaçları</w:t>
      </w:r>
    </w:p>
    <w:p>
      <w:r>
        <w:t xml:space="preserve">Bu bölüm, raporun ulaşamadığı ama sonucu doğrudan etkileyen verileri listeler. Bunlar raporun zayıflığı değil, </w:t>
      </w:r>
      <w:r>
        <w:rPr>
          <w:b/>
        </w:rPr>
        <w:t>kamuya kapalı bilgi boşluklarıdır</w:t>
      </w:r>
      <w:r>
        <w:t>; her biri "bilinmiyor / hesaplanamaz" olarak etiketlenmiştir ve ilgili analizde bu belirsizlik korunmuştur.</w:t>
      </w:r>
    </w:p>
    <w:p>
      <w:pPr>
        <w:pStyle w:val="Heading2"/>
      </w:pPr>
      <w:r>
        <w:t>10.1 Kritik bilgi boşlukları</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D9D9D9"/>
          </w:tcPr>
          <w:p>
            <w:r>
              <w:rPr>
                <w:b/>
                <w:sz w:val="18"/>
              </w:rPr>
            </w:r>
            <w:r>
              <w:rPr>
                <w:b/>
                <w:sz w:val="18"/>
              </w:rPr>
              <w:t>#</w:t>
            </w:r>
          </w:p>
        </w:tc>
        <w:tc>
          <w:tcPr>
            <w:tcW w:type="dxa" w:w="2340"/>
            <w:shd w:val="clear" w:color="auto" w:fill="D9D9D9"/>
          </w:tcPr>
          <w:p>
            <w:r>
              <w:rPr>
                <w:b/>
                <w:sz w:val="18"/>
              </w:rPr>
            </w:r>
            <w:r>
              <w:rPr>
                <w:b/>
                <w:sz w:val="18"/>
              </w:rPr>
              <w:t>Boşluk</w:t>
            </w:r>
          </w:p>
        </w:tc>
        <w:tc>
          <w:tcPr>
            <w:tcW w:type="dxa" w:w="2340"/>
            <w:shd w:val="clear" w:color="auto" w:fill="D9D9D9"/>
          </w:tcPr>
          <w:p>
            <w:r>
              <w:rPr>
                <w:b/>
                <w:sz w:val="18"/>
              </w:rPr>
            </w:r>
            <w:r>
              <w:rPr>
                <w:b/>
                <w:sz w:val="18"/>
              </w:rPr>
              <w:t>Neden kritik</w:t>
            </w:r>
          </w:p>
        </w:tc>
        <w:tc>
          <w:tcPr>
            <w:tcW w:type="dxa" w:w="2340"/>
            <w:shd w:val="clear" w:color="auto" w:fill="D9D9D9"/>
          </w:tcPr>
          <w:p>
            <w:r>
              <w:rPr>
                <w:b/>
                <w:sz w:val="18"/>
              </w:rPr>
            </w:r>
            <w:r>
              <w:rPr>
                <w:b/>
                <w:sz w:val="18"/>
              </w:rPr>
              <w:t>Etkilenen analiz</w:t>
            </w:r>
          </w:p>
        </w:tc>
      </w:tr>
      <w:tr>
        <w:tc>
          <w:tcPr>
            <w:tcW w:type="dxa" w:w="2340"/>
          </w:tcPr>
          <w:p>
            <w:r>
              <w:rPr>
                <w:sz w:val="18"/>
              </w:rPr>
            </w:r>
            <w:r>
              <w:rPr>
                <w:sz w:val="18"/>
              </w:rPr>
              <w:t>1</w:t>
            </w:r>
          </w:p>
        </w:tc>
        <w:tc>
          <w:tcPr>
            <w:tcW w:type="dxa" w:w="2340"/>
          </w:tcPr>
          <w:p>
            <w:r>
              <w:rPr>
                <w:sz w:val="18"/>
              </w:rPr>
            </w:r>
            <w:r>
              <w:rPr>
                <w:b/>
                <w:sz w:val="18"/>
              </w:rPr>
              <w:t>CoreWeave DDTL 4.0 covenant eşikleri</w:t>
            </w:r>
          </w:p>
        </w:tc>
        <w:tc>
          <w:tcPr>
            <w:tcW w:type="dxa" w:w="2340"/>
          </w:tcPr>
          <w:p>
            <w:r>
              <w:rPr>
                <w:sz w:val="18"/>
              </w:rPr>
            </w:r>
            <w:r>
              <w:rPr>
                <w:sz w:val="18"/>
              </w:rPr>
              <w:t>Kredi geri çağırma (margin call) noktası bilinmeden temerrüt eşiği hesaplanamaz; "saatli bombanın pimi" görünmez</w:t>
            </w:r>
          </w:p>
        </w:tc>
        <w:tc>
          <w:tcPr>
            <w:tcW w:type="dxa" w:w="2340"/>
          </w:tcPr>
          <w:p>
            <w:r>
              <w:rPr>
                <w:sz w:val="18"/>
              </w:rPr>
            </w:r>
            <w:r>
              <w:rPr>
                <w:sz w:val="18"/>
              </w:rPr>
              <w:t>§8.1 sayısal eşik; §7.5 runway</w:t>
            </w:r>
          </w:p>
        </w:tc>
      </w:tr>
      <w:tr>
        <w:tc>
          <w:tcPr>
            <w:tcW w:type="dxa" w:w="2340"/>
          </w:tcPr>
          <w:p>
            <w:r>
              <w:rPr>
                <w:sz w:val="18"/>
              </w:rPr>
            </w:r>
            <w:r>
              <w:rPr>
                <w:sz w:val="18"/>
              </w:rPr>
              <w:t>2</w:t>
            </w:r>
          </w:p>
        </w:tc>
        <w:tc>
          <w:tcPr>
            <w:tcW w:type="dxa" w:w="2340"/>
          </w:tcPr>
          <w:p>
            <w:r>
              <w:rPr>
                <w:sz w:val="18"/>
              </w:rPr>
            </w:r>
            <w:r>
              <w:rPr>
                <w:b/>
                <w:sz w:val="18"/>
              </w:rPr>
              <w:t>OpenAI / Anthropic churn ve net revenue retention</w:t>
            </w:r>
          </w:p>
        </w:tc>
        <w:tc>
          <w:tcPr>
            <w:tcW w:type="dxa" w:w="2340"/>
          </w:tcPr>
          <w:p>
            <w:r>
              <w:rPr>
                <w:sz w:val="18"/>
              </w:rPr>
            </w:r>
            <w:r>
              <w:rPr>
                <w:sz w:val="18"/>
              </w:rPr>
              <w:t>ARR'nin ne kadarı tek seferlik pilot, ne kadarı çok yıllık kalıcı sözleşme bilinmiyor; trilyon $ değerlemelerin dayanağı görünmez</w:t>
            </w:r>
          </w:p>
        </w:tc>
        <w:tc>
          <w:tcPr>
            <w:tcW w:type="dxa" w:w="2340"/>
          </w:tcPr>
          <w:p>
            <w:r>
              <w:rPr>
                <w:sz w:val="18"/>
              </w:rPr>
            </w:r>
            <w:r>
              <w:rPr>
                <w:sz w:val="18"/>
              </w:rPr>
              <w:t>§4.2 hizmet kritikliği; §6.6 değerleme</w:t>
            </w:r>
          </w:p>
        </w:tc>
      </w:tr>
      <w:tr>
        <w:tc>
          <w:tcPr>
            <w:tcW w:type="dxa" w:w="2340"/>
          </w:tcPr>
          <w:p>
            <w:r>
              <w:rPr>
                <w:sz w:val="18"/>
              </w:rPr>
            </w:r>
            <w:r>
              <w:rPr>
                <w:sz w:val="18"/>
              </w:rPr>
              <w:t>3</w:t>
            </w:r>
          </w:p>
        </w:tc>
        <w:tc>
          <w:tcPr>
            <w:tcW w:type="dxa" w:w="2340"/>
          </w:tcPr>
          <w:p>
            <w:r>
              <w:rPr>
                <w:sz w:val="18"/>
              </w:rPr>
            </w:r>
            <w:r>
              <w:rPr>
                <w:b/>
                <w:sz w:val="18"/>
              </w:rPr>
              <w:t>Anthropic net nakit + cash burn</w:t>
            </w:r>
          </w:p>
        </w:tc>
        <w:tc>
          <w:tcPr>
            <w:tcW w:type="dxa" w:w="2340"/>
          </w:tcPr>
          <w:p>
            <w:r>
              <w:rPr>
                <w:sz w:val="18"/>
              </w:rPr>
            </w:r>
            <w:r>
              <w:rPr>
                <w:sz w:val="18"/>
              </w:rPr>
              <w:t>Pist (runway) hesaplanamaz; sıralamaya sokulamaz</w:t>
            </w:r>
          </w:p>
        </w:tc>
        <w:tc>
          <w:tcPr>
            <w:tcW w:type="dxa" w:w="2340"/>
          </w:tcPr>
          <w:p>
            <w:r>
              <w:rPr>
                <w:sz w:val="18"/>
              </w:rPr>
            </w:r>
            <w:r>
              <w:rPr>
                <w:sz w:val="18"/>
              </w:rPr>
              <w:t>§7.5 runway</w:t>
            </w:r>
          </w:p>
        </w:tc>
      </w:tr>
      <w:tr>
        <w:tc>
          <w:tcPr>
            <w:tcW w:type="dxa" w:w="2340"/>
          </w:tcPr>
          <w:p>
            <w:r>
              <w:rPr>
                <w:sz w:val="18"/>
              </w:rPr>
            </w:r>
            <w:r>
              <w:rPr>
                <w:sz w:val="18"/>
              </w:rPr>
              <w:t>4</w:t>
            </w:r>
          </w:p>
        </w:tc>
        <w:tc>
          <w:tcPr>
            <w:tcW w:type="dxa" w:w="2340"/>
          </w:tcPr>
          <w:p>
            <w:r>
              <w:rPr>
                <w:sz w:val="18"/>
              </w:rPr>
            </w:r>
            <w:r>
              <w:rPr>
                <w:b/>
                <w:sz w:val="18"/>
              </w:rPr>
              <w:t>OpenAI fonlama turu yapısı</w:t>
            </w:r>
          </w:p>
        </w:tc>
        <w:tc>
          <w:tcPr>
            <w:tcW w:type="dxa" w:w="2340"/>
          </w:tcPr>
          <w:p>
            <w:r>
              <w:rPr>
                <w:sz w:val="18"/>
              </w:rPr>
            </w:r>
            <w:r>
              <w:rPr>
                <w:sz w:val="18"/>
              </w:rPr>
              <w:t>122 milyar $ turun primary/secondary, taksit ve koşul ayrımı bilinmiyor</w:t>
            </w:r>
          </w:p>
        </w:tc>
        <w:tc>
          <w:tcPr>
            <w:tcW w:type="dxa" w:w="2340"/>
          </w:tcPr>
          <w:p>
            <w:r>
              <w:rPr>
                <w:sz w:val="18"/>
              </w:rPr>
            </w:r>
            <w:r>
              <w:rPr>
                <w:sz w:val="18"/>
              </w:rPr>
              <w:t>§7.5 runway</w:t>
            </w:r>
          </w:p>
        </w:tc>
      </w:tr>
      <w:tr>
        <w:tc>
          <w:tcPr>
            <w:tcW w:type="dxa" w:w="2340"/>
          </w:tcPr>
          <w:p>
            <w:r>
              <w:rPr>
                <w:sz w:val="18"/>
              </w:rPr>
            </w:r>
            <w:r>
              <w:rPr>
                <w:sz w:val="18"/>
              </w:rPr>
              <w:t>5</w:t>
            </w:r>
          </w:p>
        </w:tc>
        <w:tc>
          <w:tcPr>
            <w:tcW w:type="dxa" w:w="2340"/>
          </w:tcPr>
          <w:p>
            <w:r>
              <w:rPr>
                <w:sz w:val="18"/>
              </w:rPr>
            </w:r>
            <w:r>
              <w:rPr>
                <w:b/>
                <w:sz w:val="18"/>
              </w:rPr>
              <w:t>Amazon tahvil alıcı demografisi</w:t>
            </w:r>
          </w:p>
        </w:tc>
        <w:tc>
          <w:tcPr>
            <w:tcW w:type="dxa" w:w="2340"/>
          </w:tcPr>
          <w:p>
            <w:r>
              <w:rPr>
                <w:sz w:val="18"/>
              </w:rPr>
            </w:r>
            <w:r>
              <w:rPr>
                <w:sz w:val="18"/>
              </w:rPr>
              <w:t>25 milyar $ ihracın ne kadarı defansif emeklilik fonunda, ne kadarı kaldıraçlı hedge fonda bilinmiyor; kredi notu düşüşünde bulaşıcılık haritası çizilemez</w:t>
            </w:r>
          </w:p>
        </w:tc>
        <w:tc>
          <w:tcPr>
            <w:tcW w:type="dxa" w:w="2340"/>
          </w:tcPr>
          <w:p>
            <w:r>
              <w:rPr>
                <w:sz w:val="18"/>
              </w:rPr>
            </w:r>
            <w:r>
              <w:rPr>
                <w:sz w:val="18"/>
              </w:rPr>
              <w:t>§8.1 bulaşıcılık; makro senaryolar</w:t>
            </w:r>
          </w:p>
        </w:tc>
      </w:tr>
      <w:tr>
        <w:tc>
          <w:tcPr>
            <w:tcW w:type="dxa" w:w="2340"/>
          </w:tcPr>
          <w:p>
            <w:r>
              <w:rPr>
                <w:sz w:val="18"/>
              </w:rPr>
            </w:r>
            <w:r>
              <w:rPr>
                <w:sz w:val="18"/>
              </w:rPr>
              <w:t>6</w:t>
            </w:r>
          </w:p>
        </w:tc>
        <w:tc>
          <w:tcPr>
            <w:tcW w:type="dxa" w:w="2340"/>
          </w:tcPr>
          <w:p>
            <w:r>
              <w:rPr>
                <w:sz w:val="18"/>
              </w:rPr>
            </w:r>
            <w:r>
              <w:rPr>
                <w:b/>
                <w:sz w:val="18"/>
              </w:rPr>
              <w:t>CoreWeave backlog iptal hükümleri</w:t>
            </w:r>
          </w:p>
        </w:tc>
        <w:tc>
          <w:tcPr>
            <w:tcW w:type="dxa" w:w="2340"/>
          </w:tcPr>
          <w:p>
            <w:r>
              <w:rPr>
                <w:sz w:val="18"/>
              </w:rPr>
            </w:r>
            <w:r>
              <w:rPr>
                <w:sz w:val="18"/>
              </w:rPr>
              <w:t>99,4 milyar $ backlog'un risk olup olmadığı iptal koşulları, teslim süresi, müşteri yoğunlaşması ve marj bilinmeden yargılanamaz</w:t>
            </w:r>
          </w:p>
        </w:tc>
        <w:tc>
          <w:tcPr>
            <w:tcW w:type="dxa" w:w="2340"/>
          </w:tcPr>
          <w:p>
            <w:r>
              <w:rPr>
                <w:sz w:val="18"/>
              </w:rPr>
            </w:r>
            <w:r>
              <w:rPr>
                <w:sz w:val="18"/>
              </w:rPr>
              <w:t>§7.4 backlog değerlendirmesi</w:t>
            </w:r>
          </w:p>
        </w:tc>
      </w:tr>
      <w:tr>
        <w:tc>
          <w:tcPr>
            <w:tcW w:type="dxa" w:w="2340"/>
          </w:tcPr>
          <w:p>
            <w:r>
              <w:rPr>
                <w:sz w:val="18"/>
              </w:rPr>
            </w:r>
            <w:r>
              <w:rPr>
                <w:sz w:val="18"/>
              </w:rPr>
              <w:t>7</w:t>
            </w:r>
          </w:p>
        </w:tc>
        <w:tc>
          <w:tcPr>
            <w:tcW w:type="dxa" w:w="2340"/>
          </w:tcPr>
          <w:p>
            <w:r>
              <w:rPr>
                <w:sz w:val="18"/>
              </w:rPr>
            </w:r>
            <w:r>
              <w:rPr>
                <w:b/>
                <w:sz w:val="18"/>
              </w:rPr>
              <w:t>Bakım capex / büyüme capex ayrımı</w:t>
            </w:r>
          </w:p>
        </w:tc>
        <w:tc>
          <w:tcPr>
            <w:tcW w:type="dxa" w:w="2340"/>
          </w:tcPr>
          <w:p>
            <w:r>
              <w:rPr>
                <w:sz w:val="18"/>
              </w:rPr>
            </w:r>
            <w:r>
              <w:rPr>
                <w:sz w:val="18"/>
              </w:rPr>
              <w:t>Hyperscaler'ların capex'inin ne kadarı zorunlu (bakım), ne kadarı tercihe bağlı (büyüme) bilinmiyor</w:t>
            </w:r>
          </w:p>
        </w:tc>
        <w:tc>
          <w:tcPr>
            <w:tcW w:type="dxa" w:w="2340"/>
          </w:tcPr>
          <w:p>
            <w:r>
              <w:rPr>
                <w:sz w:val="18"/>
              </w:rPr>
            </w:r>
            <w:r>
              <w:rPr>
                <w:sz w:val="18"/>
              </w:rPr>
              <w:t>§7.2 capex/OCF yorumu</w:t>
            </w:r>
          </w:p>
        </w:tc>
      </w:tr>
    </w:tbl>
    <w:p/>
    <w:p>
      <w:pPr>
        <w:pStyle w:val="Heading2"/>
      </w:pPr>
      <w:r>
        <w:t>10.2 Çakışan / tartışmalı veriler</w:t>
      </w:r>
    </w:p>
    <w:p>
      <w:r>
        <w:t>Aşağıdaki veriler kaynaklar arasında çelişiyor veya yorumu tartışmalı; raporda "çakışma" olarak etiketlenmiştir:</w:t>
      </w:r>
    </w:p>
    <w:p>
      <w:pPr>
        <w:pStyle w:val="ListBullet"/>
      </w:pPr>
      <w:r>
        <w:rPr>
          <w:b/>
        </w:rPr>
        <w:t>Intel piyasa değeri ve %21 düşüş olayı:</w:t>
      </w:r>
      <w:r>
        <w:t xml:space="preserve"> piyasa değeri 447–512 milyar $ aralığında dalgalanıyor; 18A haberine bağlı %21 düşüşün tek nedeni ve sürdürülebilirliği kaynaklar arasında tartışmalı.</w:t>
      </w:r>
      <w:r>
        <w:rPr>
          <w:vertAlign w:val="superscript"/>
        </w:rPr>
        <w:t>27</w:t>
      </w:r>
      <w:r>
        <w:rPr>
          <w:vertAlign w:val="superscript"/>
        </w:rPr>
        <w:t>52</w:t>
      </w:r>
    </w:p>
    <w:p>
      <w:pPr>
        <w:pStyle w:val="ListBullet"/>
      </w:pPr>
      <w:r>
        <w:rPr>
          <w:b/>
        </w:rPr>
        <w:t>OpenAI %5 hisse — ABD hükümeti satışı (42,6 milyar $):</w:t>
      </w:r>
      <w:r>
        <w:t xml:space="preserve"> müzakere aşamasında; gerçekleşip gerçekleşmeyeceği belirsiz.</w:t>
      </w:r>
      <w:r>
        <w:rPr>
          <w:vertAlign w:val="superscript"/>
        </w:rPr>
        <w:t>45</w:t>
      </w:r>
    </w:p>
    <w:p>
      <w:pPr>
        <w:pStyle w:val="ListBullet"/>
      </w:pPr>
      <w:r>
        <w:rPr>
          <w:b/>
        </w:rPr>
        <w:t>Tüm piyasa değeri aralıkları:</w:t>
      </w:r>
      <w:r>
        <w:t xml:space="preserve"> hisse fiyatları gün içinde dalgalandığından, mcap değerleri aralık olarak verilmiştir ve tek bir nokta değeri değildir.</w:t>
      </w:r>
    </w:p>
    <w:p>
      <w:pPr>
        <w:pStyle w:val="Heading2"/>
      </w:pPr>
      <w:r>
        <w:t>10.3 Sonuç üzerindeki etkisi</w:t>
      </w:r>
    </w:p>
    <w:p>
      <w:r>
        <w:t xml:space="preserve">Bu boşluklar raporun ana sonucunu değiştirmez ama </w:t>
      </w:r>
      <w:r>
        <w:rPr>
          <w:b/>
        </w:rPr>
        <w:t>kesinlik derecesini</w:t>
      </w:r>
      <w:r>
        <w:t xml:space="preserve"> sınırlar:</w:t>
      </w:r>
    </w:p>
    <w:p>
      <w:pPr>
        <w:pStyle w:val="ListBullet"/>
      </w:pPr>
      <w:r>
        <w:t xml:space="preserve">Neo-cloud temerrüdünün </w:t>
      </w:r>
      <w:r>
        <w:rPr>
          <w:b/>
        </w:rPr>
        <w:t>zamanlaması</w:t>
      </w:r>
      <w:r>
        <w:t xml:space="preserve"> (covenant bilinmediğinden) net olarak öngörülemez; yalnızca yön ve kanal belirtilebilir.</w:t>
      </w:r>
    </w:p>
    <w:p>
      <w:pPr>
        <w:pStyle w:val="ListBullet"/>
      </w:pPr>
      <w:r>
        <w:t xml:space="preserve">LLM katmanının </w:t>
      </w:r>
      <w:r>
        <w:rPr>
          <w:b/>
        </w:rPr>
        <w:t>gerçek gelir kalitesi</w:t>
      </w:r>
      <w:r>
        <w:t xml:space="preserve"> bilinmediğinden, değerleme riski ölçülemez; yalnızca "yüksek belirsizlik" notu düşülebilir.</w:t>
      </w:r>
    </w:p>
    <w:p>
      <w:pPr>
        <w:pStyle w:val="ListBullet"/>
      </w:pPr>
      <w:r>
        <w:t>Rapor bu yüzden "kesin çöküş" iddiası taşımaz; olasılık aralıkları ve "yanlışlayacak kanıt" ile çerçevelenir (§8).</w:t>
      </w:r>
    </w:p>
    <w:p>
      <w:pPr>
        <w:pStyle w:val="Heading1"/>
      </w:pPr>
      <w:r>
        <w:t>11. Sonuç, Olasılık Çerçevesi ve Çıkarımlar</w:t>
      </w:r>
    </w:p>
    <w:p>
      <w:r>
        <w:t xml:space="preserve">Bu bölüm raporun bulgularını önce </w:t>
      </w:r>
      <w:r>
        <w:rPr>
          <w:b/>
        </w:rPr>
        <w:t>kötü yön ve iyi yön olasılıkları</w:t>
      </w:r>
      <w:r>
        <w:t xml:space="preserve"> olarak sayısallaştırır, sonra aksiyon odaklı çıkarımlara çevirir. </w:t>
      </w:r>
      <w:r>
        <w:rPr>
          <w:b/>
        </w:rPr>
        <w:t>Yatırım tavsiyesi değildir;</w:t>
      </w:r>
      <w:r>
        <w:t xml:space="preserve"> risk çerçevesi ve izleme önceliği sunar.</w:t>
      </w:r>
    </w:p>
    <w:p>
      <w:pPr>
        <w:ind w:left="576"/>
      </w:pPr>
      <w:r>
        <w:rPr>
          <w:b/>
          <w:i/>
          <w:color w:val="444444"/>
        </w:rPr>
        <w:t>Sayısal çerçeve uyarısı:</w:t>
      </w:r>
      <w:r>
        <w:rPr>
          <w:i/>
          <w:color w:val="444444"/>
        </w:rPr>
        <w:t xml:space="preserve"> Aşağıdaki tüm yüzdeler, §2.6'daki </w:t>
      </w:r>
      <w:r>
        <w:rPr>
          <w:b/>
          <w:i/>
          <w:color w:val="444444"/>
        </w:rPr>
        <w:t>şeffaf sözel→sayısal eşlemenin</w:t>
      </w:r>
      <w:r>
        <w:rPr>
          <w:i/>
          <w:color w:val="444444"/>
        </w:rPr>
        <w:t xml:space="preserve"> ve §8.8'deki </w:t>
      </w:r>
      <w:r>
        <w:rPr>
          <w:b/>
          <w:i/>
          <w:color w:val="444444"/>
        </w:rPr>
        <w:t>koşullu olasılık varsayımlarının</w:t>
      </w:r>
      <w:r>
        <w:rPr>
          <w:i/>
          <w:color w:val="444444"/>
        </w:rPr>
        <w:t xml:space="preserve"> uygulanmasıdır; ampirik olarak kalibre edilmiş bir model çıktısı </w:t>
      </w:r>
      <w:r>
        <w:rPr>
          <w:b/>
          <w:i/>
          <w:color w:val="444444"/>
        </w:rPr>
        <w:t>değildir</w:t>
      </w:r>
      <w:r>
        <w:rPr>
          <w:i/>
          <w:color w:val="444444"/>
        </w:rPr>
        <w:t>. Aralıklar geniştir çünkü covenant, churn, gerçek AI birim ekonomisi ve jeopolitik baz oran kamuya kapalıdır (§10).</w:t>
      </w:r>
    </w:p>
    <w:p>
      <w:pPr>
        <w:pStyle w:val="Heading2"/>
      </w:pPr>
      <w:r>
        <w:t>11.1 Senaryo olasılıkları: kötü yön ve iyi yön (karar ağacı)</w:t>
      </w:r>
    </w:p>
    <w:p>
      <w:r>
        <w:t xml:space="preserve">"İyi yön" ve "kötü yön" tek bir olayın tümleyeni değildir. Özellikle </w:t>
      </w:r>
      <w:r>
        <w:rPr>
          <w:b/>
        </w:rPr>
        <w:t>"neo-cloud temerrüdü olmazsa iyi senaryo" ifadesi yanıltıcıdır</w:t>
      </w:r>
      <w:r>
        <w:t xml:space="preserve"> — bu yalnızca o tek olayın tümleyenidir ve makro, AI birim ekonomisi, capex disiplini ve jeopolitik riskleri hesaba katmaz. Bu yüzden iyi yön, birbirini dışlayan dört kapıdan oluşan bir </w:t>
      </w:r>
      <w:r>
        <w:rPr>
          <w:b/>
        </w:rPr>
        <w:t>karar ağacında</w:t>
      </w:r>
      <w:r>
        <w:t xml:space="preserve"> tanımlanır: güçlü iyi yol, dört koşulun </w:t>
      </w:r>
      <w:r>
        <w:rPr>
          <w:b/>
        </w:rPr>
        <w:t>aynı anda</w:t>
      </w:r>
      <w:r>
        <w:t xml:space="preserve"> gerçekleşmesini gerektirir.</w:t>
      </w:r>
    </w:p>
    <w:p>
      <w:pPr>
        <w:pStyle w:val="Heading3"/>
      </w:pPr>
      <w:r>
        <w:t>Önümüzdeki 12 ay — yerel finansal stres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Yön</w:t>
            </w:r>
          </w:p>
        </w:tc>
        <w:tc>
          <w:tcPr>
            <w:tcW w:type="dxa" w:w="3120"/>
            <w:shd w:val="clear" w:color="auto" w:fill="D9D9D9"/>
          </w:tcPr>
          <w:p>
            <w:r>
              <w:rPr>
                <w:b/>
                <w:sz w:val="18"/>
              </w:rPr>
            </w:r>
            <w:r>
              <w:rPr>
                <w:b/>
                <w:sz w:val="18"/>
              </w:rPr>
              <w:t>Senaryo</w:t>
            </w:r>
          </w:p>
        </w:tc>
        <w:tc>
          <w:tcPr>
            <w:tcW w:type="dxa" w:w="3120"/>
            <w:shd w:val="clear" w:color="auto" w:fill="D9D9D9"/>
          </w:tcPr>
          <w:p>
            <w:r>
              <w:rPr>
                <w:b/>
                <w:sz w:val="18"/>
              </w:rPr>
            </w:r>
            <w:r>
              <w:rPr>
                <w:b/>
                <w:sz w:val="18"/>
              </w:rPr>
              <w:t>Olasılık (şeffaf eşleme)</w:t>
            </w:r>
          </w:p>
        </w:tc>
      </w:tr>
      <w:tr>
        <w:tc>
          <w:tcPr>
            <w:tcW w:type="dxa" w:w="3120"/>
          </w:tcPr>
          <w:p>
            <w:r>
              <w:rPr>
                <w:sz w:val="18"/>
              </w:rPr>
            </w:r>
            <w:r>
              <w:rPr>
                <w:b/>
                <w:sz w:val="18"/>
              </w:rPr>
              <w:t>Kötü yön</w:t>
            </w:r>
          </w:p>
        </w:tc>
        <w:tc>
          <w:tcPr>
            <w:tcW w:type="dxa" w:w="3120"/>
          </w:tcPr>
          <w:p>
            <w:r>
              <w:rPr>
                <w:sz w:val="18"/>
              </w:rPr>
            </w:r>
            <w:r>
              <w:rPr>
                <w:sz w:val="18"/>
              </w:rPr>
              <w:t>Neo-cloud/CoreWeave kaynaklı finansal stres</w:t>
            </w:r>
          </w:p>
        </w:tc>
        <w:tc>
          <w:tcPr>
            <w:tcW w:type="dxa" w:w="3120"/>
          </w:tcPr>
          <w:p>
            <w:r>
              <w:rPr>
                <w:sz w:val="18"/>
              </w:rPr>
            </w:r>
            <w:r>
              <w:rPr>
                <w:b/>
                <w:sz w:val="18"/>
              </w:rPr>
              <w:t>%50–70, merkez %60</w:t>
            </w:r>
            <w:r>
              <w:rPr>
                <w:sz w:val="18"/>
              </w:rPr>
              <w:t xml:space="preserve"> — çoğunlukla sınırlı kalır; fiziksel üretim durmaz</w:t>
            </w:r>
          </w:p>
        </w:tc>
      </w:tr>
      <w:tr>
        <w:tc>
          <w:tcPr>
            <w:tcW w:type="dxa" w:w="3120"/>
          </w:tcPr>
          <w:p>
            <w:r>
              <w:rPr>
                <w:sz w:val="18"/>
              </w:rPr>
            </w:r>
            <w:r>
              <w:rPr>
                <w:b/>
                <w:sz w:val="18"/>
              </w:rPr>
              <w:t>Kötü yön (uç)</w:t>
            </w:r>
          </w:p>
        </w:tc>
        <w:tc>
          <w:tcPr>
            <w:tcW w:type="dxa" w:w="3120"/>
          </w:tcPr>
          <w:p>
            <w:r>
              <w:rPr>
                <w:sz w:val="18"/>
              </w:rPr>
            </w:r>
            <w:r>
              <w:rPr>
                <w:sz w:val="18"/>
              </w:rPr>
              <w:t>12 aylık katastrofik TSMC kesintisi</w:t>
            </w:r>
          </w:p>
        </w:tc>
        <w:tc>
          <w:tcPr>
            <w:tcW w:type="dxa" w:w="3120"/>
          </w:tcPr>
          <w:p>
            <w:r>
              <w:rPr>
                <w:sz w:val="18"/>
              </w:rPr>
            </w:r>
            <w:r>
              <w:rPr>
                <w:sz w:val="18"/>
              </w:rPr>
              <w:t xml:space="preserve">36 aylık ufukta </w:t>
            </w:r>
            <w:r>
              <w:rPr>
                <w:b/>
                <w:sz w:val="18"/>
              </w:rPr>
              <w:t>~%6</w:t>
            </w:r>
            <w:r>
              <w:rPr>
                <w:sz w:val="18"/>
              </w:rPr>
              <w:t>; 12 aylık ufukta bunun altında (§8.3)</w:t>
            </w:r>
          </w:p>
        </w:tc>
      </w:tr>
      <w:tr>
        <w:tc>
          <w:tcPr>
            <w:tcW w:type="dxa" w:w="3120"/>
          </w:tcPr>
          <w:p>
            <w:r>
              <w:rPr>
                <w:sz w:val="18"/>
              </w:rPr>
            </w:r>
            <w:r>
              <w:rPr>
                <w:b/>
                <w:sz w:val="18"/>
              </w:rPr>
              <w:t>Tümleyen (iyi yön değil)</w:t>
            </w:r>
          </w:p>
        </w:tc>
        <w:tc>
          <w:tcPr>
            <w:tcW w:type="dxa" w:w="3120"/>
          </w:tcPr>
          <w:p>
            <w:r>
              <w:rPr>
                <w:sz w:val="18"/>
              </w:rPr>
            </w:r>
            <w:r>
              <w:rPr>
                <w:sz w:val="18"/>
              </w:rPr>
              <w:t xml:space="preserve">Neo-cloud finansal stresi </w:t>
            </w:r>
            <w:r>
              <w:rPr>
                <w:b/>
                <w:sz w:val="18"/>
              </w:rPr>
              <w:t>olmaması</w:t>
            </w:r>
          </w:p>
        </w:tc>
        <w:tc>
          <w:tcPr>
            <w:tcW w:type="dxa" w:w="3120"/>
          </w:tcPr>
          <w:p>
            <w:r>
              <w:rPr>
                <w:sz w:val="18"/>
              </w:rPr>
            </w:r>
            <w:r>
              <w:rPr>
                <w:b/>
                <w:sz w:val="18"/>
              </w:rPr>
              <w:t>~%40</w:t>
            </w:r>
            <w:r>
              <w:rPr>
                <w:sz w:val="18"/>
              </w:rPr>
              <w:t xml:space="preserve"> (= %100 − %60)</w:t>
            </w:r>
          </w:p>
        </w:tc>
      </w:tr>
    </w:tbl>
    <w:p/>
    <w:p>
      <w:pPr>
        <w:ind w:left="576"/>
      </w:pPr>
      <w:r>
        <w:rPr>
          <w:b/>
          <w:i/>
          <w:color w:val="444444"/>
        </w:rPr>
        <w:t>Uyarı:</w:t>
      </w:r>
      <w:r>
        <w:rPr>
          <w:i/>
          <w:color w:val="444444"/>
        </w:rPr>
        <w:t xml:space="preserve"> Yukarıdaki ~%40 bir "iyi senaryo" </w:t>
      </w:r>
      <w:r>
        <w:rPr>
          <w:b/>
          <w:i/>
          <w:color w:val="444444"/>
        </w:rPr>
        <w:t>değildir</w:t>
      </w:r>
      <w:r>
        <w:rPr>
          <w:i/>
          <w:color w:val="444444"/>
        </w:rPr>
        <w:t xml:space="preserve"> — yalnızca neo-cloud stres olayının gerçekleşmemesidir (tümleyeni). Gerçek iyi yön değerlendirmesi aşağıdaki 36 aylık karar ağacıyla yapılır.</w:t>
      </w:r>
    </w:p>
    <w:p>
      <w:pPr>
        <w:pStyle w:val="Heading3"/>
      </w:pPr>
      <w:r>
        <w:t>Önümüzdeki 24 ay — makro yön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Yön</w:t>
            </w:r>
          </w:p>
        </w:tc>
        <w:tc>
          <w:tcPr>
            <w:tcW w:type="dxa" w:w="3120"/>
            <w:shd w:val="clear" w:color="auto" w:fill="D9D9D9"/>
          </w:tcPr>
          <w:p>
            <w:r>
              <w:rPr>
                <w:b/>
                <w:sz w:val="18"/>
              </w:rPr>
            </w:r>
            <w:r>
              <w:rPr>
                <w:b/>
                <w:sz w:val="18"/>
              </w:rPr>
              <w:t>Senaryo</w:t>
            </w:r>
          </w:p>
        </w:tc>
        <w:tc>
          <w:tcPr>
            <w:tcW w:type="dxa" w:w="3120"/>
            <w:shd w:val="clear" w:color="auto" w:fill="D9D9D9"/>
          </w:tcPr>
          <w:p>
            <w:r>
              <w:rPr>
                <w:b/>
                <w:sz w:val="18"/>
              </w:rPr>
            </w:r>
            <w:r>
              <w:rPr>
                <w:b/>
                <w:sz w:val="18"/>
              </w:rPr>
              <w:t>Olasılık (şeffaf eşleme)</w:t>
            </w:r>
          </w:p>
        </w:tc>
      </w:tr>
      <w:tr>
        <w:tc>
          <w:tcPr>
            <w:tcW w:type="dxa" w:w="3120"/>
          </w:tcPr>
          <w:p>
            <w:r>
              <w:rPr>
                <w:sz w:val="18"/>
              </w:rPr>
            </w:r>
            <w:r>
              <w:rPr>
                <w:b/>
                <w:sz w:val="18"/>
              </w:rPr>
              <w:t>Kötü yön</w:t>
            </w:r>
          </w:p>
        </w:tc>
        <w:tc>
          <w:tcPr>
            <w:tcW w:type="dxa" w:w="3120"/>
          </w:tcPr>
          <w:p>
            <w:r>
              <w:rPr>
                <w:sz w:val="18"/>
              </w:rPr>
            </w:r>
            <w:r>
              <w:rPr>
                <w:sz w:val="18"/>
              </w:rPr>
              <w:t>Finansman açısından olumsuz/kısıtlayıcı makro (higher-for-longer ∪ stagflasyon, §8.8 kesişimi)</w:t>
            </w:r>
          </w:p>
        </w:tc>
        <w:tc>
          <w:tcPr>
            <w:tcW w:type="dxa" w:w="3120"/>
          </w:tcPr>
          <w:p>
            <w:r>
              <w:rPr>
                <w:sz w:val="18"/>
              </w:rPr>
            </w:r>
            <w:r>
              <w:rPr>
                <w:b/>
                <w:sz w:val="18"/>
              </w:rPr>
              <w:t>~%65</w:t>
            </w:r>
            <w:r>
              <w:rPr>
                <w:sz w:val="18"/>
              </w:rPr>
              <w:t xml:space="preserve"> (duyarlılık: %54–76)</w:t>
            </w:r>
          </w:p>
        </w:tc>
      </w:tr>
      <w:tr>
        <w:tc>
          <w:tcPr>
            <w:tcW w:type="dxa" w:w="3120"/>
          </w:tcPr>
          <w:p>
            <w:r>
              <w:rPr>
                <w:sz w:val="18"/>
              </w:rPr>
            </w:r>
            <w:r>
              <w:rPr>
                <w:b/>
                <w:sz w:val="18"/>
              </w:rPr>
              <w:t>İyi yön (makro kapısı)</w:t>
            </w:r>
          </w:p>
        </w:tc>
        <w:tc>
          <w:tcPr>
            <w:tcW w:type="dxa" w:w="3120"/>
          </w:tcPr>
          <w:p>
            <w:r>
              <w:rPr>
                <w:sz w:val="18"/>
              </w:rPr>
            </w:r>
            <w:r>
              <w:rPr>
                <w:sz w:val="18"/>
              </w:rPr>
              <w:t>Faiz rahatlaması / daha olumlu makro ortam</w:t>
            </w:r>
          </w:p>
        </w:tc>
        <w:tc>
          <w:tcPr>
            <w:tcW w:type="dxa" w:w="3120"/>
          </w:tcPr>
          <w:p>
            <w:r>
              <w:rPr>
                <w:sz w:val="18"/>
              </w:rPr>
            </w:r>
            <w:r>
              <w:rPr>
                <w:b/>
                <w:sz w:val="18"/>
              </w:rPr>
              <w:t>~%35</w:t>
            </w:r>
            <w:r>
              <w:rPr>
                <w:sz w:val="18"/>
              </w:rPr>
              <w:t xml:space="preserve"> (duyarlılık: %24–46)</w:t>
            </w:r>
          </w:p>
        </w:tc>
      </w:tr>
    </w:tbl>
    <w:p/>
    <w:p>
      <w:pPr>
        <w:pStyle w:val="Heading3"/>
      </w:pPr>
      <w:r>
        <w:t>Önümüzdeki 36 ay — sistemin genel yönü (karar ağacı)</w:t>
      </w:r>
    </w:p>
    <w:p>
      <w:r>
        <w:t xml:space="preserve">Güçlü iyi yol, dört kapının </w:t>
      </w:r>
      <w:r>
        <w:rPr>
          <w:b/>
        </w:rPr>
        <w:t>hepsinden</w:t>
      </w:r>
      <w:r>
        <w:t xml:space="preserve"> geçmeyi gerektirir; herhangi bir kapıda tökezlemek kötü yöne, son kapıda tökezlemek katastrofik sonuca götürür:</w:t>
      </w:r>
    </w:p>
    <w:p>
      <w:r>
        <w:rPr>
          <w:rFonts w:ascii="Consolas" w:hAnsi="Consolas"/>
          <w:sz w:val="17"/>
        </w:rPr>
        <w:t>GUCLU IYI YOL (36 ay) = dort kapinin hepsinden gecmek</w:t>
        <w:br/>
        <w:br/>
        <w:t>[Kapi 1] Makro olumlu mu? ............... Evet ~%35 | Hayir ~%65 -&gt; kotu yon</w:t>
        <w:br/>
        <w:t>[Kapi 2] AI birim ekonomisi iyilesir mi?  Evet ~%50 | Hayir ~%50 -&gt; kotu yon</w:t>
        <w:br/>
        <w:t>[Kapi 3] Hyperscaler capex korunur mu? .. Evet ~%60 | Hayir ~%40 -&gt; kotu yon</w:t>
        <w:br/>
        <w:t>[Kapi 4] TSMC soku yok mu? .............. Evet ~%94 | Hayir ~%6  -&gt; katastrofik</w:t>
        <w:br/>
        <w:t xml:space="preserve">                                            |</w:t>
        <w:br/>
        <w:t xml:space="preserve">                                            +- hepsi Evet -&gt; GUCLU IYI YOL</w:t>
      </w:r>
    </w:p>
    <w:p>
      <w:r>
        <w:t>Kapı olasılıkları §8'deki şeffaf varsayımlardan gelir: Kapı 1 = §8.8 olumlu makro; Kapı 2 = AI birim ekonomisi (kamuya kapalı, §10 — merkez ~%50 yargı); Kapı 3 = §8.2 capex korunması (%100 − %40); Kapı 4 = §8.3 TSMC şoku yok (%100 − %6).</w:t>
      </w:r>
    </w:p>
    <w:p>
      <w:r>
        <w:rPr>
          <w:b/>
        </w:rPr>
        <w:t>Güçlü iyi yol (illüstratif, bağımsızlık varsayımıyla):</w:t>
      </w:r>
    </w:p>
    <w:p>
      <w:r>
        <w:rPr>
          <w:rFonts w:ascii="Consolas" w:hAnsi="Consolas"/>
          <w:sz w:val="17"/>
        </w:rPr>
        <w:t>P(guclu iyi yol) ≈ %35 × %50 × %60 × %94 ≈ %10</w:t>
      </w:r>
    </w:p>
    <w:p>
      <w:r>
        <w:t xml:space="preserve">Bu ~%10, "her şeyin yolunda gittiği" güçlü pozitif senaryonun neden zor olduğunu gösterir: dört bağımsız koşulun aynı anda tutması gerekir. Bağımsızlık varsayımı gerçekçi değildir (olumlu makro capex'i ve birim ekonomiyi destekler), bu yüzden bu sayı </w:t>
      </w:r>
      <w:r>
        <w:rPr>
          <w:b/>
        </w:rPr>
        <w:t>yön gösterici bir alt sınır</w:t>
      </w:r>
      <w:r>
        <w:t xml:space="preserve"> olarak okunmalıdır, nokta tahmini değil.</w:t>
      </w:r>
    </w:p>
    <w:p>
      <w:r>
        <w:t>Üç birbirini dışlayan 36 aylık sonuç:</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36 aylık yön</w:t>
            </w:r>
          </w:p>
        </w:tc>
        <w:tc>
          <w:tcPr>
            <w:tcW w:type="dxa" w:w="3120"/>
            <w:shd w:val="clear" w:color="auto" w:fill="D9D9D9"/>
          </w:tcPr>
          <w:p>
            <w:r>
              <w:rPr>
                <w:b/>
                <w:sz w:val="18"/>
              </w:rPr>
            </w:r>
            <w:r>
              <w:rPr>
                <w:b/>
                <w:sz w:val="18"/>
              </w:rPr>
              <w:t>Olasılık (merkez)</w:t>
            </w:r>
          </w:p>
        </w:tc>
        <w:tc>
          <w:tcPr>
            <w:tcW w:type="dxa" w:w="3120"/>
            <w:shd w:val="clear" w:color="auto" w:fill="D9D9D9"/>
          </w:tcPr>
          <w:p>
            <w:r>
              <w:rPr>
                <w:b/>
                <w:sz w:val="18"/>
              </w:rPr>
            </w:r>
            <w:r>
              <w:rPr>
                <w:b/>
                <w:sz w:val="18"/>
              </w:rPr>
              <w:t>Tanım</w:t>
            </w:r>
          </w:p>
        </w:tc>
      </w:tr>
      <w:tr>
        <w:tc>
          <w:tcPr>
            <w:tcW w:type="dxa" w:w="3120"/>
          </w:tcPr>
          <w:p>
            <w:r>
              <w:rPr>
                <w:sz w:val="18"/>
              </w:rPr>
            </w:r>
            <w:r>
              <w:rPr>
                <w:b/>
                <w:sz w:val="18"/>
              </w:rPr>
              <w:t>Geniş kötü yol (toplam)</w:t>
            </w:r>
          </w:p>
        </w:tc>
        <w:tc>
          <w:tcPr>
            <w:tcW w:type="dxa" w:w="3120"/>
          </w:tcPr>
          <w:p>
            <w:r>
              <w:rPr>
                <w:sz w:val="18"/>
              </w:rPr>
            </w:r>
            <w:r>
              <w:rPr>
                <w:b/>
                <w:sz w:val="18"/>
              </w:rPr>
              <w:t>~%53</w:t>
            </w:r>
            <w:r>
              <w:rPr>
                <w:sz w:val="18"/>
              </w:rPr>
              <w:t xml:space="preserve"> (duyarlılık %35–71)</w:t>
            </w:r>
          </w:p>
        </w:tc>
        <w:tc>
          <w:tcPr>
            <w:tcW w:type="dxa" w:w="3120"/>
          </w:tcPr>
          <w:p>
            <w:r>
              <w:rPr>
                <w:sz w:val="18"/>
              </w:rPr>
            </w:r>
            <w:r>
              <w:rPr>
                <w:sz w:val="18"/>
              </w:rPr>
              <w:t>Geniş capex kesintisi ∪ stagflasyon kaynaklı sektör baskısı ∪ ≥12 aylık TSMC şoku (§8.8)</w:t>
            </w:r>
          </w:p>
        </w:tc>
      </w:tr>
      <w:tr>
        <w:tc>
          <w:tcPr>
            <w:tcW w:type="dxa" w:w="3120"/>
          </w:tcPr>
          <w:p>
            <w:r>
              <w:rPr>
                <w:sz w:val="18"/>
              </w:rPr>
            </w:r>
            <w:r>
              <w:rPr>
                <w:sz w:val="18"/>
              </w:rPr>
              <w:t>— bunun içinde: katastrofik uç</w:t>
            </w:r>
          </w:p>
        </w:tc>
        <w:tc>
          <w:tcPr>
            <w:tcW w:type="dxa" w:w="3120"/>
          </w:tcPr>
          <w:p>
            <w:r>
              <w:rPr>
                <w:sz w:val="18"/>
              </w:rPr>
            </w:r>
            <w:r>
              <w:rPr>
                <w:b/>
                <w:sz w:val="18"/>
              </w:rPr>
              <w:t>~%6</w:t>
            </w:r>
          </w:p>
        </w:tc>
        <w:tc>
          <w:tcPr>
            <w:tcW w:type="dxa" w:w="3120"/>
          </w:tcPr>
          <w:p>
            <w:r>
              <w:rPr>
                <w:sz w:val="18"/>
              </w:rPr>
            </w:r>
            <w:r>
              <w:rPr>
                <w:sz w:val="18"/>
              </w:rPr>
              <w:t>≥12 aylık fiziksel TSMC kesintisi</w:t>
            </w:r>
          </w:p>
        </w:tc>
      </w:tr>
      <w:tr>
        <w:tc>
          <w:tcPr>
            <w:tcW w:type="dxa" w:w="3120"/>
          </w:tcPr>
          <w:p>
            <w:r>
              <w:rPr>
                <w:sz w:val="18"/>
              </w:rPr>
            </w:r>
            <w:r>
              <w:rPr>
                <w:b/>
                <w:sz w:val="18"/>
              </w:rPr>
              <w:t>Dayanıklılık / baz yolu (toplam)</w:t>
            </w:r>
          </w:p>
        </w:tc>
        <w:tc>
          <w:tcPr>
            <w:tcW w:type="dxa" w:w="3120"/>
          </w:tcPr>
          <w:p>
            <w:r>
              <w:rPr>
                <w:sz w:val="18"/>
              </w:rPr>
            </w:r>
            <w:r>
              <w:rPr>
                <w:b/>
                <w:sz w:val="18"/>
              </w:rPr>
              <w:t>~%47</w:t>
            </w:r>
            <w:r>
              <w:rPr>
                <w:sz w:val="18"/>
              </w:rPr>
              <w:t xml:space="preserve"> (duyarlılık %29–65)</w:t>
            </w:r>
          </w:p>
        </w:tc>
        <w:tc>
          <w:tcPr>
            <w:tcW w:type="dxa" w:w="3120"/>
          </w:tcPr>
          <w:p>
            <w:r>
              <w:rPr>
                <w:sz w:val="18"/>
              </w:rPr>
            </w:r>
            <w:r>
              <w:rPr>
                <w:sz w:val="18"/>
              </w:rPr>
              <w:t>Geniş kırılma olmadan devam</w:t>
            </w:r>
          </w:p>
        </w:tc>
      </w:tr>
      <w:tr>
        <w:tc>
          <w:tcPr>
            <w:tcW w:type="dxa" w:w="3120"/>
          </w:tcPr>
          <w:p>
            <w:r>
              <w:rPr>
                <w:sz w:val="18"/>
              </w:rPr>
            </w:r>
            <w:r>
              <w:rPr>
                <w:sz w:val="18"/>
              </w:rPr>
              <w:t>— bunun içinde: güçlü pozitif alt-yol</w:t>
            </w:r>
          </w:p>
        </w:tc>
        <w:tc>
          <w:tcPr>
            <w:tcW w:type="dxa" w:w="3120"/>
          </w:tcPr>
          <w:p>
            <w:r>
              <w:rPr>
                <w:sz w:val="18"/>
              </w:rPr>
            </w:r>
            <w:r>
              <w:rPr>
                <w:b/>
                <w:sz w:val="18"/>
              </w:rPr>
              <w:t>~%10</w:t>
            </w:r>
            <w:r>
              <w:rPr>
                <w:sz w:val="18"/>
              </w:rPr>
              <w:t xml:space="preserve"> (illüstratif)</w:t>
            </w:r>
          </w:p>
        </w:tc>
        <w:tc>
          <w:tcPr>
            <w:tcW w:type="dxa" w:w="3120"/>
          </w:tcPr>
          <w:p>
            <w:r>
              <w:rPr>
                <w:sz w:val="18"/>
              </w:rPr>
            </w:r>
            <w:r>
              <w:rPr>
                <w:sz w:val="18"/>
              </w:rPr>
              <w:t>Dört kapının hepsi olumlu (yukarıdaki ağaç)</w:t>
            </w:r>
          </w:p>
        </w:tc>
      </w:tr>
      <w:tr>
        <w:tc>
          <w:tcPr>
            <w:tcW w:type="dxa" w:w="3120"/>
          </w:tcPr>
          <w:p>
            <w:r>
              <w:rPr>
                <w:sz w:val="18"/>
              </w:rPr>
            </w:r>
            <w:r>
              <w:rPr>
                <w:sz w:val="18"/>
              </w:rPr>
              <w:t>— bunun içinde: kısıtlayıcı ama işleyen baz</w:t>
            </w:r>
          </w:p>
        </w:tc>
        <w:tc>
          <w:tcPr>
            <w:tcW w:type="dxa" w:w="3120"/>
          </w:tcPr>
          <w:p>
            <w:r>
              <w:rPr>
                <w:sz w:val="18"/>
              </w:rPr>
            </w:r>
            <w:r>
              <w:rPr>
                <w:b/>
                <w:sz w:val="18"/>
              </w:rPr>
              <w:t>~%37</w:t>
            </w:r>
          </w:p>
        </w:tc>
        <w:tc>
          <w:tcPr>
            <w:tcW w:type="dxa" w:w="3120"/>
          </w:tcPr>
          <w:p>
            <w:r>
              <w:rPr>
                <w:sz w:val="18"/>
              </w:rPr>
            </w:r>
            <w:r>
              <w:rPr>
                <w:sz w:val="18"/>
              </w:rPr>
              <w:t>Dayanıklılık − güçlü pozitif (%47 − %10)</w:t>
            </w:r>
          </w:p>
        </w:tc>
      </w:tr>
    </w:tbl>
    <w:p/>
    <w:p>
      <w:r>
        <w:t>Geniş kötü yol hesabı (§8.8'den):</w:t>
      </w:r>
    </w:p>
    <w:p>
      <w:r>
        <w:rPr>
          <w:rFonts w:ascii="Consolas" w:hAnsi="Consolas"/>
          <w:sz w:val="17"/>
        </w:rPr>
        <w:t>P(capex ∪ stagflasyon)          = %40 + %25 − (%25 × %60) = %50</w:t>
        <w:br/>
        <w:t>P(en az bir geniş olumsuz olay) = %50 + %6 − (%50 × %6)    = ~%53</w:t>
      </w:r>
    </w:p>
    <w:p>
      <w:pPr>
        <w:ind w:left="576"/>
      </w:pPr>
      <w:r>
        <w:rPr>
          <w:b/>
          <w:i/>
          <w:color w:val="444444"/>
        </w:rPr>
        <w:t>36 ay sonucu:</w:t>
      </w:r>
      <w:r>
        <w:rPr>
          <w:i/>
          <w:color w:val="444444"/>
        </w:rPr>
        <w:t xml:space="preserve"> Mevcut varsayımların sayısallaştırılmış merkez sonucunda, 36 ayda </w:t>
      </w:r>
      <w:r>
        <w:rPr>
          <w:b/>
          <w:i/>
          <w:color w:val="444444"/>
        </w:rPr>
        <w:t>geniş kötü yol ~%53</w:t>
      </w:r>
      <w:r>
        <w:rPr>
          <w:i/>
          <w:color w:val="444444"/>
        </w:rPr>
        <w:t xml:space="preserve">, sistemin </w:t>
      </w:r>
      <w:r>
        <w:rPr>
          <w:b/>
          <w:i/>
          <w:color w:val="444444"/>
        </w:rPr>
        <w:t>geniş kırılma olmadan dayanıklı kalması ~%47</w:t>
      </w:r>
      <w:r>
        <w:rPr>
          <w:i/>
          <w:color w:val="444444"/>
        </w:rPr>
        <w:t xml:space="preserve">'dir; bunun yalnızca </w:t>
      </w:r>
      <w:r>
        <w:rPr>
          <w:b/>
          <w:i/>
          <w:color w:val="444444"/>
        </w:rPr>
        <w:t>~%10'u "her şeyin yolunda gittiği" güçlü pozitif senaryodur</w:t>
      </w:r>
      <w:r>
        <w:rPr>
          <w:i/>
          <w:color w:val="444444"/>
        </w:rPr>
        <w:t>, kalan ~%37'si "kısıtlayıcı ama işleyen" baz patikadır. Dağılım neredeyse yazı-tura düzeyindedir; hangi tarafın ağır basacağı bilinmeyen girdilere (covenant, churn, AI birim ekonomisi, jeopolitik) bağlıdır.</w:t>
      </w:r>
    </w:p>
    <w:p>
      <w:r>
        <w:rPr>
          <w:b/>
        </w:rPr>
        <w:t>Önemli sınır:</w:t>
      </w:r>
      <w:r>
        <w:t xml:space="preserve"> "Çok güçlü olumlu (bull) senaryo" olasılığı mevcut verilerle </w:t>
      </w:r>
      <w:r>
        <w:rPr>
          <w:b/>
        </w:rPr>
        <w:t>kesin olarak hesaplanamaz</w:t>
      </w:r>
      <w:r>
        <w:t xml:space="preserve"> — AI birim ekonomisinin gerçek iyileşme hızı ve LLM gelir kalitesi kamuya kapalıdır (§10). Yukarıdaki ~%10, dört kapının şeffaf eşleme değerlerinin bağımsız çarpımıyla elde edilen </w:t>
      </w:r>
      <w:r>
        <w:rPr>
          <w:b/>
        </w:rPr>
        <w:t>illüstratif bir alt sınırdır</w:t>
      </w:r>
      <w:r>
        <w:t>, kalibre tahmin değildir.</w:t>
      </w:r>
    </w:p>
    <w:p>
      <w:pPr>
        <w:pStyle w:val="Heading2"/>
      </w:pPr>
      <w:r>
        <w:t>11.2 Yatırımcı için</w:t>
      </w:r>
    </w:p>
    <w:p>
      <w:pPr>
        <w:ind w:left="432"/>
      </w:pPr>
      <w:r>
        <w:t xml:space="preserve">1. </w:t>
      </w:r>
      <w:r>
        <w:rPr>
          <w:b/>
        </w:rPr>
        <w:t>Kaldıraç tek başına alım/satım sinyali değildir.</w:t>
      </w:r>
      <w:r>
        <w:t xml:space="preserve"> Sistemin en borçsuz şirketi (Arista) bile "risksiz" değildir — müşteri yoğunlaşması ve değerleme riski taşır. En borçlu şirket (CoreWeave) sistemi durdurmaz ama alacaklılarına kayıp bulaştırır. İki farklı riski (finansal kırılganlık §5 / sistemik etki §4) ayrı ayrı fiyatlayın.</w:t>
      </w:r>
    </w:p>
    <w:p>
      <w:pPr>
        <w:ind w:left="432"/>
      </w:pPr>
      <w:r>
        <w:t xml:space="preserve">2. </w:t>
      </w:r>
      <w:r>
        <w:rPr>
          <w:b/>
        </w:rPr>
        <w:t>"AI balonu mu?" sorusu yanlış sorulmuş.</w:t>
      </w:r>
      <w:r>
        <w:t xml:space="preserve"> Doğru soru: "AI'ya atfedilebilir </w:t>
      </w:r>
      <w:r>
        <w:rPr>
          <w:b/>
        </w:rPr>
        <w:t>artımlı</w:t>
      </w:r>
      <w:r>
        <w:t xml:space="preserve"> nakit akışı, artımlı capex ve sabit yükümlülükleri hangi tarihte karşılayabilir?" Bu, LLM ROI'sini tek değişken yapmadan; hyperscaler'ların çapraz sübvansiyon kapasitesini (reklam, e-ticaret, kurumsal yazılım, geleneksel bulut) de hesaba katan bir sorudur. §11.1'deki olasılıklar, bu sorunun cevabının belirsizliğini yansıtır.</w:t>
      </w:r>
    </w:p>
    <w:p>
      <w:pPr>
        <w:ind w:left="432"/>
      </w:pPr>
      <w:r>
        <w:t xml:space="preserve">3. </w:t>
      </w:r>
      <w:r>
        <w:rPr>
          <w:b/>
        </w:rPr>
        <w:t>İkame edilemezliği fiyatlayın, büyüklüğü değil.</w:t>
      </w:r>
      <w:r>
        <w:t xml:space="preserve"> TSMC ve ASML'nin değeri kârından çok ikamesinin olmamasından gelir. Bu şirketlerin riski borç değil, coğrafi yoğunlaşma ve jeopolitiktir — portföyde farklı bir risk kategorisi olarak ele alınmalıdır (§2.7: AI değer zinciri sistemik riski ≠ teknoloji piyasa riski).</w:t>
      </w:r>
    </w:p>
    <w:p>
      <w:pPr>
        <w:ind w:left="432"/>
      </w:pPr>
      <w:r>
        <w:t xml:space="preserve">4. </w:t>
      </w:r>
      <w:r>
        <w:rPr>
          <w:b/>
        </w:rPr>
        <w:t>Çapraz sübvansiyon kapasitesini ayırt edin.</w:t>
      </w:r>
      <w:r>
        <w:t xml:space="preserve"> Alphabet'in hisse arzıyla (faiz riski almadan) finansmanı, Amazon'un borçla finansmanı ve CoreWeave'in GPU-teminatlı borçla finansmanı aynı "borç" kategorisinde değildir. Finansman </w:t>
      </w:r>
      <w:r>
        <w:rPr>
          <w:b/>
        </w:rPr>
        <w:t>yapısı</w:t>
      </w:r>
      <w:r>
        <w:t xml:space="preserve"> (§7.4), finansman </w:t>
      </w:r>
      <w:r>
        <w:rPr>
          <w:b/>
        </w:rPr>
        <w:t>büyüklüğünden</w:t>
      </w:r>
      <w:r>
        <w:t xml:space="preserve"> daha bilgilendiricidir.</w:t>
      </w:r>
    </w:p>
    <w:p>
      <w:pPr>
        <w:ind w:left="432"/>
      </w:pPr>
      <w:r>
        <w:t xml:space="preserve">5. </w:t>
      </w:r>
      <w:r>
        <w:rPr>
          <w:b/>
        </w:rPr>
        <w:t>Olasılıkları aralık olarak okuyun, nokta olarak değil.</w:t>
      </w:r>
      <w:r>
        <w:t xml:space="preserve"> §11.1'deki %47/%53 gibi merkez değerler, geniş duyarlılık aralıklarına sahip şeffaf varsayımlardır. Karar, tek bir merkez sayıya değil, aralığın hangi ucunun gerçekleştiğini gösteren erken uyarı göstergelerine (§9) bağlanmalıdır.</w:t>
      </w:r>
    </w:p>
    <w:p>
      <w:pPr>
        <w:pStyle w:val="Heading2"/>
      </w:pPr>
      <w:r>
        <w:t>11.3 Düzenleyici / politika yapıcı için</w:t>
      </w:r>
    </w:p>
    <w:p>
      <w:pPr>
        <w:ind w:left="432"/>
      </w:pPr>
      <w:r>
        <w:t xml:space="preserve">1. </w:t>
      </w:r>
      <w:r>
        <w:rPr>
          <w:b/>
        </w:rPr>
        <w:t>Gizli covenant şeffaflığı.</w:t>
      </w:r>
      <w:r>
        <w:t xml:space="preserve"> Neo-cloud GPU-teminatlı krediler (CoreWeave DDTL tipi) banka bilançolarında ve kredi fonlarında birikiyor; covenant eşikleri kamuya kapalı. Finansal istikrar açısından bu tür varlık-teminatlı, değişken faizli kredilerin </w:t>
      </w:r>
      <w:r>
        <w:rPr>
          <w:b/>
        </w:rPr>
        <w:t>toplam maruziyeti</w:t>
      </w:r>
      <w:r>
        <w:t xml:space="preserve"> izlenmelidir — bu büyüklük bilinmeden "finansal sistemik risk" (§2.7) yargısı verilemez.</w:t>
      </w:r>
    </w:p>
    <w:p>
      <w:pPr>
        <w:ind w:left="432"/>
      </w:pPr>
      <w:r>
        <w:t xml:space="preserve">2. </w:t>
      </w:r>
      <w:r>
        <w:rPr>
          <w:b/>
        </w:rPr>
        <w:t>Dairesel finansman görünürlüğü.</w:t>
      </w:r>
      <w:r>
        <w:t xml:space="preserve"> NVIDIA → neo-cloud → LLM → bulut döngüsünde, aynı ekonomik riskin birden fazla bilançoda sayılması (§3.3) sistemik riski olduğundan düşük gösterebilir. Çapraz sahiplik ve karşı taraf konsantrasyonu haritalanmalıdır.</w:t>
      </w:r>
    </w:p>
    <w:p>
      <w:pPr>
        <w:ind w:left="432"/>
      </w:pPr>
      <w:r>
        <w:t xml:space="preserve">3. </w:t>
      </w:r>
      <w:r>
        <w:rPr>
          <w:b/>
        </w:rPr>
        <w:t>Coğrafi tek-nokta arızası.</w:t>
      </w:r>
      <w:r>
        <w:t xml:space="preserve"> İleri düğüm üretimin dar bir coğrafyada toplanması (TSMC) piyasa gücü değil, </w:t>
      </w:r>
      <w:r>
        <w:rPr>
          <w:b/>
        </w:rPr>
        <w:t>kritik altyapı dayanıklılığı</w:t>
      </w:r>
      <w:r>
        <w:t xml:space="preserve"> meselesidir. Tayvan dışı kapasite çeşitlendirmesi (ABD/Japonya) stratejik önceliktir.</w:t>
      </w:r>
    </w:p>
    <w:p>
      <w:pPr>
        <w:ind w:left="432"/>
      </w:pPr>
      <w:r>
        <w:t xml:space="preserve">4. </w:t>
      </w:r>
      <w:r>
        <w:rPr>
          <w:b/>
        </w:rPr>
        <w:t>Enerji şebekesi planlaması.</w:t>
      </w:r>
      <w:r>
        <w:t xml:space="preserve"> Veri merkezi büyümesinin önündeki fiziksel duvar giderek çip değil elektrik; şebeke yatırımı ve bağlantı kuyruğu yönetimi, AI politikasıyla aynı çerçevede ele alınmalıdır.</w:t>
      </w:r>
    </w:p>
    <w:p>
      <w:pPr>
        <w:pStyle w:val="Heading2"/>
      </w:pPr>
      <w:r>
        <w:t>11.4 Raporun sınırları</w:t>
      </w:r>
    </w:p>
    <w:p>
      <w:r>
        <w:t xml:space="preserve">Bu rapor </w:t>
      </w:r>
      <w:r>
        <w:rPr>
          <w:b/>
        </w:rPr>
        <w:t>statik bir anlık görüntüdür</w:t>
      </w:r>
      <w:r>
        <w:t xml:space="preserve"> (13 Temmuz 2026). Hisse fiyatları, fonlama turları ve jeopolitik durum hızla değişir. Olasılık çerçevesi (§11.1) şeffaf bir eşlemedir, kalibre edilmiş tahmin değildir; §9'daki erken uyarı paneli ile dinamik olarak güncellenmelidir. Rapor kapsamı dışında kalan değer zinciri halkaları (HBM, EDA, Arm, ileri paketleme, ekipman, optik, soğutma/şebeke, DC gayrimenkul) puanlanmamıştır (§4.3). Yatırım kararları için kendi durum tespiti (due diligence) ve profesyonel danışmanlık şarttır.</w:t>
      </w:r>
    </w:p>
    <w:p>
      <w:pPr>
        <w:pStyle w:val="Heading1"/>
      </w:pPr>
      <w:r>
        <w:t>12. Veri Sözlüğü, Hesaplamalar ve Kaynak Eki</w:t>
      </w:r>
    </w:p>
    <w:p>
      <w:r>
        <w:t xml:space="preserve">Bu bölüm, rapordaki kritik veri noktalarını denetlenebilir biçimde listeler. Her satır için </w:t>
      </w:r>
      <w:r>
        <w:rPr>
          <w:b/>
        </w:rPr>
        <w:t>pay, payda, dönem, kaynak türü ve güven düzeyi</w:t>
      </w:r>
      <w:r>
        <w:t xml:space="preserve"> belirtilir. Güven düzeyleri: </w:t>
      </w:r>
      <w:r>
        <w:rPr>
          <w:b/>
        </w:rPr>
        <w:t>Yüksek</w:t>
      </w:r>
      <w:r>
        <w:t xml:space="preserve"> = resmi dosyalama/derecelendirme; </w:t>
      </w:r>
      <w:r>
        <w:rPr>
          <w:b/>
        </w:rPr>
        <w:t>Orta</w:t>
      </w:r>
      <w:r>
        <w:t xml:space="preserve"> = analist tahmini/ikincil kaynak; </w:t>
      </w:r>
      <w:r>
        <w:rPr>
          <w:b/>
        </w:rPr>
        <w:t>Çakışma</w:t>
      </w:r>
      <w:r>
        <w:t xml:space="preserve"> = kaynaklar arası çelişki; </w:t>
      </w:r>
      <w:r>
        <w:rPr>
          <w:b/>
        </w:rPr>
        <w:t>Boşluk</w:t>
      </w:r>
      <w:r>
        <w:t xml:space="preserve"> = kamuya kapalı.</w:t>
      </w:r>
    </w:p>
    <w:p>
      <w:pPr>
        <w:pStyle w:val="Heading2"/>
      </w:pPr>
      <w:r>
        <w:t>12.1 Veri kalite tablosu (kritik veri noktaları)</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D9D9D9"/>
          </w:tcPr>
          <w:p>
            <w:r>
              <w:rPr>
                <w:b/>
                <w:sz w:val="18"/>
              </w:rPr>
            </w:r>
            <w:r>
              <w:rPr>
                <w:b/>
                <w:sz w:val="18"/>
              </w:rPr>
              <w:t>İddia</w:t>
            </w:r>
          </w:p>
        </w:tc>
        <w:tc>
          <w:tcPr>
            <w:tcW w:type="dxa" w:w="1170"/>
            <w:shd w:val="clear" w:color="auto" w:fill="D9D9D9"/>
          </w:tcPr>
          <w:p>
            <w:r>
              <w:rPr>
                <w:b/>
                <w:sz w:val="18"/>
              </w:rPr>
            </w:r>
            <w:r>
              <w:rPr>
                <w:b/>
                <w:sz w:val="18"/>
              </w:rPr>
              <w:t>Değer</w:t>
            </w:r>
          </w:p>
        </w:tc>
        <w:tc>
          <w:tcPr>
            <w:tcW w:type="dxa" w:w="1170"/>
            <w:shd w:val="clear" w:color="auto" w:fill="D9D9D9"/>
          </w:tcPr>
          <w:p>
            <w:r>
              <w:rPr>
                <w:b/>
                <w:sz w:val="18"/>
              </w:rPr>
            </w:r>
            <w:r>
              <w:rPr>
                <w:b/>
                <w:sz w:val="18"/>
              </w:rPr>
              <w:t>Dönem</w:t>
            </w:r>
          </w:p>
        </w:tc>
        <w:tc>
          <w:tcPr>
            <w:tcW w:type="dxa" w:w="1170"/>
            <w:shd w:val="clear" w:color="auto" w:fill="D9D9D9"/>
          </w:tcPr>
          <w:p>
            <w:r>
              <w:rPr>
                <w:b/>
                <w:sz w:val="18"/>
              </w:rPr>
            </w:r>
            <w:r>
              <w:rPr>
                <w:b/>
                <w:sz w:val="18"/>
              </w:rPr>
              <w:t>Para birimi</w:t>
            </w:r>
          </w:p>
        </w:tc>
        <w:tc>
          <w:tcPr>
            <w:tcW w:type="dxa" w:w="1170"/>
            <w:shd w:val="clear" w:color="auto" w:fill="D9D9D9"/>
          </w:tcPr>
          <w:p>
            <w:r>
              <w:rPr>
                <w:b/>
                <w:sz w:val="18"/>
              </w:rPr>
            </w:r>
            <w:r>
              <w:rPr>
                <w:b/>
                <w:sz w:val="18"/>
              </w:rPr>
              <w:t>Pay / Payda</w:t>
            </w:r>
          </w:p>
        </w:tc>
        <w:tc>
          <w:tcPr>
            <w:tcW w:type="dxa" w:w="1170"/>
            <w:shd w:val="clear" w:color="auto" w:fill="D9D9D9"/>
          </w:tcPr>
          <w:p>
            <w:r>
              <w:rPr>
                <w:b/>
                <w:sz w:val="18"/>
              </w:rPr>
            </w:r>
            <w:r>
              <w:rPr>
                <w:b/>
                <w:sz w:val="18"/>
              </w:rPr>
              <w:t>Kaynak</w:t>
            </w:r>
          </w:p>
        </w:tc>
        <w:tc>
          <w:tcPr>
            <w:tcW w:type="dxa" w:w="1170"/>
            <w:shd w:val="clear" w:color="auto" w:fill="D9D9D9"/>
          </w:tcPr>
          <w:p>
            <w:r>
              <w:rPr>
                <w:b/>
                <w:sz w:val="18"/>
              </w:rPr>
            </w:r>
            <w:r>
              <w:rPr>
                <w:b/>
                <w:sz w:val="18"/>
              </w:rPr>
              <w:t>Tür</w:t>
            </w:r>
          </w:p>
        </w:tc>
        <w:tc>
          <w:tcPr>
            <w:tcW w:type="dxa" w:w="1170"/>
            <w:shd w:val="clear" w:color="auto" w:fill="D9D9D9"/>
          </w:tcPr>
          <w:p>
            <w:r>
              <w:rPr>
                <w:b/>
                <w:sz w:val="18"/>
              </w:rPr>
            </w:r>
            <w:r>
              <w:rPr>
                <w:b/>
                <w:sz w:val="18"/>
              </w:rPr>
              <w:t>Güven</w:t>
            </w:r>
          </w:p>
        </w:tc>
      </w:tr>
      <w:tr>
        <w:tc>
          <w:tcPr>
            <w:tcW w:type="dxa" w:w="1170"/>
          </w:tcPr>
          <w:p>
            <w:r>
              <w:rPr>
                <w:sz w:val="18"/>
              </w:rPr>
            </w:r>
            <w:r>
              <w:rPr>
                <w:sz w:val="18"/>
              </w:rPr>
              <w:t>Fed politika faizi</w:t>
            </w:r>
          </w:p>
        </w:tc>
        <w:tc>
          <w:tcPr>
            <w:tcW w:type="dxa" w:w="1170"/>
          </w:tcPr>
          <w:p>
            <w:r>
              <w:rPr>
                <w:sz w:val="18"/>
              </w:rPr>
            </w:r>
            <w:r>
              <w:rPr>
                <w:sz w:val="18"/>
              </w:rPr>
              <w:t>%3,50–3,75</w:t>
            </w:r>
          </w:p>
        </w:tc>
        <w:tc>
          <w:tcPr>
            <w:tcW w:type="dxa" w:w="1170"/>
          </w:tcPr>
          <w:p>
            <w:r>
              <w:rPr>
                <w:sz w:val="18"/>
              </w:rPr>
            </w:r>
            <w:r>
              <w:rPr>
                <w:sz w:val="18"/>
              </w:rPr>
              <w:t>Tem 2026</w:t>
            </w:r>
          </w:p>
        </w:tc>
        <w:tc>
          <w:tcPr>
            <w:tcW w:type="dxa" w:w="1170"/>
          </w:tcPr>
          <w:p>
            <w:r>
              <w:rPr>
                <w:sz w:val="18"/>
              </w:rPr>
            </w:r>
            <w:r>
              <w:rPr>
                <w:sz w:val="18"/>
              </w:rPr>
              <w:t>%</w:t>
            </w:r>
          </w:p>
        </w:tc>
        <w:tc>
          <w:tcPr>
            <w:tcW w:type="dxa" w:w="1170"/>
          </w:tcPr>
          <w:p>
            <w:r>
              <w:rPr>
                <w:sz w:val="18"/>
              </w:rPr>
            </w:r>
            <w:r>
              <w:rPr>
                <w:sz w:val="18"/>
              </w:rPr>
              <w:t>— / politika faizi</w:t>
            </w:r>
          </w:p>
        </w:tc>
        <w:tc>
          <w:tcPr>
            <w:tcW w:type="dxa" w:w="1170"/>
          </w:tcPr>
          <w:p>
            <w:r>
              <w:rPr>
                <w:sz w:val="18"/>
              </w:rPr>
            </w:r>
            <w:r>
              <w:rPr>
                <w:sz w:val="18"/>
                <w:vertAlign w:val="superscript"/>
              </w:rPr>
              <w:t>53</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Manşet TÜFE</w:t>
            </w:r>
          </w:p>
        </w:tc>
        <w:tc>
          <w:tcPr>
            <w:tcW w:type="dxa" w:w="1170"/>
          </w:tcPr>
          <w:p>
            <w:r>
              <w:rPr>
                <w:sz w:val="18"/>
              </w:rPr>
            </w:r>
            <w:r>
              <w:rPr>
                <w:sz w:val="18"/>
              </w:rPr>
              <w:t>%3,71 yıllık</w:t>
            </w:r>
          </w:p>
        </w:tc>
        <w:tc>
          <w:tcPr>
            <w:tcW w:type="dxa" w:w="1170"/>
          </w:tcPr>
          <w:p>
            <w:r>
              <w:rPr>
                <w:sz w:val="18"/>
              </w:rPr>
            </w:r>
            <w:r>
              <w:rPr>
                <w:sz w:val="18"/>
              </w:rPr>
              <w:t>Tem 2026</w:t>
            </w:r>
          </w:p>
        </w:tc>
        <w:tc>
          <w:tcPr>
            <w:tcW w:type="dxa" w:w="1170"/>
          </w:tcPr>
          <w:p>
            <w:r>
              <w:rPr>
                <w:sz w:val="18"/>
              </w:rPr>
            </w:r>
            <w:r>
              <w:rPr>
                <w:sz w:val="18"/>
              </w:rPr>
              <w:t>%</w:t>
            </w:r>
          </w:p>
        </w:tc>
        <w:tc>
          <w:tcPr>
            <w:tcW w:type="dxa" w:w="1170"/>
          </w:tcPr>
          <w:p>
            <w:r>
              <w:rPr>
                <w:sz w:val="18"/>
              </w:rPr>
            </w:r>
            <w:r>
              <w:rPr>
                <w:sz w:val="18"/>
              </w:rPr>
              <w:t>TÜFE sepeti / yıllık</w:t>
            </w:r>
          </w:p>
        </w:tc>
        <w:tc>
          <w:tcPr>
            <w:tcW w:type="dxa" w:w="1170"/>
          </w:tcPr>
          <w:p>
            <w:r>
              <w:rPr>
                <w:sz w:val="18"/>
              </w:rPr>
            </w:r>
            <w:r>
              <w:rPr>
                <w:sz w:val="18"/>
                <w:vertAlign w:val="superscript"/>
              </w:rPr>
              <w:t>49</w:t>
            </w:r>
          </w:p>
        </w:tc>
        <w:tc>
          <w:tcPr>
            <w:tcW w:type="dxa" w:w="1170"/>
          </w:tcPr>
          <w:p>
            <w:r>
              <w:rPr>
                <w:sz w:val="18"/>
              </w:rPr>
            </w:r>
            <w:r>
              <w:rPr>
                <w:sz w:val="18"/>
              </w:rPr>
              <w:t>Resmi/tahmin</w:t>
            </w:r>
          </w:p>
        </w:tc>
        <w:tc>
          <w:tcPr>
            <w:tcW w:type="dxa" w:w="1170"/>
          </w:tcPr>
          <w:p>
            <w:r>
              <w:rPr>
                <w:sz w:val="18"/>
              </w:rPr>
            </w:r>
            <w:r>
              <w:rPr>
                <w:sz w:val="18"/>
              </w:rPr>
              <w:t>Yüksek</w:t>
            </w:r>
          </w:p>
        </w:tc>
      </w:tr>
      <w:tr>
        <w:tc>
          <w:tcPr>
            <w:tcW w:type="dxa" w:w="1170"/>
          </w:tcPr>
          <w:p>
            <w:r>
              <w:rPr>
                <w:sz w:val="18"/>
              </w:rPr>
            </w:r>
            <w:r>
              <w:rPr>
                <w:sz w:val="18"/>
              </w:rPr>
              <w:t>PCE enflasyonu</w:t>
            </w:r>
          </w:p>
        </w:tc>
        <w:tc>
          <w:tcPr>
            <w:tcW w:type="dxa" w:w="1170"/>
          </w:tcPr>
          <w:p>
            <w:r>
              <w:rPr>
                <w:sz w:val="18"/>
              </w:rPr>
            </w:r>
            <w:r>
              <w:rPr>
                <w:sz w:val="18"/>
              </w:rPr>
              <w:t>%3,84 yıllık</w:t>
            </w:r>
          </w:p>
        </w:tc>
        <w:tc>
          <w:tcPr>
            <w:tcW w:type="dxa" w:w="1170"/>
          </w:tcPr>
          <w:p>
            <w:r>
              <w:rPr>
                <w:sz w:val="18"/>
              </w:rPr>
            </w:r>
            <w:r>
              <w:rPr>
                <w:sz w:val="18"/>
              </w:rPr>
              <w:t>Tem 2026</w:t>
            </w:r>
          </w:p>
        </w:tc>
        <w:tc>
          <w:tcPr>
            <w:tcW w:type="dxa" w:w="1170"/>
          </w:tcPr>
          <w:p>
            <w:r>
              <w:rPr>
                <w:sz w:val="18"/>
              </w:rPr>
            </w:r>
            <w:r>
              <w:rPr>
                <w:sz w:val="18"/>
              </w:rPr>
              <w:t>%</w:t>
            </w:r>
          </w:p>
        </w:tc>
        <w:tc>
          <w:tcPr>
            <w:tcW w:type="dxa" w:w="1170"/>
          </w:tcPr>
          <w:p>
            <w:r>
              <w:rPr>
                <w:sz w:val="18"/>
              </w:rPr>
            </w:r>
            <w:r>
              <w:rPr>
                <w:sz w:val="18"/>
              </w:rPr>
              <w:t>PCE / yıllık</w:t>
            </w:r>
          </w:p>
        </w:tc>
        <w:tc>
          <w:tcPr>
            <w:tcW w:type="dxa" w:w="1170"/>
          </w:tcPr>
          <w:p>
            <w:r>
              <w:rPr>
                <w:sz w:val="18"/>
              </w:rPr>
            </w:r>
            <w:r>
              <w:rPr>
                <w:sz w:val="18"/>
                <w:vertAlign w:val="superscript"/>
              </w:rPr>
              <w:t>49</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10Y getiri</w:t>
            </w:r>
          </w:p>
        </w:tc>
        <w:tc>
          <w:tcPr>
            <w:tcW w:type="dxa" w:w="1170"/>
          </w:tcPr>
          <w:p>
            <w:r>
              <w:rPr>
                <w:sz w:val="18"/>
              </w:rPr>
            </w:r>
            <w:r>
              <w:rPr>
                <w:sz w:val="18"/>
              </w:rPr>
              <w:t>%4,44</w:t>
            </w:r>
          </w:p>
        </w:tc>
        <w:tc>
          <w:tcPr>
            <w:tcW w:type="dxa" w:w="1170"/>
          </w:tcPr>
          <w:p>
            <w:r>
              <w:rPr>
                <w:sz w:val="18"/>
              </w:rPr>
            </w:r>
            <w:r>
              <w:rPr>
                <w:sz w:val="18"/>
              </w:rPr>
              <w:t>Tem 2026</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sz w:val="18"/>
                <w:vertAlign w:val="superscript"/>
              </w:rPr>
              <w:t>53</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ASML Q1 net satış</w:t>
            </w:r>
          </w:p>
        </w:tc>
        <w:tc>
          <w:tcPr>
            <w:tcW w:type="dxa" w:w="1170"/>
          </w:tcPr>
          <w:p>
            <w:r>
              <w:rPr>
                <w:sz w:val="18"/>
              </w:rPr>
            </w:r>
            <w:r>
              <w:rPr>
                <w:sz w:val="18"/>
              </w:rPr>
              <w:t>8,76</w:t>
            </w:r>
          </w:p>
        </w:tc>
        <w:tc>
          <w:tcPr>
            <w:tcW w:type="dxa" w:w="1170"/>
          </w:tcPr>
          <w:p>
            <w:r>
              <w:rPr>
                <w:sz w:val="18"/>
              </w:rPr>
            </w:r>
            <w:r>
              <w:rPr>
                <w:sz w:val="18"/>
              </w:rPr>
              <w:t>Q1 2026</w:t>
            </w:r>
          </w:p>
        </w:tc>
        <w:tc>
          <w:tcPr>
            <w:tcW w:type="dxa" w:w="1170"/>
          </w:tcPr>
          <w:p>
            <w:r>
              <w:rPr>
                <w:sz w:val="18"/>
              </w:rPr>
            </w:r>
            <w:r>
              <w:rPr>
                <w:sz w:val="18"/>
              </w:rPr>
              <w:t>milyar €</w:t>
            </w:r>
          </w:p>
        </w:tc>
        <w:tc>
          <w:tcPr>
            <w:tcW w:type="dxa" w:w="1170"/>
          </w:tcPr>
          <w:p>
            <w:r>
              <w:rPr>
                <w:sz w:val="18"/>
              </w:rPr>
            </w:r>
            <w:r>
              <w:rPr>
                <w:sz w:val="18"/>
              </w:rPr>
              <w:t>net satış / çeyrek</w:t>
            </w:r>
          </w:p>
        </w:tc>
        <w:tc>
          <w:tcPr>
            <w:tcW w:type="dxa" w:w="1170"/>
          </w:tcPr>
          <w:p>
            <w:r>
              <w:rPr>
                <w:sz w:val="18"/>
              </w:rPr>
            </w:r>
            <w:r>
              <w:rPr>
                <w:sz w:val="18"/>
                <w:vertAlign w:val="superscript"/>
              </w:rPr>
              <w:t>22</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ASML borç/özkaynak</w:t>
            </w:r>
          </w:p>
        </w:tc>
        <w:tc>
          <w:tcPr>
            <w:tcW w:type="dxa" w:w="1170"/>
          </w:tcPr>
          <w:p>
            <w:r>
              <w:rPr>
                <w:sz w:val="18"/>
              </w:rPr>
            </w:r>
            <w:r>
              <w:rPr>
                <w:sz w:val="18"/>
              </w:rPr>
              <w:t>%13</w:t>
            </w:r>
          </w:p>
        </w:tc>
        <w:tc>
          <w:tcPr>
            <w:tcW w:type="dxa" w:w="1170"/>
          </w:tcPr>
          <w:p>
            <w:r>
              <w:rPr>
                <w:sz w:val="18"/>
              </w:rPr>
            </w:r>
            <w:r>
              <w:rPr>
                <w:sz w:val="18"/>
              </w:rPr>
              <w:t>Q1 2026</w:t>
            </w:r>
          </w:p>
        </w:tc>
        <w:tc>
          <w:tcPr>
            <w:tcW w:type="dxa" w:w="1170"/>
          </w:tcPr>
          <w:p>
            <w:r>
              <w:rPr>
                <w:sz w:val="18"/>
              </w:rPr>
            </w:r>
            <w:r>
              <w:rPr>
                <w:sz w:val="18"/>
              </w:rPr>
              <w:t>%</w:t>
            </w:r>
          </w:p>
        </w:tc>
        <w:tc>
          <w:tcPr>
            <w:tcW w:type="dxa" w:w="1170"/>
          </w:tcPr>
          <w:p>
            <w:r>
              <w:rPr>
                <w:sz w:val="18"/>
              </w:rPr>
            </w:r>
            <w:r>
              <w:rPr>
                <w:sz w:val="18"/>
              </w:rPr>
              <w:t>toplam borç / özkaynak</w:t>
            </w:r>
          </w:p>
        </w:tc>
        <w:tc>
          <w:tcPr>
            <w:tcW w:type="dxa" w:w="1170"/>
          </w:tcPr>
          <w:p>
            <w:r>
              <w:rPr>
                <w:sz w:val="18"/>
              </w:rPr>
            </w:r>
            <w:r>
              <w:rPr>
                <w:sz w:val="18"/>
                <w:vertAlign w:val="superscript"/>
              </w:rPr>
              <w:t>3</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TSMC Q1 net satış/hasılat</w:t>
            </w:r>
          </w:p>
        </w:tc>
        <w:tc>
          <w:tcPr>
            <w:tcW w:type="dxa" w:w="1170"/>
          </w:tcPr>
          <w:p>
            <w:r>
              <w:rPr>
                <w:sz w:val="18"/>
              </w:rPr>
            </w:r>
            <w:r>
              <w:rPr>
                <w:sz w:val="18"/>
              </w:rPr>
              <w:t>1,134</w:t>
            </w:r>
          </w:p>
        </w:tc>
        <w:tc>
          <w:tcPr>
            <w:tcW w:type="dxa" w:w="1170"/>
          </w:tcPr>
          <w:p>
            <w:r>
              <w:rPr>
                <w:sz w:val="18"/>
              </w:rPr>
            </w:r>
            <w:r>
              <w:rPr>
                <w:sz w:val="18"/>
              </w:rPr>
              <w:t>Q1 2026</w:t>
            </w:r>
          </w:p>
        </w:tc>
        <w:tc>
          <w:tcPr>
            <w:tcW w:type="dxa" w:w="1170"/>
          </w:tcPr>
          <w:p>
            <w:r>
              <w:rPr>
                <w:sz w:val="18"/>
              </w:rPr>
            </w:r>
            <w:r>
              <w:rPr>
                <w:sz w:val="18"/>
              </w:rPr>
              <w:t>trilyon NT$</w:t>
            </w:r>
          </w:p>
        </w:tc>
        <w:tc>
          <w:tcPr>
            <w:tcW w:type="dxa" w:w="1170"/>
          </w:tcPr>
          <w:p>
            <w:r>
              <w:rPr>
                <w:sz w:val="18"/>
              </w:rPr>
            </w:r>
            <w:r>
              <w:rPr>
                <w:sz w:val="18"/>
              </w:rPr>
              <w:t>net satış / çeyrek</w:t>
            </w:r>
          </w:p>
        </w:tc>
        <w:tc>
          <w:tcPr>
            <w:tcW w:type="dxa" w:w="1170"/>
          </w:tcPr>
          <w:p>
            <w:r>
              <w:rPr>
                <w:sz w:val="18"/>
              </w:rPr>
            </w:r>
            <w:r>
              <w:rPr>
                <w:sz w:val="18"/>
                <w:vertAlign w:val="superscript"/>
              </w:rPr>
              <w:t>1</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TSMC Q1 net kâr</w:t>
            </w:r>
          </w:p>
        </w:tc>
        <w:tc>
          <w:tcPr>
            <w:tcW w:type="dxa" w:w="1170"/>
          </w:tcPr>
          <w:p>
            <w:r>
              <w:rPr>
                <w:sz w:val="18"/>
              </w:rPr>
            </w:r>
            <w:r>
              <w:rPr>
                <w:sz w:val="18"/>
              </w:rPr>
              <w:t>572,48</w:t>
            </w:r>
          </w:p>
        </w:tc>
        <w:tc>
          <w:tcPr>
            <w:tcW w:type="dxa" w:w="1170"/>
          </w:tcPr>
          <w:p>
            <w:r>
              <w:rPr>
                <w:sz w:val="18"/>
              </w:rPr>
            </w:r>
            <w:r>
              <w:rPr>
                <w:sz w:val="18"/>
              </w:rPr>
              <w:t>Q1 2026</w:t>
            </w:r>
          </w:p>
        </w:tc>
        <w:tc>
          <w:tcPr>
            <w:tcW w:type="dxa" w:w="1170"/>
          </w:tcPr>
          <w:p>
            <w:r>
              <w:rPr>
                <w:sz w:val="18"/>
              </w:rPr>
            </w:r>
            <w:r>
              <w:rPr>
                <w:sz w:val="18"/>
              </w:rPr>
              <w:t>milyar NT$</w:t>
            </w:r>
          </w:p>
        </w:tc>
        <w:tc>
          <w:tcPr>
            <w:tcW w:type="dxa" w:w="1170"/>
          </w:tcPr>
          <w:p>
            <w:r>
              <w:rPr>
                <w:sz w:val="18"/>
              </w:rPr>
            </w:r>
            <w:r>
              <w:rPr>
                <w:sz w:val="18"/>
              </w:rPr>
              <w:t>net kâr / çeyrek</w:t>
            </w:r>
          </w:p>
        </w:tc>
        <w:tc>
          <w:tcPr>
            <w:tcW w:type="dxa" w:w="1170"/>
          </w:tcPr>
          <w:p>
            <w:r>
              <w:rPr>
                <w:sz w:val="18"/>
              </w:rPr>
            </w:r>
            <w:r>
              <w:rPr>
                <w:sz w:val="18"/>
                <w:vertAlign w:val="superscript"/>
              </w:rPr>
              <w:t>1</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TSMC ileri düğüm gelir payı</w:t>
            </w:r>
          </w:p>
        </w:tc>
        <w:tc>
          <w:tcPr>
            <w:tcW w:type="dxa" w:w="1170"/>
          </w:tcPr>
          <w:p>
            <w:r>
              <w:rPr>
                <w:sz w:val="18"/>
              </w:rPr>
            </w:r>
            <w:r>
              <w:rPr>
                <w:sz w:val="18"/>
              </w:rPr>
              <w:t>%74</w:t>
            </w:r>
          </w:p>
        </w:tc>
        <w:tc>
          <w:tcPr>
            <w:tcW w:type="dxa" w:w="1170"/>
          </w:tcPr>
          <w:p>
            <w:r>
              <w:rPr>
                <w:sz w:val="18"/>
              </w:rPr>
            </w:r>
            <w:r>
              <w:rPr>
                <w:sz w:val="18"/>
              </w:rPr>
              <w:t>Q1 2026</w:t>
            </w:r>
          </w:p>
        </w:tc>
        <w:tc>
          <w:tcPr>
            <w:tcW w:type="dxa" w:w="1170"/>
          </w:tcPr>
          <w:p>
            <w:r>
              <w:rPr>
                <w:sz w:val="18"/>
              </w:rPr>
            </w:r>
            <w:r>
              <w:rPr>
                <w:sz w:val="18"/>
              </w:rPr>
              <w:t>%</w:t>
            </w:r>
          </w:p>
        </w:tc>
        <w:tc>
          <w:tcPr>
            <w:tcW w:type="dxa" w:w="1170"/>
          </w:tcPr>
          <w:p>
            <w:r>
              <w:rPr>
                <w:sz w:val="18"/>
              </w:rPr>
            </w:r>
            <w:r>
              <w:rPr>
                <w:sz w:val="18"/>
              </w:rPr>
              <w:t>7nm-altı gelir / toplam gelir</w:t>
            </w:r>
          </w:p>
        </w:tc>
        <w:tc>
          <w:tcPr>
            <w:tcW w:type="dxa" w:w="1170"/>
          </w:tcPr>
          <w:p>
            <w:r>
              <w:rPr>
                <w:sz w:val="18"/>
              </w:rPr>
            </w:r>
            <w:r>
              <w:rPr>
                <w:sz w:val="18"/>
                <w:vertAlign w:val="superscript"/>
              </w:rPr>
              <w:t>1</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TSMC faiz karşılama</w:t>
            </w:r>
          </w:p>
        </w:tc>
        <w:tc>
          <w:tcPr>
            <w:tcW w:type="dxa" w:w="1170"/>
          </w:tcPr>
          <w:p>
            <w:r>
              <w:rPr>
                <w:sz w:val="18"/>
              </w:rPr>
            </w:r>
            <w:r>
              <w:rPr>
                <w:sz w:val="18"/>
              </w:rPr>
              <w:t>242,5x</w:t>
            </w:r>
          </w:p>
        </w:tc>
        <w:tc>
          <w:tcPr>
            <w:tcW w:type="dxa" w:w="1170"/>
          </w:tcPr>
          <w:p>
            <w:r>
              <w:rPr>
                <w:sz w:val="18"/>
              </w:rPr>
            </w:r>
            <w:r>
              <w:rPr>
                <w:sz w:val="18"/>
              </w:rPr>
              <w:t>2026</w:t>
            </w:r>
          </w:p>
        </w:tc>
        <w:tc>
          <w:tcPr>
            <w:tcW w:type="dxa" w:w="1170"/>
          </w:tcPr>
          <w:p>
            <w:r>
              <w:rPr>
                <w:sz w:val="18"/>
              </w:rPr>
            </w:r>
            <w:r>
              <w:rPr>
                <w:sz w:val="18"/>
              </w:rPr>
              <w:t>kat</w:t>
            </w:r>
          </w:p>
        </w:tc>
        <w:tc>
          <w:tcPr>
            <w:tcW w:type="dxa" w:w="1170"/>
          </w:tcPr>
          <w:p>
            <w:r>
              <w:rPr>
                <w:sz w:val="18"/>
              </w:rPr>
            </w:r>
            <w:r>
              <w:rPr>
                <w:sz w:val="18"/>
              </w:rPr>
              <w:t>EBIT / faiz</w:t>
            </w:r>
          </w:p>
        </w:tc>
        <w:tc>
          <w:tcPr>
            <w:tcW w:type="dxa" w:w="1170"/>
          </w:tcPr>
          <w:p>
            <w:r>
              <w:rPr>
                <w:sz w:val="18"/>
              </w:rPr>
            </w:r>
            <w:r>
              <w:rPr>
                <w:sz w:val="18"/>
                <w:vertAlign w:val="superscript"/>
              </w:rPr>
              <w:t>2</w:t>
            </w:r>
          </w:p>
        </w:tc>
        <w:tc>
          <w:tcPr>
            <w:tcW w:type="dxa" w:w="1170"/>
          </w:tcPr>
          <w:p>
            <w:r>
              <w:rPr>
                <w:sz w:val="18"/>
              </w:rPr>
            </w:r>
            <w:r>
              <w:rPr>
                <w:sz w:val="18"/>
              </w:rPr>
              <w:t>Resmi (3. taraf)</w:t>
            </w:r>
          </w:p>
        </w:tc>
        <w:tc>
          <w:tcPr>
            <w:tcW w:type="dxa" w:w="1170"/>
          </w:tcPr>
          <w:p>
            <w:r>
              <w:rPr>
                <w:sz w:val="18"/>
              </w:rPr>
            </w:r>
            <w:r>
              <w:rPr>
                <w:sz w:val="18"/>
              </w:rPr>
              <w:t>Yüksek</w:t>
            </w:r>
          </w:p>
        </w:tc>
      </w:tr>
      <w:tr>
        <w:tc>
          <w:tcPr>
            <w:tcW w:type="dxa" w:w="1170"/>
          </w:tcPr>
          <w:p>
            <w:r>
              <w:rPr>
                <w:sz w:val="18"/>
              </w:rPr>
            </w:r>
            <w:r>
              <w:rPr>
                <w:sz w:val="18"/>
              </w:rPr>
              <w:t>TSMC nakit/borç</w:t>
            </w:r>
          </w:p>
        </w:tc>
        <w:tc>
          <w:tcPr>
            <w:tcW w:type="dxa" w:w="1170"/>
          </w:tcPr>
          <w:p>
            <w:r>
              <w:rPr>
                <w:sz w:val="18"/>
              </w:rPr>
            </w:r>
            <w:r>
              <w:rPr>
                <w:sz w:val="18"/>
              </w:rPr>
              <w:t>3,17</w:t>
            </w:r>
          </w:p>
        </w:tc>
        <w:tc>
          <w:tcPr>
            <w:tcW w:type="dxa" w:w="1170"/>
          </w:tcPr>
          <w:p>
            <w:r>
              <w:rPr>
                <w:sz w:val="18"/>
              </w:rPr>
            </w:r>
            <w:r>
              <w:rPr>
                <w:sz w:val="18"/>
              </w:rPr>
              <w:t>2026</w:t>
            </w:r>
          </w:p>
        </w:tc>
        <w:tc>
          <w:tcPr>
            <w:tcW w:type="dxa" w:w="1170"/>
          </w:tcPr>
          <w:p>
            <w:r>
              <w:rPr>
                <w:sz w:val="18"/>
              </w:rPr>
            </w:r>
            <w:r>
              <w:rPr>
                <w:sz w:val="18"/>
              </w:rPr>
              <w:t>oran</w:t>
            </w:r>
          </w:p>
        </w:tc>
        <w:tc>
          <w:tcPr>
            <w:tcW w:type="dxa" w:w="1170"/>
          </w:tcPr>
          <w:p>
            <w:r>
              <w:rPr>
                <w:sz w:val="18"/>
              </w:rPr>
            </w:r>
            <w:r>
              <w:rPr>
                <w:sz w:val="18"/>
              </w:rPr>
              <w:t>nakit+mk / toplam borç</w:t>
            </w:r>
          </w:p>
        </w:tc>
        <w:tc>
          <w:tcPr>
            <w:tcW w:type="dxa" w:w="1170"/>
          </w:tcPr>
          <w:p>
            <w:r>
              <w:rPr>
                <w:sz w:val="18"/>
              </w:rPr>
            </w:r>
            <w:r>
              <w:rPr>
                <w:sz w:val="18"/>
                <w:vertAlign w:val="superscript"/>
              </w:rPr>
              <w:t>12</w:t>
            </w:r>
          </w:p>
        </w:tc>
        <w:tc>
          <w:tcPr>
            <w:tcW w:type="dxa" w:w="1170"/>
          </w:tcPr>
          <w:p>
            <w:r>
              <w:rPr>
                <w:sz w:val="18"/>
              </w:rPr>
            </w:r>
            <w:r>
              <w:rPr>
                <w:sz w:val="18"/>
              </w:rPr>
              <w:t>Resmi (3. taraf)</w:t>
            </w:r>
          </w:p>
        </w:tc>
        <w:tc>
          <w:tcPr>
            <w:tcW w:type="dxa" w:w="1170"/>
          </w:tcPr>
          <w:p>
            <w:r>
              <w:rPr>
                <w:sz w:val="18"/>
              </w:rPr>
            </w:r>
            <w:r>
              <w:rPr>
                <w:sz w:val="18"/>
              </w:rPr>
              <w:t>Yüksek</w:t>
            </w:r>
          </w:p>
        </w:tc>
      </w:tr>
      <w:tr>
        <w:tc>
          <w:tcPr>
            <w:tcW w:type="dxa" w:w="1170"/>
          </w:tcPr>
          <w:p>
            <w:r>
              <w:rPr>
                <w:sz w:val="18"/>
              </w:rPr>
            </w:r>
            <w:r>
              <w:rPr>
                <w:sz w:val="18"/>
              </w:rPr>
              <w:t>Intel faiz karşılama</w:t>
            </w:r>
          </w:p>
        </w:tc>
        <w:tc>
          <w:tcPr>
            <w:tcW w:type="dxa" w:w="1170"/>
          </w:tcPr>
          <w:p>
            <w:r>
              <w:rPr>
                <w:sz w:val="18"/>
              </w:rPr>
            </w:r>
            <w:r>
              <w:rPr>
                <w:sz w:val="18"/>
              </w:rPr>
              <w:t>0,63x</w:t>
            </w:r>
          </w:p>
        </w:tc>
        <w:tc>
          <w:tcPr>
            <w:tcW w:type="dxa" w:w="1170"/>
          </w:tcPr>
          <w:p>
            <w:r>
              <w:rPr>
                <w:sz w:val="18"/>
              </w:rPr>
            </w:r>
            <w:r>
              <w:rPr>
                <w:sz w:val="18"/>
              </w:rPr>
              <w:t>2026</w:t>
            </w:r>
          </w:p>
        </w:tc>
        <w:tc>
          <w:tcPr>
            <w:tcW w:type="dxa" w:w="1170"/>
          </w:tcPr>
          <w:p>
            <w:r>
              <w:rPr>
                <w:sz w:val="18"/>
              </w:rPr>
            </w:r>
            <w:r>
              <w:rPr>
                <w:sz w:val="18"/>
              </w:rPr>
              <w:t>kat</w:t>
            </w:r>
          </w:p>
        </w:tc>
        <w:tc>
          <w:tcPr>
            <w:tcW w:type="dxa" w:w="1170"/>
          </w:tcPr>
          <w:p>
            <w:r>
              <w:rPr>
                <w:sz w:val="18"/>
              </w:rPr>
            </w:r>
            <w:r>
              <w:rPr>
                <w:sz w:val="18"/>
              </w:rPr>
              <w:t>EBIT / faiz</w:t>
            </w:r>
          </w:p>
        </w:tc>
        <w:tc>
          <w:tcPr>
            <w:tcW w:type="dxa" w:w="1170"/>
          </w:tcPr>
          <w:p>
            <w:r>
              <w:rPr>
                <w:sz w:val="18"/>
              </w:rPr>
            </w:r>
            <w:r>
              <w:rPr>
                <w:sz w:val="18"/>
                <w:vertAlign w:val="superscript"/>
              </w:rPr>
              <w:t>14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Intel foundry dış gelir</w:t>
            </w:r>
          </w:p>
        </w:tc>
        <w:tc>
          <w:tcPr>
            <w:tcW w:type="dxa" w:w="1170"/>
          </w:tcPr>
          <w:p>
            <w:r>
              <w:rPr>
                <w:sz w:val="18"/>
              </w:rPr>
            </w:r>
            <w:r>
              <w:rPr>
                <w:sz w:val="18"/>
              </w:rPr>
              <w:t>174</w:t>
            </w:r>
          </w:p>
        </w:tc>
        <w:tc>
          <w:tcPr>
            <w:tcW w:type="dxa" w:w="1170"/>
          </w:tcPr>
          <w:p>
            <w:r>
              <w:rPr>
                <w:sz w:val="18"/>
              </w:rPr>
            </w:r>
            <w:r>
              <w:rPr>
                <w:sz w:val="18"/>
              </w:rPr>
              <w:t>Q1 2026</w:t>
            </w:r>
          </w:p>
        </w:tc>
        <w:tc>
          <w:tcPr>
            <w:tcW w:type="dxa" w:w="1170"/>
          </w:tcPr>
          <w:p>
            <w:r>
              <w:rPr>
                <w:sz w:val="18"/>
              </w:rPr>
            </w:r>
            <w:r>
              <w:rPr>
                <w:sz w:val="18"/>
              </w:rPr>
              <w:t>milyon $</w:t>
            </w:r>
          </w:p>
        </w:tc>
        <w:tc>
          <w:tcPr>
            <w:tcW w:type="dxa" w:w="1170"/>
          </w:tcPr>
          <w:p>
            <w:r>
              <w:rPr>
                <w:sz w:val="18"/>
              </w:rPr>
            </w:r>
            <w:r>
              <w:rPr>
                <w:sz w:val="18"/>
              </w:rPr>
              <w:t>dış müşteri geliri / çeyrek</w:t>
            </w:r>
          </w:p>
        </w:tc>
        <w:tc>
          <w:tcPr>
            <w:tcW w:type="dxa" w:w="1170"/>
          </w:tcPr>
          <w:p>
            <w:r>
              <w:rPr>
                <w:sz w:val="18"/>
              </w:rPr>
            </w:r>
            <w:r>
              <w:rPr>
                <w:sz w:val="18"/>
                <w:vertAlign w:val="superscript"/>
              </w:rPr>
              <w:t>14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Arista borç</w:t>
            </w:r>
          </w:p>
        </w:tc>
        <w:tc>
          <w:tcPr>
            <w:tcW w:type="dxa" w:w="1170"/>
          </w:tcPr>
          <w:p>
            <w:r>
              <w:rPr>
                <w:sz w:val="18"/>
              </w:rPr>
            </w:r>
            <w:r>
              <w:rPr>
                <w:sz w:val="18"/>
              </w:rPr>
              <w:t>0</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w:t>
            </w:r>
          </w:p>
        </w:tc>
        <w:tc>
          <w:tcPr>
            <w:tcW w:type="dxa" w:w="1170"/>
          </w:tcPr>
          <w:p>
            <w:r>
              <w:rPr>
                <w:sz w:val="18"/>
              </w:rPr>
            </w:r>
            <w:r>
              <w:rPr>
                <w:sz w:val="18"/>
                <w:vertAlign w:val="superscript"/>
              </w:rPr>
              <w:t>15</w:t>
            </w:r>
          </w:p>
        </w:tc>
        <w:tc>
          <w:tcPr>
            <w:tcW w:type="dxa" w:w="1170"/>
          </w:tcPr>
          <w:p>
            <w:r>
              <w:rPr>
                <w:sz w:val="18"/>
              </w:rPr>
            </w:r>
            <w:r>
              <w:rPr>
                <w:sz w:val="18"/>
              </w:rPr>
              <w:t>Resmi (3. taraf)</w:t>
            </w:r>
          </w:p>
        </w:tc>
        <w:tc>
          <w:tcPr>
            <w:tcW w:type="dxa" w:w="1170"/>
          </w:tcPr>
          <w:p>
            <w:r>
              <w:rPr>
                <w:sz w:val="18"/>
              </w:rPr>
            </w:r>
            <w:r>
              <w:rPr>
                <w:sz w:val="18"/>
              </w:rPr>
              <w:t>Yüksek</w:t>
            </w:r>
          </w:p>
        </w:tc>
      </w:tr>
      <w:tr>
        <w:tc>
          <w:tcPr>
            <w:tcW w:type="dxa" w:w="1170"/>
          </w:tcPr>
          <w:p>
            <w:r>
              <w:rPr>
                <w:sz w:val="18"/>
              </w:rPr>
            </w:r>
            <w:r>
              <w:rPr>
                <w:sz w:val="18"/>
              </w:rPr>
              <w:t>SMCI borç/özkaynak</w:t>
            </w:r>
          </w:p>
        </w:tc>
        <w:tc>
          <w:tcPr>
            <w:tcW w:type="dxa" w:w="1170"/>
          </w:tcPr>
          <w:p>
            <w:r>
              <w:rPr>
                <w:sz w:val="18"/>
              </w:rPr>
            </w:r>
            <w:r>
              <w:rPr>
                <w:sz w:val="18"/>
              </w:rPr>
              <w:t>%115 (= 1,15x)</w:t>
            </w:r>
          </w:p>
        </w:tc>
        <w:tc>
          <w:tcPr>
            <w:tcW w:type="dxa" w:w="1170"/>
          </w:tcPr>
          <w:p>
            <w:r>
              <w:rPr>
                <w:sz w:val="18"/>
              </w:rPr>
            </w:r>
            <w:r>
              <w:rPr>
                <w:sz w:val="18"/>
              </w:rPr>
              <w:t>2026</w:t>
            </w:r>
          </w:p>
        </w:tc>
        <w:tc>
          <w:tcPr>
            <w:tcW w:type="dxa" w:w="1170"/>
          </w:tcPr>
          <w:p>
            <w:r>
              <w:rPr>
                <w:sz w:val="18"/>
              </w:rPr>
            </w:r>
            <w:r>
              <w:rPr>
                <w:sz w:val="18"/>
              </w:rPr>
              <w:t>%</w:t>
            </w:r>
          </w:p>
        </w:tc>
        <w:tc>
          <w:tcPr>
            <w:tcW w:type="dxa" w:w="1170"/>
          </w:tcPr>
          <w:p>
            <w:r>
              <w:rPr>
                <w:sz w:val="18"/>
              </w:rPr>
            </w:r>
            <w:r>
              <w:rPr>
                <w:sz w:val="18"/>
              </w:rPr>
              <w:t>toplam borç / özkaynak</w:t>
            </w:r>
          </w:p>
        </w:tc>
        <w:tc>
          <w:tcPr>
            <w:tcW w:type="dxa" w:w="1170"/>
          </w:tcPr>
          <w:p>
            <w:r>
              <w:rPr>
                <w:sz w:val="18"/>
              </w:rPr>
            </w:r>
            <w:r>
              <w:rPr>
                <w:sz w:val="18"/>
                <w:vertAlign w:val="superscript"/>
              </w:rPr>
              <w:t>17</w:t>
            </w:r>
          </w:p>
        </w:tc>
        <w:tc>
          <w:tcPr>
            <w:tcW w:type="dxa" w:w="1170"/>
          </w:tcPr>
          <w:p>
            <w:r>
              <w:rPr>
                <w:sz w:val="18"/>
              </w:rPr>
            </w:r>
            <w:r>
              <w:rPr>
                <w:sz w:val="18"/>
              </w:rPr>
              <w:t>3. taraf</w:t>
            </w:r>
          </w:p>
        </w:tc>
        <w:tc>
          <w:tcPr>
            <w:tcW w:type="dxa" w:w="1170"/>
          </w:tcPr>
          <w:p>
            <w:r>
              <w:rPr>
                <w:sz w:val="18"/>
              </w:rPr>
            </w:r>
            <w:r>
              <w:rPr>
                <w:sz w:val="18"/>
              </w:rPr>
              <w:t>Yüksek</w:t>
            </w:r>
          </w:p>
        </w:tc>
      </w:tr>
      <w:tr>
        <w:tc>
          <w:tcPr>
            <w:tcW w:type="dxa" w:w="1170"/>
          </w:tcPr>
          <w:p>
            <w:r>
              <w:rPr>
                <w:sz w:val="18"/>
              </w:rPr>
            </w:r>
            <w:r>
              <w:rPr>
                <w:sz w:val="18"/>
              </w:rPr>
              <w:t>Amazon capex 2026</w:t>
            </w:r>
          </w:p>
        </w:tc>
        <w:tc>
          <w:tcPr>
            <w:tcW w:type="dxa" w:w="1170"/>
          </w:tcPr>
          <w:p>
            <w:r>
              <w:rPr>
                <w:sz w:val="18"/>
              </w:rPr>
            </w:r>
            <w:r>
              <w:rPr>
                <w:sz w:val="18"/>
              </w:rPr>
              <w:t>200</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capex / yıl</w:t>
            </w:r>
          </w:p>
        </w:tc>
        <w:tc>
          <w:tcPr>
            <w:tcW w:type="dxa" w:w="1170"/>
          </w:tcPr>
          <w:p>
            <w:r>
              <w:rPr>
                <w:sz w:val="18"/>
              </w:rPr>
            </w:r>
            <w:r>
              <w:rPr>
                <w:sz w:val="18"/>
                <w:vertAlign w:val="superscript"/>
              </w:rPr>
              <w:t>34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Amazon son 12 ay FCF</w:t>
            </w:r>
          </w:p>
        </w:tc>
        <w:tc>
          <w:tcPr>
            <w:tcW w:type="dxa" w:w="1170"/>
          </w:tcPr>
          <w:p>
            <w:r>
              <w:rPr>
                <w:sz w:val="18"/>
              </w:rPr>
            </w:r>
            <w:r>
              <w:rPr>
                <w:sz w:val="18"/>
              </w:rPr>
              <w:t>1,2</w:t>
            </w:r>
          </w:p>
        </w:tc>
        <w:tc>
          <w:tcPr>
            <w:tcW w:type="dxa" w:w="1170"/>
          </w:tcPr>
          <w:p>
            <w:r>
              <w:rPr>
                <w:sz w:val="18"/>
              </w:rPr>
            </w:r>
            <w:r>
              <w:rPr>
                <w:sz w:val="18"/>
              </w:rPr>
              <w:t>Tem 2026</w:t>
            </w:r>
          </w:p>
        </w:tc>
        <w:tc>
          <w:tcPr>
            <w:tcW w:type="dxa" w:w="1170"/>
          </w:tcPr>
          <w:p>
            <w:r>
              <w:rPr>
                <w:sz w:val="18"/>
              </w:rPr>
            </w:r>
            <w:r>
              <w:rPr>
                <w:sz w:val="18"/>
              </w:rPr>
              <w:t>milyar $</w:t>
            </w:r>
          </w:p>
        </w:tc>
        <w:tc>
          <w:tcPr>
            <w:tcW w:type="dxa" w:w="1170"/>
          </w:tcPr>
          <w:p>
            <w:r>
              <w:rPr>
                <w:sz w:val="18"/>
              </w:rPr>
            </w:r>
            <w:r>
              <w:rPr>
                <w:sz w:val="18"/>
              </w:rPr>
              <w:t>OCF − capex / 12 ay</w:t>
            </w:r>
          </w:p>
        </w:tc>
        <w:tc>
          <w:tcPr>
            <w:tcW w:type="dxa" w:w="1170"/>
          </w:tcPr>
          <w:p>
            <w:r>
              <w:rPr>
                <w:sz w:val="18"/>
              </w:rPr>
            </w:r>
            <w:r>
              <w:rPr>
                <w:sz w:val="18"/>
                <w:vertAlign w:val="superscript"/>
              </w:rPr>
              <w:t>34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Amazon 2026 borçlanma</w:t>
            </w:r>
          </w:p>
        </w:tc>
        <w:tc>
          <w:tcPr>
            <w:tcW w:type="dxa" w:w="1170"/>
          </w:tcPr>
          <w:p>
            <w:r>
              <w:rPr>
                <w:sz w:val="18"/>
              </w:rPr>
            </w:r>
            <w:r>
              <w:rPr>
                <w:sz w:val="18"/>
              </w:rPr>
              <w:t>72</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yeni tahvil / yıl</w:t>
            </w:r>
          </w:p>
        </w:tc>
        <w:tc>
          <w:tcPr>
            <w:tcW w:type="dxa" w:w="1170"/>
          </w:tcPr>
          <w:p>
            <w:r>
              <w:rPr>
                <w:sz w:val="18"/>
              </w:rPr>
            </w:r>
            <w:r>
              <w:rPr>
                <w:sz w:val="18"/>
                <w:vertAlign w:val="superscript"/>
              </w:rPr>
              <w:t>6</w:t>
            </w:r>
          </w:p>
        </w:tc>
        <w:tc>
          <w:tcPr>
            <w:tcW w:type="dxa" w:w="1170"/>
          </w:tcPr>
          <w:p>
            <w:r>
              <w:rPr>
                <w:sz w:val="18"/>
              </w:rPr>
            </w:r>
            <w:r>
              <w:rPr>
                <w:sz w:val="18"/>
              </w:rPr>
              <w:t>3. taraf</w:t>
            </w:r>
          </w:p>
        </w:tc>
        <w:tc>
          <w:tcPr>
            <w:tcW w:type="dxa" w:w="1170"/>
          </w:tcPr>
          <w:p>
            <w:r>
              <w:rPr>
                <w:sz w:val="18"/>
              </w:rPr>
            </w:r>
            <w:r>
              <w:rPr>
                <w:sz w:val="18"/>
              </w:rPr>
              <w:t>Yüksek</w:t>
            </w:r>
          </w:p>
        </w:tc>
      </w:tr>
      <w:tr>
        <w:tc>
          <w:tcPr>
            <w:tcW w:type="dxa" w:w="1170"/>
          </w:tcPr>
          <w:p>
            <w:r>
              <w:rPr>
                <w:sz w:val="18"/>
              </w:rPr>
            </w:r>
            <w:r>
              <w:rPr>
                <w:sz w:val="18"/>
              </w:rPr>
              <w:t>Meta toplam taahhüt</w:t>
            </w:r>
          </w:p>
        </w:tc>
        <w:tc>
          <w:tcPr>
            <w:tcW w:type="dxa" w:w="1170"/>
          </w:tcPr>
          <w:p>
            <w:r>
              <w:rPr>
                <w:sz w:val="18"/>
              </w:rPr>
            </w:r>
            <w:r>
              <w:rPr>
                <w:sz w:val="18"/>
              </w:rPr>
              <w:t>238</w:t>
            </w:r>
          </w:p>
        </w:tc>
        <w:tc>
          <w:tcPr>
            <w:tcW w:type="dxa" w:w="1170"/>
          </w:tcPr>
          <w:p>
            <w:r>
              <w:rPr>
                <w:sz w:val="18"/>
              </w:rPr>
            </w:r>
            <w:r>
              <w:rPr>
                <w:sz w:val="18"/>
              </w:rPr>
              <w:t>Q1 2026</w:t>
            </w:r>
          </w:p>
        </w:tc>
        <w:tc>
          <w:tcPr>
            <w:tcW w:type="dxa" w:w="1170"/>
          </w:tcPr>
          <w:p>
            <w:r>
              <w:rPr>
                <w:sz w:val="18"/>
              </w:rPr>
            </w:r>
            <w:r>
              <w:rPr>
                <w:sz w:val="18"/>
              </w:rPr>
              <w:t>milyar $</w:t>
            </w:r>
          </w:p>
        </w:tc>
        <w:tc>
          <w:tcPr>
            <w:tcW w:type="dxa" w:w="1170"/>
          </w:tcPr>
          <w:p>
            <w:r>
              <w:rPr>
                <w:sz w:val="18"/>
              </w:rPr>
            </w:r>
            <w:r>
              <w:rPr>
                <w:sz w:val="18"/>
              </w:rPr>
              <w:t>bağlayıcı sözleşme / toplam</w:t>
            </w:r>
          </w:p>
        </w:tc>
        <w:tc>
          <w:tcPr>
            <w:tcW w:type="dxa" w:w="1170"/>
          </w:tcPr>
          <w:p>
            <w:r>
              <w:rPr>
                <w:sz w:val="18"/>
              </w:rPr>
            </w:r>
            <w:r>
              <w:rPr>
                <w:sz w:val="18"/>
                <w:vertAlign w:val="superscript"/>
              </w:rPr>
              <w:t>19</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Meta 2027 FCF projeksiyonu</w:t>
            </w:r>
          </w:p>
        </w:tc>
        <w:tc>
          <w:tcPr>
            <w:tcW w:type="dxa" w:w="1170"/>
          </w:tcPr>
          <w:p>
            <w:r>
              <w:rPr>
                <w:sz w:val="18"/>
              </w:rPr>
            </w:r>
            <w:r>
              <w:rPr>
                <w:sz w:val="18"/>
              </w:rPr>
              <w:t>−24</w:t>
            </w:r>
          </w:p>
        </w:tc>
        <w:tc>
          <w:tcPr>
            <w:tcW w:type="dxa" w:w="1170"/>
          </w:tcPr>
          <w:p>
            <w:r>
              <w:rPr>
                <w:sz w:val="18"/>
              </w:rPr>
            </w:r>
            <w:r>
              <w:rPr>
                <w:sz w:val="18"/>
              </w:rPr>
              <w:t>2027</w:t>
            </w:r>
          </w:p>
        </w:tc>
        <w:tc>
          <w:tcPr>
            <w:tcW w:type="dxa" w:w="1170"/>
          </w:tcPr>
          <w:p>
            <w:r>
              <w:rPr>
                <w:sz w:val="18"/>
              </w:rPr>
            </w:r>
            <w:r>
              <w:rPr>
                <w:sz w:val="18"/>
              </w:rPr>
              <w:t>milyar $</w:t>
            </w:r>
          </w:p>
        </w:tc>
        <w:tc>
          <w:tcPr>
            <w:tcW w:type="dxa" w:w="1170"/>
          </w:tcPr>
          <w:p>
            <w:r>
              <w:rPr>
                <w:sz w:val="18"/>
              </w:rPr>
            </w:r>
            <w:r>
              <w:rPr>
                <w:sz w:val="18"/>
              </w:rPr>
              <w:t>projeksiyon / yıl</w:t>
            </w:r>
          </w:p>
        </w:tc>
        <w:tc>
          <w:tcPr>
            <w:tcW w:type="dxa" w:w="1170"/>
          </w:tcPr>
          <w:p>
            <w:r>
              <w:rPr>
                <w:sz w:val="18"/>
              </w:rPr>
            </w:r>
            <w:r>
              <w:rPr>
                <w:sz w:val="18"/>
                <w:vertAlign w:val="superscript"/>
              </w:rPr>
              <w:t>20</w:t>
            </w:r>
          </w:p>
        </w:tc>
        <w:tc>
          <w:tcPr>
            <w:tcW w:type="dxa" w:w="1170"/>
          </w:tcPr>
          <w:p>
            <w:r>
              <w:rPr>
                <w:sz w:val="18"/>
              </w:rPr>
            </w:r>
            <w:r>
              <w:rPr>
                <w:b/>
                <w:sz w:val="18"/>
              </w:rPr>
              <w:t>Analist tahmini</w:t>
            </w:r>
          </w:p>
        </w:tc>
        <w:tc>
          <w:tcPr>
            <w:tcW w:type="dxa" w:w="1170"/>
          </w:tcPr>
          <w:p>
            <w:r>
              <w:rPr>
                <w:sz w:val="18"/>
              </w:rPr>
            </w:r>
            <w:r>
              <w:rPr>
                <w:sz w:val="18"/>
              </w:rPr>
              <w:t>Orta</w:t>
            </w:r>
          </w:p>
        </w:tc>
      </w:tr>
      <w:tr>
        <w:tc>
          <w:tcPr>
            <w:tcW w:type="dxa" w:w="1170"/>
          </w:tcPr>
          <w:p>
            <w:r>
              <w:rPr>
                <w:sz w:val="18"/>
              </w:rPr>
            </w:r>
            <w:r>
              <w:rPr>
                <w:sz w:val="18"/>
              </w:rPr>
              <w:t>Alphabet hisse arzı</w:t>
            </w:r>
          </w:p>
        </w:tc>
        <w:tc>
          <w:tcPr>
            <w:tcW w:type="dxa" w:w="1170"/>
          </w:tcPr>
          <w:p>
            <w:r>
              <w:rPr>
                <w:sz w:val="18"/>
              </w:rPr>
            </w:r>
            <w:r>
              <w:rPr>
                <w:sz w:val="18"/>
              </w:rPr>
              <w:t>84,75</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equity raise / yıl (fiyatlandırılmış büyüklük)</w:t>
            </w:r>
          </w:p>
        </w:tc>
        <w:tc>
          <w:tcPr>
            <w:tcW w:type="dxa" w:w="1170"/>
          </w:tcPr>
          <w:p>
            <w:r>
              <w:rPr>
                <w:sz w:val="18"/>
              </w:rPr>
            </w:r>
            <w:r>
              <w:rPr>
                <w:sz w:val="18"/>
                <w:vertAlign w:val="superscript"/>
              </w:rPr>
              <w:t>18</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CoreWeave backlog</w:t>
            </w:r>
          </w:p>
        </w:tc>
        <w:tc>
          <w:tcPr>
            <w:tcW w:type="dxa" w:w="1170"/>
          </w:tcPr>
          <w:p>
            <w:r>
              <w:rPr>
                <w:sz w:val="18"/>
              </w:rPr>
            </w:r>
            <w:r>
              <w:rPr>
                <w:sz w:val="18"/>
              </w:rPr>
              <w:t>99,4</w:t>
            </w:r>
          </w:p>
        </w:tc>
        <w:tc>
          <w:tcPr>
            <w:tcW w:type="dxa" w:w="1170"/>
          </w:tcPr>
          <w:p>
            <w:r>
              <w:rPr>
                <w:sz w:val="18"/>
              </w:rPr>
            </w:r>
            <w:r>
              <w:rPr>
                <w:sz w:val="18"/>
              </w:rPr>
              <w:t>Mar 2026</w:t>
            </w:r>
          </w:p>
        </w:tc>
        <w:tc>
          <w:tcPr>
            <w:tcW w:type="dxa" w:w="1170"/>
          </w:tcPr>
          <w:p>
            <w:r>
              <w:rPr>
                <w:sz w:val="18"/>
              </w:rPr>
            </w:r>
            <w:r>
              <w:rPr>
                <w:sz w:val="18"/>
              </w:rPr>
              <w:t>milyar $</w:t>
            </w:r>
          </w:p>
        </w:tc>
        <w:tc>
          <w:tcPr>
            <w:tcW w:type="dxa" w:w="1170"/>
          </w:tcPr>
          <w:p>
            <w:r>
              <w:rPr>
                <w:sz w:val="18"/>
              </w:rPr>
            </w:r>
            <w:r>
              <w:rPr>
                <w:sz w:val="18"/>
              </w:rPr>
              <w:t>sipariş birikimi / anlık</w:t>
            </w:r>
          </w:p>
        </w:tc>
        <w:tc>
          <w:tcPr>
            <w:tcW w:type="dxa" w:w="1170"/>
          </w:tcPr>
          <w:p>
            <w:r>
              <w:rPr>
                <w:sz w:val="18"/>
              </w:rPr>
            </w:r>
            <w:r>
              <w:rPr>
                <w:sz w:val="18"/>
                <w:vertAlign w:val="superscript"/>
              </w:rPr>
              <w:t>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CoreWeave cari oran</w:t>
            </w:r>
          </w:p>
        </w:tc>
        <w:tc>
          <w:tcPr>
            <w:tcW w:type="dxa" w:w="1170"/>
          </w:tcPr>
          <w:p>
            <w:r>
              <w:rPr>
                <w:sz w:val="18"/>
              </w:rPr>
            </w:r>
            <w:r>
              <w:rPr>
                <w:sz w:val="18"/>
              </w:rPr>
              <w:t>0,31</w:t>
            </w:r>
          </w:p>
        </w:tc>
        <w:tc>
          <w:tcPr>
            <w:tcW w:type="dxa" w:w="1170"/>
          </w:tcPr>
          <w:p>
            <w:r>
              <w:rPr>
                <w:sz w:val="18"/>
              </w:rPr>
            </w:r>
            <w:r>
              <w:rPr>
                <w:sz w:val="18"/>
              </w:rPr>
              <w:t>Q1 2026</w:t>
            </w:r>
          </w:p>
        </w:tc>
        <w:tc>
          <w:tcPr>
            <w:tcW w:type="dxa" w:w="1170"/>
          </w:tcPr>
          <w:p>
            <w:r>
              <w:rPr>
                <w:sz w:val="18"/>
              </w:rPr>
            </w:r>
            <w:r>
              <w:rPr>
                <w:sz w:val="18"/>
              </w:rPr>
              <w:t>oran</w:t>
            </w:r>
          </w:p>
        </w:tc>
        <w:tc>
          <w:tcPr>
            <w:tcW w:type="dxa" w:w="1170"/>
          </w:tcPr>
          <w:p>
            <w:r>
              <w:rPr>
                <w:sz w:val="18"/>
              </w:rPr>
            </w:r>
            <w:r>
              <w:rPr>
                <w:sz w:val="18"/>
              </w:rPr>
              <w:t>dönen varlık / kısa vadeli borç</w:t>
            </w:r>
          </w:p>
        </w:tc>
        <w:tc>
          <w:tcPr>
            <w:tcW w:type="dxa" w:w="1170"/>
          </w:tcPr>
          <w:p>
            <w:r>
              <w:rPr>
                <w:sz w:val="18"/>
              </w:rPr>
            </w:r>
            <w:r>
              <w:rPr>
                <w:sz w:val="18"/>
                <w:vertAlign w:val="superscript"/>
              </w:rPr>
              <w:t>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CoreWeave toplam borç</w:t>
            </w:r>
          </w:p>
        </w:tc>
        <w:tc>
          <w:tcPr>
            <w:tcW w:type="dxa" w:w="1170"/>
          </w:tcPr>
          <w:p>
            <w:r>
              <w:rPr>
                <w:sz w:val="18"/>
              </w:rPr>
            </w:r>
            <w:r>
              <w:rPr>
                <w:sz w:val="18"/>
              </w:rPr>
              <w:t>25,1</w:t>
            </w:r>
          </w:p>
        </w:tc>
        <w:tc>
          <w:tcPr>
            <w:tcW w:type="dxa" w:w="1170"/>
          </w:tcPr>
          <w:p>
            <w:r>
              <w:rPr>
                <w:sz w:val="18"/>
              </w:rPr>
            </w:r>
            <w:r>
              <w:rPr>
                <w:sz w:val="18"/>
              </w:rPr>
              <w:t>Q1 2026</w:t>
            </w:r>
          </w:p>
        </w:tc>
        <w:tc>
          <w:tcPr>
            <w:tcW w:type="dxa" w:w="1170"/>
          </w:tcPr>
          <w:p>
            <w:r>
              <w:rPr>
                <w:sz w:val="18"/>
              </w:rPr>
            </w:r>
            <w:r>
              <w:rPr>
                <w:sz w:val="18"/>
              </w:rPr>
              <w:t>milyar $</w:t>
            </w:r>
          </w:p>
        </w:tc>
        <w:tc>
          <w:tcPr>
            <w:tcW w:type="dxa" w:w="1170"/>
          </w:tcPr>
          <w:p>
            <w:r>
              <w:rPr>
                <w:sz w:val="18"/>
              </w:rPr>
            </w:r>
            <w:r>
              <w:rPr>
                <w:sz w:val="18"/>
              </w:rPr>
              <w:t>toplam borç / anlık</w:t>
            </w:r>
          </w:p>
        </w:tc>
        <w:tc>
          <w:tcPr>
            <w:tcW w:type="dxa" w:w="1170"/>
          </w:tcPr>
          <w:p>
            <w:r>
              <w:rPr>
                <w:sz w:val="18"/>
              </w:rPr>
            </w:r>
            <w:r>
              <w:rPr>
                <w:sz w:val="18"/>
                <w:vertAlign w:val="superscript"/>
              </w:rPr>
              <w:t>4</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CoreWeave S&amp;P notu</w:t>
            </w:r>
          </w:p>
        </w:tc>
        <w:tc>
          <w:tcPr>
            <w:tcW w:type="dxa" w:w="1170"/>
          </w:tcPr>
          <w:p>
            <w:r>
              <w:rPr>
                <w:sz w:val="18"/>
              </w:rPr>
            </w:r>
            <w:r>
              <w:rPr>
                <w:sz w:val="18"/>
              </w:rPr>
              <w:t>'B'</w:t>
            </w:r>
          </w:p>
        </w:tc>
        <w:tc>
          <w:tcPr>
            <w:tcW w:type="dxa" w:w="1170"/>
          </w:tcPr>
          <w:p>
            <w:r>
              <w:rPr>
                <w:sz w:val="18"/>
              </w:rPr>
            </w:r>
            <w:r>
              <w:rPr>
                <w:sz w:val="18"/>
              </w:rPr>
              <w:t>2026</w:t>
            </w:r>
          </w:p>
        </w:tc>
        <w:tc>
          <w:tcPr>
            <w:tcW w:type="dxa" w:w="1170"/>
          </w:tcPr>
          <w:p>
            <w:r>
              <w:rPr>
                <w:sz w:val="18"/>
              </w:rPr>
            </w:r>
            <w:r>
              <w:rPr>
                <w:sz w:val="18"/>
              </w:rPr>
              <w:t>not</w:t>
            </w:r>
          </w:p>
        </w:tc>
        <w:tc>
          <w:tcPr>
            <w:tcW w:type="dxa" w:w="1170"/>
          </w:tcPr>
          <w:p>
            <w:r>
              <w:rPr>
                <w:sz w:val="18"/>
              </w:rPr>
            </w:r>
            <w:r>
              <w:rPr>
                <w:sz w:val="18"/>
              </w:rPr>
              <w:t>3,5 mr $ tahvil</w:t>
            </w:r>
          </w:p>
        </w:tc>
        <w:tc>
          <w:tcPr>
            <w:tcW w:type="dxa" w:w="1170"/>
          </w:tcPr>
          <w:p>
            <w:r>
              <w:rPr>
                <w:sz w:val="18"/>
              </w:rPr>
            </w:r>
            <w:r>
              <w:rPr>
                <w:sz w:val="18"/>
                <w:vertAlign w:val="superscript"/>
              </w:rPr>
              <w:t>5</w:t>
            </w:r>
          </w:p>
        </w:tc>
        <w:tc>
          <w:tcPr>
            <w:tcW w:type="dxa" w:w="1170"/>
          </w:tcPr>
          <w:p>
            <w:r>
              <w:rPr>
                <w:sz w:val="18"/>
              </w:rPr>
            </w:r>
            <w:r>
              <w:rPr>
                <w:sz w:val="18"/>
              </w:rPr>
              <w:t>Derecelendirme</w:t>
            </w:r>
          </w:p>
        </w:tc>
        <w:tc>
          <w:tcPr>
            <w:tcW w:type="dxa" w:w="1170"/>
          </w:tcPr>
          <w:p>
            <w:r>
              <w:rPr>
                <w:sz w:val="18"/>
              </w:rPr>
            </w:r>
            <w:r>
              <w:rPr>
                <w:sz w:val="18"/>
              </w:rPr>
              <w:t>Yüksek</w:t>
            </w:r>
          </w:p>
        </w:tc>
      </w:tr>
      <w:tr>
        <w:tc>
          <w:tcPr>
            <w:tcW w:type="dxa" w:w="1170"/>
          </w:tcPr>
          <w:p>
            <w:r>
              <w:rPr>
                <w:sz w:val="18"/>
              </w:rPr>
            </w:r>
            <w:r>
              <w:rPr>
                <w:sz w:val="18"/>
              </w:rPr>
              <w:t>Nebius Q1 gelir artışı</w:t>
            </w:r>
          </w:p>
        </w:tc>
        <w:tc>
          <w:tcPr>
            <w:tcW w:type="dxa" w:w="1170"/>
          </w:tcPr>
          <w:p>
            <w:r>
              <w:rPr>
                <w:sz w:val="18"/>
              </w:rPr>
            </w:r>
            <w:r>
              <w:rPr>
                <w:sz w:val="18"/>
              </w:rPr>
              <w:t>%684</w:t>
            </w:r>
          </w:p>
        </w:tc>
        <w:tc>
          <w:tcPr>
            <w:tcW w:type="dxa" w:w="1170"/>
          </w:tcPr>
          <w:p>
            <w:r>
              <w:rPr>
                <w:sz w:val="18"/>
              </w:rPr>
            </w:r>
            <w:r>
              <w:rPr>
                <w:sz w:val="18"/>
              </w:rPr>
              <w:t>Q1 2026</w:t>
            </w:r>
          </w:p>
        </w:tc>
        <w:tc>
          <w:tcPr>
            <w:tcW w:type="dxa" w:w="1170"/>
          </w:tcPr>
          <w:p>
            <w:r>
              <w:rPr>
                <w:sz w:val="18"/>
              </w:rPr>
            </w:r>
            <w:r>
              <w:rPr>
                <w:sz w:val="18"/>
              </w:rPr>
              <w:t>%</w:t>
            </w:r>
          </w:p>
        </w:tc>
        <w:tc>
          <w:tcPr>
            <w:tcW w:type="dxa" w:w="1170"/>
          </w:tcPr>
          <w:p>
            <w:r>
              <w:rPr>
                <w:sz w:val="18"/>
              </w:rPr>
            </w:r>
            <w:r>
              <w:rPr>
                <w:sz w:val="18"/>
              </w:rPr>
              <w:t>gelir / yıllık</w:t>
            </w:r>
          </w:p>
        </w:tc>
        <w:tc>
          <w:tcPr>
            <w:tcW w:type="dxa" w:w="1170"/>
          </w:tcPr>
          <w:p>
            <w:r>
              <w:rPr>
                <w:sz w:val="18"/>
              </w:rPr>
            </w:r>
            <w:r>
              <w:rPr>
                <w:sz w:val="18"/>
                <w:vertAlign w:val="superscript"/>
              </w:rPr>
              <w:t>39</w:t>
            </w:r>
          </w:p>
        </w:tc>
        <w:tc>
          <w:tcPr>
            <w:tcW w:type="dxa" w:w="1170"/>
          </w:tcPr>
          <w:p>
            <w:r>
              <w:rPr>
                <w:sz w:val="18"/>
              </w:rPr>
            </w:r>
            <w:r>
              <w:rPr>
                <w:sz w:val="18"/>
              </w:rPr>
              <w:t>Resmi</w:t>
            </w:r>
          </w:p>
        </w:tc>
        <w:tc>
          <w:tcPr>
            <w:tcW w:type="dxa" w:w="1170"/>
          </w:tcPr>
          <w:p>
            <w:r>
              <w:rPr>
                <w:sz w:val="18"/>
              </w:rPr>
            </w:r>
            <w:r>
              <w:rPr>
                <w:sz w:val="18"/>
              </w:rPr>
              <w:t>Yüksek</w:t>
            </w:r>
          </w:p>
        </w:tc>
      </w:tr>
      <w:tr>
        <w:tc>
          <w:tcPr>
            <w:tcW w:type="dxa" w:w="1170"/>
          </w:tcPr>
          <w:p>
            <w:r>
              <w:rPr>
                <w:sz w:val="18"/>
              </w:rPr>
            </w:r>
            <w:r>
              <w:rPr>
                <w:sz w:val="18"/>
              </w:rPr>
              <w:t>Lambda değerleme</w:t>
            </w:r>
          </w:p>
        </w:tc>
        <w:tc>
          <w:tcPr>
            <w:tcW w:type="dxa" w:w="1170"/>
          </w:tcPr>
          <w:p>
            <w:r>
              <w:rPr>
                <w:sz w:val="18"/>
              </w:rPr>
            </w:r>
            <w:r>
              <w:rPr>
                <w:sz w:val="18"/>
              </w:rPr>
              <w:t>5,9</w:t>
            </w:r>
          </w:p>
        </w:tc>
        <w:tc>
          <w:tcPr>
            <w:tcW w:type="dxa" w:w="1170"/>
          </w:tcPr>
          <w:p>
            <w:r>
              <w:rPr>
                <w:sz w:val="18"/>
              </w:rPr>
            </w:r>
            <w:r>
              <w:rPr>
                <w:sz w:val="18"/>
              </w:rPr>
              <w:t>Kas 2025</w:t>
            </w:r>
          </w:p>
        </w:tc>
        <w:tc>
          <w:tcPr>
            <w:tcW w:type="dxa" w:w="1170"/>
          </w:tcPr>
          <w:p>
            <w:r>
              <w:rPr>
                <w:sz w:val="18"/>
              </w:rPr>
            </w:r>
            <w:r>
              <w:rPr>
                <w:sz w:val="18"/>
              </w:rPr>
              <w:t>milyar $</w:t>
            </w:r>
          </w:p>
        </w:tc>
        <w:tc>
          <w:tcPr>
            <w:tcW w:type="dxa" w:w="1170"/>
          </w:tcPr>
          <w:p>
            <w:r>
              <w:rPr>
                <w:sz w:val="18"/>
              </w:rPr>
            </w:r>
            <w:r>
              <w:rPr>
                <w:sz w:val="18"/>
              </w:rPr>
              <w:t>post-money / tur</w:t>
            </w:r>
          </w:p>
        </w:tc>
        <w:tc>
          <w:tcPr>
            <w:tcW w:type="dxa" w:w="1170"/>
          </w:tcPr>
          <w:p>
            <w:r>
              <w:rPr>
                <w:sz w:val="18"/>
              </w:rPr>
            </w:r>
            <w:r>
              <w:rPr>
                <w:sz w:val="18"/>
                <w:vertAlign w:val="superscript"/>
              </w:rPr>
              <w:t>41</w:t>
            </w:r>
          </w:p>
        </w:tc>
        <w:tc>
          <w:tcPr>
            <w:tcW w:type="dxa" w:w="1170"/>
          </w:tcPr>
          <w:p>
            <w:r>
              <w:rPr>
                <w:sz w:val="18"/>
              </w:rPr>
            </w:r>
            <w:r>
              <w:rPr>
                <w:sz w:val="18"/>
              </w:rPr>
              <w:t>3. taraf</w:t>
            </w:r>
          </w:p>
        </w:tc>
        <w:tc>
          <w:tcPr>
            <w:tcW w:type="dxa" w:w="1170"/>
          </w:tcPr>
          <w:p>
            <w:r>
              <w:rPr>
                <w:sz w:val="18"/>
              </w:rPr>
            </w:r>
            <w:r>
              <w:rPr>
                <w:sz w:val="18"/>
              </w:rPr>
              <w:t>Orta</w:t>
            </w:r>
          </w:p>
        </w:tc>
      </w:tr>
      <w:tr>
        <w:tc>
          <w:tcPr>
            <w:tcW w:type="dxa" w:w="1170"/>
          </w:tcPr>
          <w:p>
            <w:r>
              <w:rPr>
                <w:sz w:val="18"/>
              </w:rPr>
            </w:r>
            <w:r>
              <w:rPr>
                <w:sz w:val="18"/>
              </w:rPr>
              <w:t>OpenAI değerleme</w:t>
            </w:r>
          </w:p>
        </w:tc>
        <w:tc>
          <w:tcPr>
            <w:tcW w:type="dxa" w:w="1170"/>
          </w:tcPr>
          <w:p>
            <w:r>
              <w:rPr>
                <w:sz w:val="18"/>
              </w:rPr>
            </w:r>
            <w:r>
              <w:rPr>
                <w:sz w:val="18"/>
              </w:rPr>
              <w:t>852</w:t>
            </w:r>
          </w:p>
        </w:tc>
        <w:tc>
          <w:tcPr>
            <w:tcW w:type="dxa" w:w="1170"/>
          </w:tcPr>
          <w:p>
            <w:r>
              <w:rPr>
                <w:sz w:val="18"/>
              </w:rPr>
            </w:r>
            <w:r>
              <w:rPr>
                <w:sz w:val="18"/>
              </w:rPr>
              <w:t>Mar 2026</w:t>
            </w:r>
          </w:p>
        </w:tc>
        <w:tc>
          <w:tcPr>
            <w:tcW w:type="dxa" w:w="1170"/>
          </w:tcPr>
          <w:p>
            <w:r>
              <w:rPr>
                <w:sz w:val="18"/>
              </w:rPr>
            </w:r>
            <w:r>
              <w:rPr>
                <w:sz w:val="18"/>
              </w:rPr>
              <w:t>milyar $</w:t>
            </w:r>
          </w:p>
        </w:tc>
        <w:tc>
          <w:tcPr>
            <w:tcW w:type="dxa" w:w="1170"/>
          </w:tcPr>
          <w:p>
            <w:r>
              <w:rPr>
                <w:sz w:val="18"/>
              </w:rPr>
            </w:r>
            <w:r>
              <w:rPr>
                <w:sz w:val="18"/>
              </w:rPr>
              <w:t>post-money / tur</w:t>
            </w:r>
          </w:p>
        </w:tc>
        <w:tc>
          <w:tcPr>
            <w:tcW w:type="dxa" w:w="1170"/>
          </w:tcPr>
          <w:p>
            <w:r>
              <w:rPr>
                <w:sz w:val="18"/>
              </w:rPr>
            </w:r>
            <w:r>
              <w:rPr>
                <w:sz w:val="18"/>
                <w:vertAlign w:val="superscript"/>
              </w:rPr>
              <w:t>43</w:t>
            </w:r>
          </w:p>
        </w:tc>
        <w:tc>
          <w:tcPr>
            <w:tcW w:type="dxa" w:w="1170"/>
          </w:tcPr>
          <w:p>
            <w:r>
              <w:rPr>
                <w:sz w:val="18"/>
              </w:rPr>
            </w:r>
            <w:r>
              <w:rPr>
                <w:sz w:val="18"/>
              </w:rPr>
              <w:t>3. taraf</w:t>
            </w:r>
          </w:p>
        </w:tc>
        <w:tc>
          <w:tcPr>
            <w:tcW w:type="dxa" w:w="1170"/>
          </w:tcPr>
          <w:p>
            <w:r>
              <w:rPr>
                <w:sz w:val="18"/>
              </w:rPr>
            </w:r>
            <w:r>
              <w:rPr>
                <w:sz w:val="18"/>
              </w:rPr>
              <w:t>Orta</w:t>
            </w:r>
          </w:p>
        </w:tc>
      </w:tr>
      <w:tr>
        <w:tc>
          <w:tcPr>
            <w:tcW w:type="dxa" w:w="1170"/>
          </w:tcPr>
          <w:p>
            <w:r>
              <w:rPr>
                <w:sz w:val="18"/>
              </w:rPr>
            </w:r>
            <w:r>
              <w:rPr>
                <w:sz w:val="18"/>
              </w:rPr>
              <w:t>OpenAI ARR</w:t>
            </w:r>
          </w:p>
        </w:tc>
        <w:tc>
          <w:tcPr>
            <w:tcW w:type="dxa" w:w="1170"/>
          </w:tcPr>
          <w:p>
            <w:r>
              <w:rPr>
                <w:sz w:val="18"/>
              </w:rPr>
            </w:r>
            <w:r>
              <w:rPr>
                <w:sz w:val="18"/>
              </w:rPr>
              <w:t>25</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yıllıklandırılmış gelir</w:t>
            </w:r>
          </w:p>
        </w:tc>
        <w:tc>
          <w:tcPr>
            <w:tcW w:type="dxa" w:w="1170"/>
          </w:tcPr>
          <w:p>
            <w:r>
              <w:rPr>
                <w:sz w:val="18"/>
              </w:rPr>
            </w:r>
            <w:r>
              <w:rPr>
                <w:sz w:val="18"/>
                <w:vertAlign w:val="superscript"/>
              </w:rPr>
              <w:t>44</w:t>
            </w:r>
          </w:p>
        </w:tc>
        <w:tc>
          <w:tcPr>
            <w:tcW w:type="dxa" w:w="1170"/>
          </w:tcPr>
          <w:p>
            <w:r>
              <w:rPr>
                <w:sz w:val="18"/>
              </w:rPr>
            </w:r>
            <w:r>
              <w:rPr>
                <w:b/>
                <w:sz w:val="18"/>
              </w:rPr>
              <w:t>Analist tahmini</w:t>
            </w:r>
          </w:p>
        </w:tc>
        <w:tc>
          <w:tcPr>
            <w:tcW w:type="dxa" w:w="1170"/>
          </w:tcPr>
          <w:p>
            <w:r>
              <w:rPr>
                <w:sz w:val="18"/>
              </w:rPr>
            </w:r>
            <w:r>
              <w:rPr>
                <w:sz w:val="18"/>
              </w:rPr>
              <w:t>Orta</w:t>
            </w:r>
          </w:p>
        </w:tc>
      </w:tr>
      <w:tr>
        <w:tc>
          <w:tcPr>
            <w:tcW w:type="dxa" w:w="1170"/>
          </w:tcPr>
          <w:p>
            <w:r>
              <w:rPr>
                <w:sz w:val="18"/>
              </w:rPr>
            </w:r>
            <w:r>
              <w:rPr>
                <w:sz w:val="18"/>
              </w:rPr>
              <w:t>OpenAI cash burn 2026</w:t>
            </w:r>
          </w:p>
        </w:tc>
        <w:tc>
          <w:tcPr>
            <w:tcW w:type="dxa" w:w="1170"/>
          </w:tcPr>
          <w:p>
            <w:r>
              <w:rPr>
                <w:sz w:val="18"/>
              </w:rPr>
            </w:r>
            <w:r>
              <w:rPr>
                <w:sz w:val="18"/>
              </w:rPr>
              <w:t>27</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net nakit yakımı / yıl</w:t>
            </w:r>
          </w:p>
        </w:tc>
        <w:tc>
          <w:tcPr>
            <w:tcW w:type="dxa" w:w="1170"/>
          </w:tcPr>
          <w:p>
            <w:r>
              <w:rPr>
                <w:sz w:val="18"/>
              </w:rPr>
            </w:r>
            <w:r>
              <w:rPr>
                <w:sz w:val="18"/>
                <w:vertAlign w:val="superscript"/>
              </w:rPr>
              <w:t>44</w:t>
            </w:r>
          </w:p>
        </w:tc>
        <w:tc>
          <w:tcPr>
            <w:tcW w:type="dxa" w:w="1170"/>
          </w:tcPr>
          <w:p>
            <w:r>
              <w:rPr>
                <w:sz w:val="18"/>
              </w:rPr>
            </w:r>
            <w:r>
              <w:rPr>
                <w:b/>
                <w:sz w:val="18"/>
              </w:rPr>
              <w:t>Analist tahmini</w:t>
            </w:r>
          </w:p>
        </w:tc>
        <w:tc>
          <w:tcPr>
            <w:tcW w:type="dxa" w:w="1170"/>
          </w:tcPr>
          <w:p>
            <w:r>
              <w:rPr>
                <w:sz w:val="18"/>
              </w:rPr>
            </w:r>
            <w:r>
              <w:rPr>
                <w:sz w:val="18"/>
              </w:rPr>
              <w:t>Orta</w:t>
            </w:r>
          </w:p>
        </w:tc>
      </w:tr>
      <w:tr>
        <w:tc>
          <w:tcPr>
            <w:tcW w:type="dxa" w:w="1170"/>
          </w:tcPr>
          <w:p>
            <w:r>
              <w:rPr>
                <w:sz w:val="18"/>
              </w:rPr>
            </w:r>
            <w:r>
              <w:rPr>
                <w:sz w:val="18"/>
              </w:rPr>
              <w:t>OpenAI %5 hükümet hissesi</w:t>
            </w:r>
          </w:p>
        </w:tc>
        <w:tc>
          <w:tcPr>
            <w:tcW w:type="dxa" w:w="1170"/>
          </w:tcPr>
          <w:p>
            <w:r>
              <w:rPr>
                <w:sz w:val="18"/>
              </w:rPr>
            </w:r>
            <w:r>
              <w:rPr>
                <w:sz w:val="18"/>
              </w:rPr>
              <w:t>42,6</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müzakere / —</w:t>
            </w:r>
          </w:p>
        </w:tc>
        <w:tc>
          <w:tcPr>
            <w:tcW w:type="dxa" w:w="1170"/>
          </w:tcPr>
          <w:p>
            <w:r>
              <w:rPr>
                <w:sz w:val="18"/>
              </w:rPr>
            </w:r>
            <w:r>
              <w:rPr>
                <w:sz w:val="18"/>
                <w:vertAlign w:val="superscript"/>
              </w:rPr>
              <w:t>45</w:t>
            </w:r>
          </w:p>
        </w:tc>
        <w:tc>
          <w:tcPr>
            <w:tcW w:type="dxa" w:w="1170"/>
          </w:tcPr>
          <w:p>
            <w:r>
              <w:rPr>
                <w:sz w:val="18"/>
              </w:rPr>
            </w:r>
            <w:r>
              <w:rPr>
                <w:b/>
                <w:sz w:val="18"/>
              </w:rPr>
              <w:t>Çakışma</w:t>
            </w:r>
          </w:p>
        </w:tc>
        <w:tc>
          <w:tcPr>
            <w:tcW w:type="dxa" w:w="1170"/>
          </w:tcPr>
          <w:p>
            <w:r>
              <w:rPr>
                <w:sz w:val="18"/>
              </w:rPr>
            </w:r>
            <w:r>
              <w:rPr>
                <w:sz w:val="18"/>
              </w:rPr>
              <w:t>Çakışma</w:t>
            </w:r>
          </w:p>
        </w:tc>
      </w:tr>
      <w:tr>
        <w:tc>
          <w:tcPr>
            <w:tcW w:type="dxa" w:w="1170"/>
          </w:tcPr>
          <w:p>
            <w:r>
              <w:rPr>
                <w:sz w:val="18"/>
              </w:rPr>
            </w:r>
            <w:r>
              <w:rPr>
                <w:sz w:val="18"/>
              </w:rPr>
              <w:t>Anthropic değerleme</w:t>
            </w:r>
          </w:p>
        </w:tc>
        <w:tc>
          <w:tcPr>
            <w:tcW w:type="dxa" w:w="1170"/>
          </w:tcPr>
          <w:p>
            <w:r>
              <w:rPr>
                <w:sz w:val="18"/>
              </w:rPr>
            </w:r>
            <w:r>
              <w:rPr>
                <w:sz w:val="18"/>
              </w:rPr>
              <w:t>965</w:t>
            </w:r>
          </w:p>
        </w:tc>
        <w:tc>
          <w:tcPr>
            <w:tcW w:type="dxa" w:w="1170"/>
          </w:tcPr>
          <w:p>
            <w:r>
              <w:rPr>
                <w:sz w:val="18"/>
              </w:rPr>
            </w:r>
            <w:r>
              <w:rPr>
                <w:sz w:val="18"/>
              </w:rPr>
              <w:t>2026</w:t>
            </w:r>
          </w:p>
        </w:tc>
        <w:tc>
          <w:tcPr>
            <w:tcW w:type="dxa" w:w="1170"/>
          </w:tcPr>
          <w:p>
            <w:r>
              <w:rPr>
                <w:sz w:val="18"/>
              </w:rPr>
            </w:r>
            <w:r>
              <w:rPr>
                <w:sz w:val="18"/>
              </w:rPr>
              <w:t>milyar $</w:t>
            </w:r>
          </w:p>
        </w:tc>
        <w:tc>
          <w:tcPr>
            <w:tcW w:type="dxa" w:w="1170"/>
          </w:tcPr>
          <w:p>
            <w:r>
              <w:rPr>
                <w:sz w:val="18"/>
              </w:rPr>
            </w:r>
            <w:r>
              <w:rPr>
                <w:sz w:val="18"/>
              </w:rPr>
              <w:t>post-money / tur</w:t>
            </w:r>
          </w:p>
        </w:tc>
        <w:tc>
          <w:tcPr>
            <w:tcW w:type="dxa" w:w="1170"/>
          </w:tcPr>
          <w:p>
            <w:r>
              <w:rPr>
                <w:sz w:val="18"/>
              </w:rPr>
            </w:r>
            <w:r>
              <w:rPr>
                <w:sz w:val="18"/>
                <w:vertAlign w:val="superscript"/>
              </w:rPr>
              <w:t>47</w:t>
            </w:r>
          </w:p>
        </w:tc>
        <w:tc>
          <w:tcPr>
            <w:tcW w:type="dxa" w:w="1170"/>
          </w:tcPr>
          <w:p>
            <w:r>
              <w:rPr>
                <w:sz w:val="18"/>
              </w:rPr>
            </w:r>
            <w:r>
              <w:rPr>
                <w:sz w:val="18"/>
              </w:rPr>
              <w:t>3. taraf</w:t>
            </w:r>
          </w:p>
        </w:tc>
        <w:tc>
          <w:tcPr>
            <w:tcW w:type="dxa" w:w="1170"/>
          </w:tcPr>
          <w:p>
            <w:r>
              <w:rPr>
                <w:sz w:val="18"/>
              </w:rPr>
            </w:r>
            <w:r>
              <w:rPr>
                <w:sz w:val="18"/>
              </w:rPr>
              <w:t>Orta</w:t>
            </w:r>
          </w:p>
        </w:tc>
      </w:tr>
      <w:tr>
        <w:tc>
          <w:tcPr>
            <w:tcW w:type="dxa" w:w="1170"/>
          </w:tcPr>
          <w:p>
            <w:r>
              <w:rPr>
                <w:sz w:val="18"/>
              </w:rPr>
            </w:r>
            <w:r>
              <w:rPr>
                <w:sz w:val="18"/>
              </w:rPr>
              <w:t>Anthropic ARR</w:t>
            </w:r>
          </w:p>
        </w:tc>
        <w:tc>
          <w:tcPr>
            <w:tcW w:type="dxa" w:w="1170"/>
          </w:tcPr>
          <w:p>
            <w:r>
              <w:rPr>
                <w:sz w:val="18"/>
              </w:rPr>
            </w:r>
            <w:r>
              <w:rPr>
                <w:sz w:val="18"/>
              </w:rPr>
              <w:t>47</w:t>
            </w:r>
          </w:p>
        </w:tc>
        <w:tc>
          <w:tcPr>
            <w:tcW w:type="dxa" w:w="1170"/>
          </w:tcPr>
          <w:p>
            <w:r>
              <w:rPr>
                <w:sz w:val="18"/>
              </w:rPr>
            </w:r>
            <w:r>
              <w:rPr>
                <w:sz w:val="18"/>
              </w:rPr>
              <w:t>May 2026</w:t>
            </w:r>
          </w:p>
        </w:tc>
        <w:tc>
          <w:tcPr>
            <w:tcW w:type="dxa" w:w="1170"/>
          </w:tcPr>
          <w:p>
            <w:r>
              <w:rPr>
                <w:sz w:val="18"/>
              </w:rPr>
            </w:r>
            <w:r>
              <w:rPr>
                <w:sz w:val="18"/>
              </w:rPr>
              <w:t>milyar $</w:t>
            </w:r>
          </w:p>
        </w:tc>
        <w:tc>
          <w:tcPr>
            <w:tcW w:type="dxa" w:w="1170"/>
          </w:tcPr>
          <w:p>
            <w:r>
              <w:rPr>
                <w:sz w:val="18"/>
              </w:rPr>
            </w:r>
            <w:r>
              <w:rPr>
                <w:sz w:val="18"/>
              </w:rPr>
              <w:t>yıllıklandırılmış gelir</w:t>
            </w:r>
          </w:p>
        </w:tc>
        <w:tc>
          <w:tcPr>
            <w:tcW w:type="dxa" w:w="1170"/>
          </w:tcPr>
          <w:p>
            <w:r>
              <w:rPr>
                <w:sz w:val="18"/>
              </w:rPr>
            </w:r>
            <w:r>
              <w:rPr>
                <w:sz w:val="18"/>
                <w:vertAlign w:val="superscript"/>
              </w:rPr>
              <w:t>46</w:t>
            </w:r>
          </w:p>
        </w:tc>
        <w:tc>
          <w:tcPr>
            <w:tcW w:type="dxa" w:w="1170"/>
          </w:tcPr>
          <w:p>
            <w:r>
              <w:rPr>
                <w:sz w:val="18"/>
              </w:rPr>
            </w:r>
            <w:r>
              <w:rPr>
                <w:b/>
                <w:sz w:val="18"/>
              </w:rPr>
              <w:t>Analist tahmini</w:t>
            </w:r>
          </w:p>
        </w:tc>
        <w:tc>
          <w:tcPr>
            <w:tcW w:type="dxa" w:w="1170"/>
          </w:tcPr>
          <w:p>
            <w:r>
              <w:rPr>
                <w:sz w:val="18"/>
              </w:rPr>
            </w:r>
            <w:r>
              <w:rPr>
                <w:sz w:val="18"/>
              </w:rPr>
              <w:t>Orta</w:t>
            </w:r>
          </w:p>
        </w:tc>
      </w:tr>
      <w:tr>
        <w:tc>
          <w:tcPr>
            <w:tcW w:type="dxa" w:w="1170"/>
          </w:tcPr>
          <w:p>
            <w:r>
              <w:rPr>
                <w:sz w:val="18"/>
              </w:rPr>
            </w:r>
            <w:r>
              <w:rPr>
                <w:sz w:val="18"/>
              </w:rPr>
              <w:t>Anthropic net nakit + burn</w:t>
            </w:r>
          </w:p>
        </w:tc>
        <w:tc>
          <w:tcPr>
            <w:tcW w:type="dxa" w:w="1170"/>
          </w:tcPr>
          <w:p>
            <w:r>
              <w:rPr>
                <w:sz w:val="18"/>
              </w:rPr>
            </w:r>
            <w:r>
              <w:rPr>
                <w:sz w:val="18"/>
              </w:rPr>
              <w:t>bilinmiyor</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b/>
                <w:sz w:val="18"/>
              </w:rPr>
              <w:t>Boşluk</w:t>
            </w:r>
          </w:p>
        </w:tc>
        <w:tc>
          <w:tcPr>
            <w:tcW w:type="dxa" w:w="1170"/>
          </w:tcPr>
          <w:p>
            <w:r>
              <w:rPr>
                <w:sz w:val="18"/>
              </w:rPr>
            </w:r>
            <w:r>
              <w:rPr>
                <w:sz w:val="18"/>
              </w:rPr>
              <w:t>Boşluk</w:t>
            </w:r>
          </w:p>
        </w:tc>
      </w:tr>
      <w:tr>
        <w:tc>
          <w:tcPr>
            <w:tcW w:type="dxa" w:w="1170"/>
          </w:tcPr>
          <w:p>
            <w:r>
              <w:rPr>
                <w:sz w:val="18"/>
              </w:rPr>
            </w:r>
            <w:r>
              <w:rPr>
                <w:sz w:val="18"/>
              </w:rPr>
              <w:t>CoreWeave DDTL covenant</w:t>
            </w:r>
          </w:p>
        </w:tc>
        <w:tc>
          <w:tcPr>
            <w:tcW w:type="dxa" w:w="1170"/>
          </w:tcPr>
          <w:p>
            <w:r>
              <w:rPr>
                <w:sz w:val="18"/>
              </w:rPr>
            </w:r>
            <w:r>
              <w:rPr>
                <w:sz w:val="18"/>
              </w:rPr>
              <w:t>bilinmiyor</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sz w:val="18"/>
              </w:rPr>
              <w:t>—</w:t>
            </w:r>
          </w:p>
        </w:tc>
        <w:tc>
          <w:tcPr>
            <w:tcW w:type="dxa" w:w="1170"/>
          </w:tcPr>
          <w:p>
            <w:r>
              <w:rPr>
                <w:sz w:val="18"/>
              </w:rPr>
            </w:r>
            <w:r>
              <w:rPr>
                <w:b/>
                <w:sz w:val="18"/>
              </w:rPr>
              <w:t>Boşluk</w:t>
            </w:r>
          </w:p>
        </w:tc>
        <w:tc>
          <w:tcPr>
            <w:tcW w:type="dxa" w:w="1170"/>
          </w:tcPr>
          <w:p>
            <w:r>
              <w:rPr>
                <w:sz w:val="18"/>
              </w:rPr>
            </w:r>
            <w:r>
              <w:rPr>
                <w:sz w:val="18"/>
              </w:rPr>
              <w:t>Boşluk</w:t>
            </w:r>
          </w:p>
        </w:tc>
      </w:tr>
      <w:tr>
        <w:tc>
          <w:tcPr>
            <w:tcW w:type="dxa" w:w="1170"/>
          </w:tcPr>
          <w:p>
            <w:r>
              <w:rPr>
                <w:sz w:val="18"/>
              </w:rPr>
            </w:r>
            <w:r>
              <w:rPr>
                <w:sz w:val="18"/>
              </w:rPr>
              <w:t>Intel %21 düşüş / mcap</w:t>
            </w:r>
          </w:p>
        </w:tc>
        <w:tc>
          <w:tcPr>
            <w:tcW w:type="dxa" w:w="1170"/>
          </w:tcPr>
          <w:p>
            <w:r>
              <w:rPr>
                <w:sz w:val="18"/>
              </w:rPr>
            </w:r>
            <w:r>
              <w:rPr>
                <w:sz w:val="18"/>
              </w:rPr>
              <w:t>tartışmalı</w:t>
            </w:r>
          </w:p>
        </w:tc>
        <w:tc>
          <w:tcPr>
            <w:tcW w:type="dxa" w:w="1170"/>
          </w:tcPr>
          <w:p>
            <w:r>
              <w:rPr>
                <w:sz w:val="18"/>
              </w:rPr>
            </w:r>
            <w:r>
              <w:rPr>
                <w:sz w:val="18"/>
              </w:rPr>
              <w:t>Tem 2026</w:t>
            </w:r>
          </w:p>
        </w:tc>
        <w:tc>
          <w:tcPr>
            <w:tcW w:type="dxa" w:w="1170"/>
          </w:tcPr>
          <w:p>
            <w:r>
              <w:rPr>
                <w:sz w:val="18"/>
              </w:rPr>
            </w:r>
            <w:r>
              <w:rPr>
                <w:sz w:val="18"/>
              </w:rPr>
              <w:t>% / milyar $</w:t>
            </w:r>
          </w:p>
        </w:tc>
        <w:tc>
          <w:tcPr>
            <w:tcW w:type="dxa" w:w="1170"/>
          </w:tcPr>
          <w:p>
            <w:r>
              <w:rPr>
                <w:sz w:val="18"/>
              </w:rPr>
            </w:r>
            <w:r>
              <w:rPr>
                <w:sz w:val="18"/>
              </w:rPr>
              <w:t>—</w:t>
            </w:r>
          </w:p>
        </w:tc>
        <w:tc>
          <w:tcPr>
            <w:tcW w:type="dxa" w:w="1170"/>
          </w:tcPr>
          <w:p>
            <w:r>
              <w:rPr>
                <w:sz w:val="18"/>
              </w:rPr>
            </w:r>
            <w:r>
              <w:rPr>
                <w:sz w:val="18"/>
                <w:vertAlign w:val="superscript"/>
              </w:rPr>
              <w:t>27</w:t>
            </w:r>
          </w:p>
        </w:tc>
        <w:tc>
          <w:tcPr>
            <w:tcW w:type="dxa" w:w="1170"/>
          </w:tcPr>
          <w:p>
            <w:r>
              <w:rPr>
                <w:sz w:val="18"/>
              </w:rPr>
            </w:r>
            <w:r>
              <w:rPr>
                <w:b/>
                <w:sz w:val="18"/>
              </w:rPr>
              <w:t>Çakışma</w:t>
            </w:r>
          </w:p>
        </w:tc>
        <w:tc>
          <w:tcPr>
            <w:tcW w:type="dxa" w:w="1170"/>
          </w:tcPr>
          <w:p>
            <w:r>
              <w:rPr>
                <w:sz w:val="18"/>
              </w:rPr>
            </w:r>
            <w:r>
              <w:rPr>
                <w:sz w:val="18"/>
              </w:rPr>
              <w:t>Çakışma</w:t>
            </w:r>
          </w:p>
        </w:tc>
      </w:tr>
    </w:tbl>
    <w:p/>
    <w:p>
      <w:pPr>
        <w:pStyle w:val="Heading2"/>
      </w:pPr>
      <w:r>
        <w:t>12.2 Hesaplama notları</w:t>
      </w:r>
    </w:p>
    <w:p>
      <w:pPr>
        <w:pStyle w:val="ListBullet"/>
      </w:pPr>
      <w:r>
        <w:rPr>
          <w:b/>
        </w:rPr>
        <w:t>capex/OCF (§7.2):</w:t>
      </w:r>
      <w:r>
        <w:t xml:space="preserve"> Aynı dönem kullanılmalıdır (ileri-dönük capex tahmini ile son-12-ay FCF karıştırılamaz). Amazon resmî Q1 verisinde son 12 aylık OCF 148,5 milyar $, FCF 1,2 milyar $ olduğundan aynı dönem capex ≈ OCF − FCF = 147,3 milyar $; capex/OCF ≈ %99.</w:t>
      </w:r>
      <w:r>
        <w:rPr>
          <w:vertAlign w:val="superscript"/>
        </w:rPr>
        <w:t>34</w:t>
      </w:r>
    </w:p>
    <w:p>
      <w:pPr>
        <w:pStyle w:val="ListBullet"/>
      </w:pPr>
      <w:r>
        <w:rPr>
          <w:b/>
        </w:rPr>
        <w:t>Faiz karşılama:</w:t>
      </w:r>
      <w:r>
        <w:t xml:space="preserve"> EBIT / faiz gideri. Arista sıfır borç nedeniyle tanımsızdır (oran dışı).</w:t>
      </w:r>
    </w:p>
    <w:p>
      <w:pPr>
        <w:pStyle w:val="ListBullet"/>
      </w:pPr>
      <w:r>
        <w:rPr>
          <w:b/>
        </w:rPr>
        <w:t>Net borç / EBITDA:</w:t>
      </w:r>
      <w:r>
        <w:t xml:space="preserve"> (toplam borç − nakit) / EBITDA. TSMC/Arista/Alphabet net nakit olduğundan negatif.</w:t>
      </w:r>
    </w:p>
    <w:p>
      <w:pPr>
        <w:pStyle w:val="ListBullet"/>
      </w:pPr>
      <w:r>
        <w:rPr>
          <w:b/>
        </w:rPr>
        <w:t>Runway:</w:t>
      </w:r>
      <w:r>
        <w:t xml:space="preserve"> §7.5'teki formül; OpenAI/Anthropic/Lambda için veri yetersizliğinden </w:t>
      </w:r>
      <w:r>
        <w:rPr>
          <w:b/>
        </w:rPr>
        <w:t>hesaplanamaz</w:t>
      </w:r>
      <w:r>
        <w:t>.</w:t>
      </w:r>
    </w:p>
    <w:p>
      <w:pPr>
        <w:pStyle w:val="Heading2"/>
      </w:pPr>
      <w:r>
        <w:t>12.3 Kaynak kalite sınıflandırması</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D9D9"/>
          </w:tcPr>
          <w:p>
            <w:r>
              <w:rPr>
                <w:b/>
                <w:sz w:val="18"/>
              </w:rPr>
            </w:r>
            <w:r>
              <w:rPr>
                <w:b/>
                <w:sz w:val="18"/>
              </w:rPr>
              <w:t>Kategori</w:t>
            </w:r>
          </w:p>
        </w:tc>
        <w:tc>
          <w:tcPr>
            <w:tcW w:type="dxa" w:w="3120"/>
            <w:shd w:val="clear" w:color="auto" w:fill="D9D9D9"/>
          </w:tcPr>
          <w:p>
            <w:r>
              <w:rPr>
                <w:b/>
                <w:sz w:val="18"/>
              </w:rPr>
            </w:r>
            <w:r>
              <w:rPr>
                <w:b/>
                <w:sz w:val="18"/>
              </w:rPr>
              <w:t>Örnek kaynaklar</w:t>
            </w:r>
          </w:p>
        </w:tc>
        <w:tc>
          <w:tcPr>
            <w:tcW w:type="dxa" w:w="3120"/>
            <w:shd w:val="clear" w:color="auto" w:fill="D9D9D9"/>
          </w:tcPr>
          <w:p>
            <w:r>
              <w:rPr>
                <w:b/>
                <w:sz w:val="18"/>
              </w:rPr>
            </w:r>
            <w:r>
              <w:rPr>
                <w:b/>
                <w:sz w:val="18"/>
              </w:rPr>
              <w:t>Kullanım</w:t>
            </w:r>
          </w:p>
        </w:tc>
      </w:tr>
      <w:tr>
        <w:tc>
          <w:tcPr>
            <w:tcW w:type="dxa" w:w="3120"/>
          </w:tcPr>
          <w:p>
            <w:r>
              <w:rPr>
                <w:sz w:val="18"/>
              </w:rPr>
            </w:r>
            <w:r>
              <w:rPr>
                <w:b/>
                <w:sz w:val="18"/>
              </w:rPr>
              <w:t>Resmi dosyalama</w:t>
            </w:r>
          </w:p>
        </w:tc>
        <w:tc>
          <w:tcPr>
            <w:tcW w:type="dxa" w:w="3120"/>
          </w:tcPr>
          <w:p>
            <w:r>
              <w:rPr>
                <w:sz w:val="18"/>
              </w:rPr>
            </w:r>
            <w:r>
              <w:rPr>
                <w:sz w:val="18"/>
              </w:rPr>
              <w:t>SEC.gov, şirket IR sayfaları (ASML, TSMC, Amazon, Meta, Alphabet, Microsoft, CoreWeave, Nebius, Intel)</w:t>
            </w:r>
          </w:p>
        </w:tc>
        <w:tc>
          <w:tcPr>
            <w:tcW w:type="dxa" w:w="3120"/>
          </w:tcPr>
          <w:p>
            <w:r>
              <w:rPr>
                <w:sz w:val="18"/>
              </w:rPr>
            </w:r>
            <w:r>
              <w:rPr>
                <w:sz w:val="18"/>
              </w:rPr>
              <w:t>Birincil doğrulama</w:t>
            </w:r>
          </w:p>
        </w:tc>
      </w:tr>
      <w:tr>
        <w:tc>
          <w:tcPr>
            <w:tcW w:type="dxa" w:w="3120"/>
          </w:tcPr>
          <w:p>
            <w:r>
              <w:rPr>
                <w:sz w:val="18"/>
              </w:rPr>
            </w:r>
            <w:r>
              <w:rPr>
                <w:b/>
                <w:sz w:val="18"/>
              </w:rPr>
              <w:t>Derecelendirme</w:t>
            </w:r>
          </w:p>
        </w:tc>
        <w:tc>
          <w:tcPr>
            <w:tcW w:type="dxa" w:w="3120"/>
          </w:tcPr>
          <w:p>
            <w:r>
              <w:rPr>
                <w:sz w:val="18"/>
              </w:rPr>
            </w:r>
            <w:r>
              <w:rPr>
                <w:sz w:val="18"/>
              </w:rPr>
              <w:t>S&amp;P Global, Fitch</w:t>
            </w:r>
          </w:p>
        </w:tc>
        <w:tc>
          <w:tcPr>
            <w:tcW w:type="dxa" w:w="3120"/>
          </w:tcPr>
          <w:p>
            <w:r>
              <w:rPr>
                <w:sz w:val="18"/>
              </w:rPr>
            </w:r>
            <w:r>
              <w:rPr>
                <w:sz w:val="18"/>
              </w:rPr>
              <w:t>Kredi notu ve görünüm</w:t>
            </w:r>
          </w:p>
        </w:tc>
      </w:tr>
      <w:tr>
        <w:tc>
          <w:tcPr>
            <w:tcW w:type="dxa" w:w="3120"/>
          </w:tcPr>
          <w:p>
            <w:r>
              <w:rPr>
                <w:sz w:val="18"/>
              </w:rPr>
            </w:r>
            <w:r>
              <w:rPr>
                <w:b/>
                <w:sz w:val="18"/>
              </w:rPr>
              <w:t>Üçüncü taraf finansal veri</w:t>
            </w:r>
          </w:p>
        </w:tc>
        <w:tc>
          <w:tcPr>
            <w:tcW w:type="dxa" w:w="3120"/>
          </w:tcPr>
          <w:p>
            <w:r>
              <w:rPr>
                <w:sz w:val="18"/>
              </w:rPr>
            </w:r>
            <w:r>
              <w:rPr>
                <w:sz w:val="18"/>
              </w:rPr>
              <w:t>GuruFocus, Simply Wall St, Stock Analysis, Trefis, Public.com, Companies Market Cap</w:t>
            </w:r>
          </w:p>
        </w:tc>
        <w:tc>
          <w:tcPr>
            <w:tcW w:type="dxa" w:w="3120"/>
          </w:tcPr>
          <w:p>
            <w:r>
              <w:rPr>
                <w:sz w:val="18"/>
              </w:rPr>
            </w:r>
            <w:r>
              <w:rPr>
                <w:sz w:val="18"/>
              </w:rPr>
              <w:t>Türetilmiş oranlar (cross-check gerekir)</w:t>
            </w:r>
          </w:p>
        </w:tc>
      </w:tr>
      <w:tr>
        <w:tc>
          <w:tcPr>
            <w:tcW w:type="dxa" w:w="3120"/>
          </w:tcPr>
          <w:p>
            <w:r>
              <w:rPr>
                <w:sz w:val="18"/>
              </w:rPr>
            </w:r>
            <w:r>
              <w:rPr>
                <w:b/>
                <w:sz w:val="18"/>
              </w:rPr>
              <w:t>Analist / medya</w:t>
            </w:r>
          </w:p>
        </w:tc>
        <w:tc>
          <w:tcPr>
            <w:tcW w:type="dxa" w:w="3120"/>
          </w:tcPr>
          <w:p>
            <w:r>
              <w:rPr>
                <w:sz w:val="18"/>
              </w:rPr>
            </w:r>
            <w:r>
              <w:rPr>
                <w:sz w:val="18"/>
              </w:rPr>
              <w:t>Motley Fool, TIKR, MLQ.ai, Morningstar, Sacra, TradingView</w:t>
            </w:r>
          </w:p>
        </w:tc>
        <w:tc>
          <w:tcPr>
            <w:tcW w:type="dxa" w:w="3120"/>
          </w:tcPr>
          <w:p>
            <w:r>
              <w:rPr>
                <w:sz w:val="18"/>
              </w:rPr>
            </w:r>
            <w:r>
              <w:rPr>
                <w:sz w:val="18"/>
              </w:rPr>
              <w:t>Tahmin ve yorum (etiketli)</w:t>
            </w:r>
          </w:p>
        </w:tc>
      </w:tr>
      <w:tr>
        <w:tc>
          <w:tcPr>
            <w:tcW w:type="dxa" w:w="3120"/>
          </w:tcPr>
          <w:p>
            <w:r>
              <w:rPr>
                <w:sz w:val="18"/>
              </w:rPr>
            </w:r>
            <w:r>
              <w:rPr>
                <w:b/>
                <w:sz w:val="18"/>
              </w:rPr>
              <w:t>Tartışmalı / tek kaynak</w:t>
            </w:r>
          </w:p>
        </w:tc>
        <w:tc>
          <w:tcPr>
            <w:tcW w:type="dxa" w:w="3120"/>
          </w:tcPr>
          <w:p>
            <w:r>
              <w:rPr>
                <w:sz w:val="18"/>
              </w:rPr>
            </w:r>
            <w:r>
              <w:rPr>
                <w:sz w:val="18"/>
              </w:rPr>
              <w:t>Quasa, TradingKey, Donanım Haber</w:t>
            </w:r>
          </w:p>
        </w:tc>
        <w:tc>
          <w:tcPr>
            <w:tcW w:type="dxa" w:w="3120"/>
          </w:tcPr>
          <w:p>
            <w:r>
              <w:rPr>
                <w:sz w:val="18"/>
              </w:rPr>
            </w:r>
            <w:r>
              <w:rPr>
                <w:sz w:val="18"/>
              </w:rPr>
              <w:t>Çakışma olarak etiketli</w:t>
            </w:r>
          </w:p>
        </w:tc>
      </w:tr>
    </w:tbl>
    <w:p/>
    <w:p>
      <w:pPr>
        <w:pStyle w:val="Heading2"/>
      </w:pPr>
      <w:r>
        <w:t>12.4 Denetim izi standardı ve mevcut sınırlar</w:t>
      </w:r>
    </w:p>
    <w:p>
      <w:r>
        <w:t xml:space="preserve">"Denetlenebilir" düzey için her kaynakta ideal olarak şunlar bulunmalıdır: tam belge başlığı, yayın tarihi, dosyalama türü, sayfa/tablo numarası, tam belge bağlantısı, erişim tarihi ve kullanılan rakamın doğrudan alıntılandığı alan. Bu raporun mevcut kaynak eki bu standarda </w:t>
      </w:r>
      <w:r>
        <w:rPr>
          <w:b/>
        </w:rPr>
        <w:t>kısmen</w:t>
      </w:r>
      <w:r>
        <w:t xml:space="preserve"> ulaşır:</w:t>
      </w:r>
    </w:p>
    <w:p>
      <w:pPr>
        <w:pStyle w:val="ListBullet"/>
      </w:pPr>
      <w:r>
        <w:rPr>
          <w:b/>
        </w:rPr>
        <w:t>Erişim tarihi:</w:t>
      </w:r>
      <w:r>
        <w:t xml:space="preserve"> Tüm kaynaklara erişim tarihi </w:t>
      </w:r>
      <w:r>
        <w:rPr>
          <w:b/>
        </w:rPr>
        <w:t>14 Temmuz 2026</w:t>
      </w:r>
      <w:r>
        <w:t>'dır.</w:t>
      </w:r>
    </w:p>
    <w:p>
      <w:pPr>
        <w:pStyle w:val="ListBullet"/>
      </w:pPr>
      <w:r>
        <w:rPr>
          <w:b/>
        </w:rPr>
        <w:t>Bağlantı derinliği:</w:t>
      </w:r>
      <w:r>
        <w:t xml:space="preserve"> Birçok bağlantı tam belgeye değil, kurumun ana/ilgili sayfasına işaret eder (assembly aşamasında aynı URL'yi paylaşan kaynaklar </w:t>
      </w:r>
      <w:r>
        <w:rPr>
          <w:rFonts w:ascii="Consolas" w:hAnsi="Consolas"/>
          <w:sz w:val="18"/>
        </w:rPr>
        <w:t>#etiket</w:t>
      </w:r>
      <w:r>
        <w:t xml:space="preserve"> ile tekilleştirilmiştir). Kesin sayfa/tablo numarası yalnızca birincil dosyalamalarda anlamlıdır ve burada her satır için yeniden üretilmemiştir — </w:t>
      </w:r>
      <w:r>
        <w:rPr>
          <w:b/>
        </w:rPr>
        <w:t>uydurma sayfa numarası eklenmemiştir.</w:t>
      </w:r>
    </w:p>
    <w:p>
      <w:pPr>
        <w:pStyle w:val="ListBullet"/>
      </w:pPr>
      <w:r>
        <w:rPr>
          <w:b/>
        </w:rPr>
        <w:t>Tek-ikincil-kaynak riski:</w:t>
      </w:r>
      <w:r>
        <w:t xml:space="preserve"> Büyük özel şirket değerlemeleri (OpenAI, Anthropic, Lambda), dev fonlama turları ve alışılmadık sermaye işlemleri kısmen </w:t>
      </w:r>
      <w:r>
        <w:rPr>
          <w:b/>
        </w:rPr>
        <w:t>tekil ikincil kaynağa</w:t>
      </w:r>
      <w:r>
        <w:t xml:space="preserve"> dayanır ve bu yüzden §12.1'de "Orta" güven veya "Çakışma" olarak etiketlenmiştir. Bu iddialar ana sonuca tek başına taşınmamıştır; taşındığı yerde belirsizlik korunmuştur (§11.1'in "çok güçlü bull senaryo hesaplanamaz" notu buna örnektir).</w:t>
      </w:r>
    </w:p>
    <w:p>
      <w:r>
        <w:t xml:space="preserve">Bu sınırlar raporun güvenilirliğini azaltmaz ama </w:t>
      </w:r>
      <w:r>
        <w:rPr>
          <w:b/>
        </w:rPr>
        <w:t>kesinlik derecesini</w:t>
      </w:r>
      <w:r>
        <w:t xml:space="preserve"> sınırlar; ileride her kritik satır için birincil dosyalama bağlantısı ve sayfa numarası eklenmelidir.</w:t>
      </w:r>
    </w:p>
    <w:p>
      <w:pPr>
        <w:pStyle w:val="Heading2"/>
      </w:pPr>
      <w:r>
        <w:t>12.5 Terimler sözlüğü (kısa)</w:t>
      </w:r>
    </w:p>
    <w:p>
      <w:pPr>
        <w:pStyle w:val="ListBullet"/>
      </w:pPr>
      <w:r>
        <w:rPr>
          <w:b/>
        </w:rPr>
        <w:t>ARR:</w:t>
      </w:r>
      <w:r>
        <w:t xml:space="preserve"> yıllıklandırılmış yinelenen gelir koşu hızı (cash burn değildir).</w:t>
      </w:r>
    </w:p>
    <w:p>
      <w:pPr>
        <w:pStyle w:val="ListBullet"/>
      </w:pPr>
      <w:r>
        <w:rPr>
          <w:b/>
        </w:rPr>
        <w:t>Backlog:</w:t>
      </w:r>
      <w:r>
        <w:t xml:space="preserve"> sipariş birikimi; beklenen gelir görünürlüğü (borç değildir).</w:t>
      </w:r>
    </w:p>
    <w:p>
      <w:pPr>
        <w:pStyle w:val="ListBullet"/>
      </w:pPr>
      <w:r>
        <w:rPr>
          <w:b/>
        </w:rPr>
        <w:t>Burn multiple:</w:t>
      </w:r>
      <w:r>
        <w:t xml:space="preserve"> net cash burn / net yeni ARR; sermaye verimliliği.</w:t>
      </w:r>
    </w:p>
    <w:p>
      <w:pPr>
        <w:pStyle w:val="ListBullet"/>
      </w:pPr>
      <w:r>
        <w:rPr>
          <w:b/>
        </w:rPr>
        <w:t>capex/OCF:</w:t>
      </w:r>
      <w:r>
        <w:t xml:space="preserve"> yatırım harcamasının operasyonel nakde oranı.</w:t>
      </w:r>
    </w:p>
    <w:p>
      <w:pPr>
        <w:pStyle w:val="ListBullet"/>
      </w:pPr>
      <w:r>
        <w:rPr>
          <w:b/>
        </w:rPr>
        <w:t>Faiz karşılama:</w:t>
      </w:r>
      <w:r>
        <w:t xml:space="preserve"> EBIT / faiz gideri.</w:t>
      </w:r>
    </w:p>
    <w:p>
      <w:pPr>
        <w:pStyle w:val="ListBullet"/>
      </w:pPr>
      <w:r>
        <w:rPr>
          <w:b/>
        </w:rPr>
        <w:t>Runway (pist):</w:t>
      </w:r>
      <w:r>
        <w:t xml:space="preserve"> mevcut likiditeyle kaç ay faaliyet sürdürülebileceği.</w:t>
      </w:r>
    </w:p>
    <w:p>
      <w:pPr>
        <w:pStyle w:val="ListBullet"/>
      </w:pPr>
      <w:r>
        <w:rPr>
          <w:b/>
        </w:rPr>
        <w:t>Upstream/downstream:</w:t>
      </w:r>
      <w:r>
        <w:t xml:space="preserve"> tedarikçiye / müşteriye yönelik yön.</w:t>
      </w:r>
    </w:p>
    <w:p>
      <w:pPr>
        <w:pStyle w:val="Heading1"/>
        <w:keepNext/>
      </w:pPr>
      <w:r>
        <w:t>13. Opsiyonlarla Senaryo Uygulaması: Yalnızca Call ve Put Alımları</w:t>
      </w:r>
    </w:p>
    <w:p>
      <w:pPr>
        <w:keepNext w:val="0"/>
        <w:spacing w:after="80"/>
      </w:pPr>
      <w:r>
        <w:rPr>
          <w:i w:val="0"/>
        </w:rPr>
        <w:t>Bu bölüm, rapordaki iyi ve kötü senaryoları yalnızca opsiyon satın alımıyla modelleyen iki örnek portföy sunar. Opsiyon satışı, debit spread, covered call, short put, straddle veya strangle kullanılmaz. Her işlem uzun (long) call ya da uzun (long) put alımıdır. Örnekler kişiye özel yatırım tavsiyesi değildir; primler, likidite ve uygun kullanım fiyatları işlem gününde yeniden kontrol edilmelidir.</w:t>
      </w:r>
    </w:p>
    <w:p>
      <w:pPr>
        <w:pStyle w:val="Heading2"/>
        <w:keepNext/>
      </w:pPr>
      <w:r>
        <w:t>13.1 Uygulama kuralları ve azami risk</w:t>
      </w:r>
    </w:p>
    <w:p>
      <w:pPr>
        <w:keepNext w:val="0"/>
        <w:spacing w:after="80"/>
      </w:pPr>
      <w:r>
        <w:rPr>
          <w:i w:val="0"/>
        </w:rPr>
        <w:t>Uzun call ve uzun put pozisyonlarında azami zarar, komisyonlar hariç ödenen primle sınırlıdır. Buna karşılık opsiyon değersiz sona ererse ödenen primin %100’ü kaybedilebilir. Uzun call’ın teorik kâr potansiyeli sınırsızdır; uzun put’ın kârı ise dayanak varlığın sıfıra yaklaşmasıyla sınırlıdır.</w:t>
      </w:r>
      <w:r>
        <w:rPr>
          <w:sz w:val="14"/>
          <w:vertAlign w:val="superscript"/>
        </w:rPr>
        <w:t>54</w:t>
      </w:r>
      <w:r>
        <w:rPr>
          <w:sz w:val="14"/>
          <w:vertAlign w:val="superscript"/>
        </w:rPr>
        <w:t>55</w:t>
      </w:r>
      <w:r>
        <w:rPr>
          <w:sz w:val="14"/>
          <w:vertAlign w:val="superscript"/>
        </w:rPr>
        <w:t>61</w:t>
      </w:r>
    </w:p>
    <w:p>
      <w:pPr>
        <w:keepNext w:val="0"/>
        <w:spacing w:after="80"/>
      </w:pPr>
      <w:r>
        <w:rPr>
          <w:i w:val="0"/>
        </w:rPr>
        <w:t>Standart bir ABD hisse opsiyonu genellikle 100 hisseyi temsil eder. Bu nedenle tablolardaki tutarlar kesin kontrat adedi değil, her şirkete ayrılabilecek azami prim bütçesidir. Gerçek kontrat adedi canlı opsiyon primi üzerinden aşağı yuvarlanır; bütçeye sığmayan kalan tutar geçici olarak nakitte kalır.</w:t>
      </w:r>
      <w:r>
        <w:rPr>
          <w:sz w:val="14"/>
          <w:vertAlign w:val="superscript"/>
        </w:rPr>
        <w:t>55</w:t>
      </w:r>
    </w:p>
    <w:p>
      <w:pPr>
        <w:keepNext w:val="0"/>
        <w:spacing w:after="80"/>
        <w:jc w:val="center"/>
      </w:pPr>
      <w:r>
        <w:rPr>
          <w:i/>
        </w:rPr>
        <w:t>Kontrat adedi = aşağı yuvarla [ pozisyona ayrılan azami prim bütçesi / (opsiyon primi × 100) ]</w:t>
      </w:r>
    </w:p>
    <w:p>
      <w:pPr>
        <w:keepNext w:val="0"/>
        <w:spacing w:after="80"/>
      </w:pPr>
      <w:r>
        <w:rPr>
          <w:i w:val="0"/>
        </w:rPr>
        <w:t>Aşağıdaki örnek kullanım fiyatları, raporun 13–14 Temmuz 2026 referans fiyatlarına göre hazırlanmıştır: NVDA 203,53 $, GOOGL 352,51 $, TSM 421,58 $, ANET 181,15 $, CEG 257,57 $, CRWV 83,31 $, SMCI 27,66 $ ve INTC 103,12 $. Gerçek işlemde en yakın listelenmiş, likit kullanım fiyatı seçilmeli; yalnızca ucuz olduğu için çok uzak OTM kontrata geçilmemelidir.</w:t>
      </w:r>
      <w:r>
        <w:rPr>
          <w:sz w:val="14"/>
          <w:vertAlign w:val="superscript"/>
        </w:rPr>
        <w:t>56</w:t>
      </w:r>
      <w:r>
        <w:rPr>
          <w:sz w:val="14"/>
          <w:vertAlign w:val="superscript"/>
        </w:rPr>
        <w:t>57</w:t>
      </w:r>
    </w:p>
    <w:p>
      <w:pPr>
        <w:pStyle w:val="Heading2"/>
        <w:keepNext/>
        <w:pageBreakBefore/>
      </w:pPr>
      <w:r>
        <w:t>13.2 İyi senaryo — 10.000 $ yalnızca CALL alım portföyü</w:t>
      </w:r>
    </w:p>
    <w:p>
      <w:pPr>
        <w:keepNext w:val="0"/>
        <w:spacing w:after="80"/>
      </w:pPr>
      <w:r>
        <w:rPr>
          <w:i w:val="0"/>
        </w:rPr>
        <w:t>İyi senaryo; AI talebinin ve kurumsal kullanımın büyümeye devam etmesi, hyperscaler capex’inin sert biçimde kesilmemesi, finansman baskısının kademeli hafiflemesi ve enerji/ağ/ileri üretim darboğazlarından güçlü şirketlerin yararlanması varsayımına dayanır (§8.7, §11.1). Portföy, raporda bilançosu güçlü ve/veya ikame edilmesi zor görülen şirketlere odaklanır.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008"/>
            <w:vAlign w:val="center"/>
            <w:tcMar>
              <w:top w:w="50" w:type="dxa"/>
              <w:start w:w="70" w:type="dxa"/>
              <w:bottom w:w="50" w:type="dxa"/>
              <w:end w:w="70" w:type="dxa"/>
            </w:tcMar>
            <w:shd w:fill="D9D9D9"/>
          </w:tcPr>
          <w:p>
            <w:pPr>
              <w:spacing w:after="0" w:before="0" w:line="240" w:lineRule="auto"/>
            </w:pPr>
            <w:r>
              <w:rPr>
                <w:b/>
                <w:sz w:val="17"/>
              </w:rPr>
              <w:t>Varlık</w:t>
            </w:r>
          </w:p>
        </w:tc>
        <w:tc>
          <w:tcPr>
            <w:tcW w:type="dxa" w:w="1368"/>
            <w:vAlign w:val="center"/>
            <w:tcMar>
              <w:top w:w="50" w:type="dxa"/>
              <w:start w:w="70" w:type="dxa"/>
              <w:bottom w:w="50" w:type="dxa"/>
              <w:end w:w="70" w:type="dxa"/>
            </w:tcMar>
            <w:shd w:fill="D9D9D9"/>
          </w:tcPr>
          <w:p>
            <w:pPr>
              <w:spacing w:after="0" w:before="0" w:line="240" w:lineRule="auto"/>
            </w:pPr>
            <w:r>
              <w:rPr>
                <w:b/>
                <w:sz w:val="17"/>
              </w:rPr>
              <w:t>Azami prim bütçesi</w:t>
            </w:r>
          </w:p>
        </w:tc>
        <w:tc>
          <w:tcPr>
            <w:tcW w:type="dxa" w:w="1512"/>
            <w:vAlign w:val="center"/>
            <w:tcMar>
              <w:top w:w="50" w:type="dxa"/>
              <w:start w:w="70" w:type="dxa"/>
              <w:bottom w:w="50" w:type="dxa"/>
              <w:end w:w="70" w:type="dxa"/>
            </w:tcMar>
            <w:shd w:fill="D9D9D9"/>
          </w:tcPr>
          <w:p>
            <w:pPr>
              <w:spacing w:after="0" w:before="0" w:line="240" w:lineRule="auto"/>
            </w:pPr>
            <w:r>
              <w:rPr>
                <w:b/>
                <w:sz w:val="17"/>
              </w:rPr>
              <w:t>Pozisyon</w:t>
            </w:r>
          </w:p>
        </w:tc>
        <w:tc>
          <w:tcPr>
            <w:tcW w:type="dxa" w:w="2232"/>
            <w:vAlign w:val="center"/>
            <w:tcMar>
              <w:top w:w="50" w:type="dxa"/>
              <w:start w:w="70" w:type="dxa"/>
              <w:bottom w:w="50" w:type="dxa"/>
              <w:end w:w="70" w:type="dxa"/>
            </w:tcMar>
            <w:shd w:fill="D9D9D9"/>
          </w:tcPr>
          <w:p>
            <w:pPr>
              <w:spacing w:after="0" w:before="0" w:line="240" w:lineRule="auto"/>
            </w:pPr>
            <w:r>
              <w:rPr>
                <w:b/>
                <w:sz w:val="17"/>
              </w:rPr>
              <w:t>Hedef vade</w:t>
            </w:r>
          </w:p>
        </w:tc>
        <w:tc>
          <w:tcPr>
            <w:tcW w:type="dxa" w:w="2952"/>
            <w:vAlign w:val="center"/>
            <w:tcMar>
              <w:top w:w="50" w:type="dxa"/>
              <w:start w:w="70" w:type="dxa"/>
              <w:bottom w:w="50" w:type="dxa"/>
              <w:end w:w="70" w:type="dxa"/>
            </w:tcMar>
            <w:shd w:fill="D9D9D9"/>
          </w:tcPr>
          <w:p>
            <w:pPr>
              <w:spacing w:after="0" w:before="0" w:line="240" w:lineRule="auto"/>
            </w:pPr>
            <w:r>
              <w:rPr>
                <w:b/>
                <w:sz w:val="17"/>
              </w:rPr>
              <w:t>Örnek seçim</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NVDA</w:t>
            </w:r>
          </w:p>
        </w:tc>
        <w:tc>
          <w:tcPr>
            <w:tcW w:type="dxa" w:w="1368"/>
            <w:vAlign w:val="center"/>
            <w:tcMar>
              <w:top w:w="50" w:type="dxa"/>
              <w:start w:w="70" w:type="dxa"/>
              <w:bottom w:w="50" w:type="dxa"/>
              <w:end w:w="70" w:type="dxa"/>
            </w:tcMar>
          </w:tcPr>
          <w:p>
            <w:pPr>
              <w:spacing w:after="0" w:before="0" w:line="240" w:lineRule="auto"/>
            </w:pPr>
            <w:r>
              <w:rPr>
                <w:sz w:val="17"/>
              </w:rPr>
              <w:t>3.000 $</w:t>
            </w:r>
          </w:p>
        </w:tc>
        <w:tc>
          <w:tcPr>
            <w:tcW w:type="dxa" w:w="1512"/>
            <w:vAlign w:val="center"/>
            <w:tcMar>
              <w:top w:w="50" w:type="dxa"/>
              <w:start w:w="70" w:type="dxa"/>
              <w:bottom w:w="50" w:type="dxa"/>
              <w:end w:w="70" w:type="dxa"/>
            </w:tcMar>
          </w:tcPr>
          <w:p>
            <w:pPr>
              <w:spacing w:after="0" w:before="0" w:line="240" w:lineRule="auto"/>
            </w:pPr>
            <w:r>
              <w:rPr>
                <w:sz w:val="17"/>
              </w:rPr>
              <w:t>Uzun call alımı</w:t>
            </w:r>
          </w:p>
        </w:tc>
        <w:tc>
          <w:tcPr>
            <w:tcW w:type="dxa" w:w="2232"/>
            <w:vAlign w:val="center"/>
            <w:tcMar>
              <w:top w:w="50" w:type="dxa"/>
              <w:start w:w="70" w:type="dxa"/>
              <w:bottom w:w="50" w:type="dxa"/>
              <w:end w:w="70" w:type="dxa"/>
            </w:tcMar>
          </w:tcPr>
          <w:p>
            <w:pPr>
              <w:spacing w:after="0" w:before="0" w:line="240" w:lineRule="auto"/>
            </w:pPr>
            <w:r>
              <w:rPr>
                <w:sz w:val="17"/>
              </w:rPr>
              <w:t>21 Ocak 2028</w:t>
            </w:r>
          </w:p>
        </w:tc>
        <w:tc>
          <w:tcPr>
            <w:tcW w:type="dxa" w:w="2952"/>
            <w:vAlign w:val="center"/>
            <w:tcMar>
              <w:top w:w="50" w:type="dxa"/>
              <w:start w:w="70" w:type="dxa"/>
              <w:bottom w:w="50" w:type="dxa"/>
              <w:end w:w="70" w:type="dxa"/>
            </w:tcMar>
          </w:tcPr>
          <w:p>
            <w:pPr>
              <w:spacing w:after="0" w:before="0" w:line="240" w:lineRule="auto"/>
            </w:pPr>
            <w:r>
              <w:rPr>
                <w:sz w:val="17"/>
              </w:rPr>
              <w:t>195–205 call; delta ~0,55–0,70</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ANET</w:t>
            </w:r>
          </w:p>
        </w:tc>
        <w:tc>
          <w:tcPr>
            <w:tcW w:type="dxa" w:w="1368"/>
            <w:vAlign w:val="center"/>
            <w:tcMar>
              <w:top w:w="50" w:type="dxa"/>
              <w:start w:w="70" w:type="dxa"/>
              <w:bottom w:w="50" w:type="dxa"/>
              <w:end w:w="70" w:type="dxa"/>
            </w:tcMar>
          </w:tcPr>
          <w:p>
            <w:pPr>
              <w:spacing w:after="0" w:before="0" w:line="240" w:lineRule="auto"/>
            </w:pPr>
            <w:r>
              <w:rPr>
                <w:sz w:val="17"/>
              </w:rPr>
              <w:t>2.250 $</w:t>
            </w:r>
          </w:p>
        </w:tc>
        <w:tc>
          <w:tcPr>
            <w:tcW w:type="dxa" w:w="1512"/>
            <w:vAlign w:val="center"/>
            <w:tcMar>
              <w:top w:w="50" w:type="dxa"/>
              <w:start w:w="70" w:type="dxa"/>
              <w:bottom w:w="50" w:type="dxa"/>
              <w:end w:w="70" w:type="dxa"/>
            </w:tcMar>
          </w:tcPr>
          <w:p>
            <w:pPr>
              <w:spacing w:after="0" w:before="0" w:line="240" w:lineRule="auto"/>
            </w:pPr>
            <w:r>
              <w:rPr>
                <w:sz w:val="17"/>
              </w:rPr>
              <w:t>Uzun call alımı</w:t>
            </w:r>
          </w:p>
        </w:tc>
        <w:tc>
          <w:tcPr>
            <w:tcW w:type="dxa" w:w="2232"/>
            <w:vAlign w:val="center"/>
            <w:tcMar>
              <w:top w:w="50" w:type="dxa"/>
              <w:start w:w="70" w:type="dxa"/>
              <w:bottom w:w="50" w:type="dxa"/>
              <w:end w:w="70" w:type="dxa"/>
            </w:tcMar>
          </w:tcPr>
          <w:p>
            <w:pPr>
              <w:spacing w:after="0" w:before="0" w:line="240" w:lineRule="auto"/>
            </w:pPr>
            <w:r>
              <w:rPr>
                <w:sz w:val="17"/>
              </w:rPr>
              <w:t>Ocak 2028 / en yakın likit uzun vade</w:t>
            </w:r>
          </w:p>
        </w:tc>
        <w:tc>
          <w:tcPr>
            <w:tcW w:type="dxa" w:w="2952"/>
            <w:vAlign w:val="center"/>
            <w:tcMar>
              <w:top w:w="50" w:type="dxa"/>
              <w:start w:w="70" w:type="dxa"/>
              <w:bottom w:w="50" w:type="dxa"/>
              <w:end w:w="70" w:type="dxa"/>
            </w:tcMar>
          </w:tcPr>
          <w:p>
            <w:pPr>
              <w:spacing w:after="0" w:before="0" w:line="240" w:lineRule="auto"/>
            </w:pPr>
            <w:r>
              <w:rPr>
                <w:sz w:val="17"/>
              </w:rPr>
              <w:t>175–185 call; ATM veya hafif ITM</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CEG</w:t>
            </w:r>
          </w:p>
        </w:tc>
        <w:tc>
          <w:tcPr>
            <w:tcW w:type="dxa" w:w="1368"/>
            <w:vAlign w:val="center"/>
            <w:tcMar>
              <w:top w:w="50" w:type="dxa"/>
              <w:start w:w="70" w:type="dxa"/>
              <w:bottom w:w="50" w:type="dxa"/>
              <w:end w:w="70" w:type="dxa"/>
            </w:tcMar>
          </w:tcPr>
          <w:p>
            <w:pPr>
              <w:spacing w:after="0" w:before="0" w:line="240" w:lineRule="auto"/>
            </w:pPr>
            <w:r>
              <w:rPr>
                <w:sz w:val="17"/>
              </w:rPr>
              <w:t>1.750 $</w:t>
            </w:r>
          </w:p>
        </w:tc>
        <w:tc>
          <w:tcPr>
            <w:tcW w:type="dxa" w:w="1512"/>
            <w:vAlign w:val="center"/>
            <w:tcMar>
              <w:top w:w="50" w:type="dxa"/>
              <w:start w:w="70" w:type="dxa"/>
              <w:bottom w:w="50" w:type="dxa"/>
              <w:end w:w="70" w:type="dxa"/>
            </w:tcMar>
          </w:tcPr>
          <w:p>
            <w:pPr>
              <w:spacing w:after="0" w:before="0" w:line="240" w:lineRule="auto"/>
            </w:pPr>
            <w:r>
              <w:rPr>
                <w:sz w:val="17"/>
              </w:rPr>
              <w:t>Uzun call alımı</w:t>
            </w:r>
          </w:p>
        </w:tc>
        <w:tc>
          <w:tcPr>
            <w:tcW w:type="dxa" w:w="2232"/>
            <w:vAlign w:val="center"/>
            <w:tcMar>
              <w:top w:w="50" w:type="dxa"/>
              <w:start w:w="70" w:type="dxa"/>
              <w:bottom w:w="50" w:type="dxa"/>
              <w:end w:w="70" w:type="dxa"/>
            </w:tcMar>
          </w:tcPr>
          <w:p>
            <w:pPr>
              <w:spacing w:after="0" w:before="0" w:line="240" w:lineRule="auto"/>
            </w:pPr>
            <w:r>
              <w:rPr>
                <w:sz w:val="17"/>
              </w:rPr>
              <w:t>Ocak 2028 / en yakın likit uzun vade</w:t>
            </w:r>
          </w:p>
        </w:tc>
        <w:tc>
          <w:tcPr>
            <w:tcW w:type="dxa" w:w="2952"/>
            <w:vAlign w:val="center"/>
            <w:tcMar>
              <w:top w:w="50" w:type="dxa"/>
              <w:start w:w="70" w:type="dxa"/>
              <w:bottom w:w="50" w:type="dxa"/>
              <w:end w:w="70" w:type="dxa"/>
            </w:tcMar>
          </w:tcPr>
          <w:p>
            <w:pPr>
              <w:spacing w:after="0" w:before="0" w:line="240" w:lineRule="auto"/>
            </w:pPr>
            <w:r>
              <w:rPr>
                <w:sz w:val="17"/>
              </w:rPr>
              <w:t>250–260 call; ATM veya hafif ITM</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GOOGL</w:t>
            </w:r>
          </w:p>
        </w:tc>
        <w:tc>
          <w:tcPr>
            <w:tcW w:type="dxa" w:w="1368"/>
            <w:vAlign w:val="center"/>
            <w:tcMar>
              <w:top w:w="50" w:type="dxa"/>
              <w:start w:w="70" w:type="dxa"/>
              <w:bottom w:w="50" w:type="dxa"/>
              <w:end w:w="70" w:type="dxa"/>
            </w:tcMar>
          </w:tcPr>
          <w:p>
            <w:pPr>
              <w:spacing w:after="0" w:before="0" w:line="240" w:lineRule="auto"/>
            </w:pPr>
            <w:r>
              <w:rPr>
                <w:sz w:val="17"/>
              </w:rPr>
              <w:t>1.750 $</w:t>
            </w:r>
          </w:p>
        </w:tc>
        <w:tc>
          <w:tcPr>
            <w:tcW w:type="dxa" w:w="1512"/>
            <w:vAlign w:val="center"/>
            <w:tcMar>
              <w:top w:w="50" w:type="dxa"/>
              <w:start w:w="70" w:type="dxa"/>
              <w:bottom w:w="50" w:type="dxa"/>
              <w:end w:w="70" w:type="dxa"/>
            </w:tcMar>
          </w:tcPr>
          <w:p>
            <w:pPr>
              <w:spacing w:after="0" w:before="0" w:line="240" w:lineRule="auto"/>
            </w:pPr>
            <w:r>
              <w:rPr>
                <w:sz w:val="17"/>
              </w:rPr>
              <w:t>Uzun call alımı</w:t>
            </w:r>
          </w:p>
        </w:tc>
        <w:tc>
          <w:tcPr>
            <w:tcW w:type="dxa" w:w="2232"/>
            <w:vAlign w:val="center"/>
            <w:tcMar>
              <w:top w:w="50" w:type="dxa"/>
              <w:start w:w="70" w:type="dxa"/>
              <w:bottom w:w="50" w:type="dxa"/>
              <w:end w:w="70" w:type="dxa"/>
            </w:tcMar>
          </w:tcPr>
          <w:p>
            <w:pPr>
              <w:spacing w:after="0" w:before="0" w:line="240" w:lineRule="auto"/>
            </w:pPr>
            <w:r>
              <w:rPr>
                <w:sz w:val="17"/>
              </w:rPr>
              <w:t>21 Ocak 2028</w:t>
            </w:r>
          </w:p>
        </w:tc>
        <w:tc>
          <w:tcPr>
            <w:tcW w:type="dxa" w:w="2952"/>
            <w:vAlign w:val="center"/>
            <w:tcMar>
              <w:top w:w="50" w:type="dxa"/>
              <w:start w:w="70" w:type="dxa"/>
              <w:bottom w:w="50" w:type="dxa"/>
              <w:end w:w="70" w:type="dxa"/>
            </w:tcMar>
          </w:tcPr>
          <w:p>
            <w:pPr>
              <w:spacing w:after="0" w:before="0" w:line="240" w:lineRule="auto"/>
            </w:pPr>
            <w:r>
              <w:rPr>
                <w:sz w:val="17"/>
              </w:rPr>
              <w:t>340–355 call; delta ~0,55–0,70</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TSM</w:t>
            </w:r>
          </w:p>
        </w:tc>
        <w:tc>
          <w:tcPr>
            <w:tcW w:type="dxa" w:w="1368"/>
            <w:vAlign w:val="center"/>
            <w:tcMar>
              <w:top w:w="50" w:type="dxa"/>
              <w:start w:w="70" w:type="dxa"/>
              <w:bottom w:w="50" w:type="dxa"/>
              <w:end w:w="70" w:type="dxa"/>
            </w:tcMar>
          </w:tcPr>
          <w:p>
            <w:pPr>
              <w:spacing w:after="0" w:before="0" w:line="240" w:lineRule="auto"/>
            </w:pPr>
            <w:r>
              <w:rPr>
                <w:sz w:val="17"/>
              </w:rPr>
              <w:t>1.250 $</w:t>
            </w:r>
          </w:p>
        </w:tc>
        <w:tc>
          <w:tcPr>
            <w:tcW w:type="dxa" w:w="1512"/>
            <w:vAlign w:val="center"/>
            <w:tcMar>
              <w:top w:w="50" w:type="dxa"/>
              <w:start w:w="70" w:type="dxa"/>
              <w:bottom w:w="50" w:type="dxa"/>
              <w:end w:w="70" w:type="dxa"/>
            </w:tcMar>
          </w:tcPr>
          <w:p>
            <w:pPr>
              <w:spacing w:after="0" w:before="0" w:line="240" w:lineRule="auto"/>
            </w:pPr>
            <w:r>
              <w:rPr>
                <w:sz w:val="17"/>
              </w:rPr>
              <w:t>Uzun call alımı</w:t>
            </w:r>
          </w:p>
        </w:tc>
        <w:tc>
          <w:tcPr>
            <w:tcW w:type="dxa" w:w="2232"/>
            <w:vAlign w:val="center"/>
            <w:tcMar>
              <w:top w:w="50" w:type="dxa"/>
              <w:start w:w="70" w:type="dxa"/>
              <w:bottom w:w="50" w:type="dxa"/>
              <w:end w:w="70" w:type="dxa"/>
            </w:tcMar>
          </w:tcPr>
          <w:p>
            <w:pPr>
              <w:spacing w:after="0" w:before="0" w:line="240" w:lineRule="auto"/>
            </w:pPr>
            <w:r>
              <w:rPr>
                <w:sz w:val="17"/>
              </w:rPr>
              <w:t>Ocak 2028 / en yakın likit uzun vade</w:t>
            </w:r>
          </w:p>
        </w:tc>
        <w:tc>
          <w:tcPr>
            <w:tcW w:type="dxa" w:w="2952"/>
            <w:vAlign w:val="center"/>
            <w:tcMar>
              <w:top w:w="50" w:type="dxa"/>
              <w:start w:w="70" w:type="dxa"/>
              <w:bottom w:w="50" w:type="dxa"/>
              <w:end w:w="70" w:type="dxa"/>
            </w:tcMar>
          </w:tcPr>
          <w:p>
            <w:pPr>
              <w:spacing w:after="0" w:before="0" w:line="240" w:lineRule="auto"/>
            </w:pPr>
            <w:r>
              <w:rPr>
                <w:sz w:val="17"/>
              </w:rPr>
              <w:t>420–440 call; jeopolitik ağırlık sınırlı</w:t>
            </w:r>
          </w:p>
        </w:tc>
      </w:tr>
      <w:tr>
        <w:trPr>
          <w:cantSplit/>
        </w:trPr>
        <w:tc>
          <w:tcPr>
            <w:tcW w:type="dxa" w:w="1008"/>
            <w:vAlign w:val="center"/>
            <w:tcMar>
              <w:top w:w="50" w:type="dxa"/>
              <w:start w:w="70" w:type="dxa"/>
              <w:bottom w:w="50" w:type="dxa"/>
              <w:end w:w="70" w:type="dxa"/>
            </w:tcMar>
            <w:shd w:fill="F2F2F2"/>
          </w:tcPr>
          <w:p>
            <w:pPr>
              <w:spacing w:after="0" w:before="0" w:line="240" w:lineRule="auto"/>
            </w:pPr>
            <w:r>
              <w:rPr>
                <w:b/>
                <w:sz w:val="17"/>
              </w:rPr>
              <w:t>Toplam azami prim</w:t>
            </w:r>
          </w:p>
        </w:tc>
        <w:tc>
          <w:tcPr>
            <w:tcW w:type="dxa" w:w="1368"/>
            <w:vAlign w:val="center"/>
            <w:tcMar>
              <w:top w:w="50" w:type="dxa"/>
              <w:start w:w="70" w:type="dxa"/>
              <w:bottom w:w="50" w:type="dxa"/>
              <w:end w:w="70" w:type="dxa"/>
            </w:tcMar>
            <w:shd w:fill="F2F2F2"/>
          </w:tcPr>
          <w:p>
            <w:pPr>
              <w:spacing w:after="0" w:before="0" w:line="240" w:lineRule="auto"/>
            </w:pPr>
            <w:r>
              <w:rPr>
                <w:b/>
                <w:sz w:val="17"/>
              </w:rPr>
              <w:t>10.000 $</w:t>
            </w:r>
          </w:p>
        </w:tc>
        <w:tc>
          <w:tcPr>
            <w:tcW w:type="dxa" w:w="1512"/>
            <w:vAlign w:val="center"/>
            <w:tcMar>
              <w:top w:w="50" w:type="dxa"/>
              <w:start w:w="70" w:type="dxa"/>
              <w:bottom w:w="50" w:type="dxa"/>
              <w:end w:w="70" w:type="dxa"/>
            </w:tcMar>
            <w:shd w:fill="F2F2F2"/>
          </w:tcPr>
          <w:p>
            <w:pPr>
              <w:spacing w:after="0" w:before="0" w:line="240" w:lineRule="auto"/>
            </w:pPr>
            <w:r>
              <w:rPr>
                <w:b/>
                <w:sz w:val="17"/>
              </w:rPr>
            </w:r>
          </w:p>
        </w:tc>
        <w:tc>
          <w:tcPr>
            <w:tcW w:type="dxa" w:w="2232"/>
            <w:vAlign w:val="center"/>
            <w:tcMar>
              <w:top w:w="50" w:type="dxa"/>
              <w:start w:w="70" w:type="dxa"/>
              <w:bottom w:w="50" w:type="dxa"/>
              <w:end w:w="70" w:type="dxa"/>
            </w:tcMar>
            <w:shd w:fill="F2F2F2"/>
          </w:tcPr>
          <w:p>
            <w:pPr>
              <w:spacing w:after="0" w:before="0" w:line="240" w:lineRule="auto"/>
            </w:pPr>
            <w:r>
              <w:rPr>
                <w:b/>
                <w:sz w:val="17"/>
              </w:rPr>
            </w:r>
          </w:p>
        </w:tc>
        <w:tc>
          <w:tcPr>
            <w:tcW w:type="dxa" w:w="2952"/>
            <w:vAlign w:val="center"/>
            <w:tcMar>
              <w:top w:w="50" w:type="dxa"/>
              <w:start w:w="70" w:type="dxa"/>
              <w:bottom w:w="50" w:type="dxa"/>
              <w:end w:w="70" w:type="dxa"/>
            </w:tcMar>
            <w:shd w:fill="F2F2F2"/>
          </w:tcPr>
          <w:p>
            <w:pPr>
              <w:spacing w:after="0" w:before="0" w:line="240" w:lineRule="auto"/>
            </w:pPr>
            <w:r>
              <w:rPr>
                <w:b/>
                <w:sz w:val="17"/>
              </w:rPr>
            </w:r>
          </w:p>
        </w:tc>
      </w:tr>
    </w:tbl>
    <w:p>
      <w:pPr>
        <w:keepNext w:val="0"/>
        <w:spacing w:after="80"/>
      </w:pPr>
      <w:r>
        <w:rPr>
          <w:b/>
        </w:rPr>
        <w:t>Dağılım gerekçesi:</w:t>
      </w:r>
      <w:r/>
    </w:p>
    <w:p>
      <w:pPr>
        <w:spacing w:after="40"/>
        <w:ind w:left="259" w:hanging="202"/>
      </w:pPr>
      <w:r>
        <w:rPr>
          <w:b/>
        </w:rPr>
        <w:t xml:space="preserve">• </w:t>
      </w:r>
      <w:r>
        <w:t>NVDA (%30): CUDA ekosistemi, hızlandırıcı talebi ve fiyatlama gücü nedeniyle iyi senaryonun en doğrudan yararlanıcısıdır; yüksek değerleme nedeniyle ağırlık %30 ile sınırlandırılır.</w:t>
      </w:r>
    </w:p>
    <w:p>
      <w:pPr>
        <w:spacing w:after="40"/>
        <w:ind w:left="259" w:hanging="202"/>
      </w:pPr>
      <w:r>
        <w:rPr>
          <w:b/>
        </w:rPr>
        <w:t xml:space="preserve">• </w:t>
      </w:r>
      <w:r>
        <w:t>ANET (%22,5): AI veri merkezlerindeki ağ trafiği büyümesini, sıfır borçlu ve yüksek marjlı bir bilanço üzerinden temsil eder.</w:t>
      </w:r>
    </w:p>
    <w:p>
      <w:pPr>
        <w:spacing w:after="40"/>
        <w:ind w:left="259" w:hanging="202"/>
      </w:pPr>
      <w:r>
        <w:rPr>
          <w:b/>
        </w:rPr>
        <w:t xml:space="preserve">• </w:t>
      </w:r>
      <w:r>
        <w:t>CEG (%17,5): Talep güçlü kalırsa elektrik ve şebeke kapasitesinin yeni fiziksel darboğaza dönüşmesinden yararlanabilir.</w:t>
      </w:r>
    </w:p>
    <w:p>
      <w:pPr>
        <w:spacing w:after="40"/>
        <w:ind w:left="259" w:hanging="202"/>
      </w:pPr>
      <w:r>
        <w:rPr>
          <w:b/>
        </w:rPr>
        <w:t xml:space="preserve">• </w:t>
      </w:r>
      <w:r>
        <w:t>GOOGL (%17,5): Bulut büyümesi, güçlü nakit pozisyonu ve AI ürün dağıtımı sayesinde daha dengeli bir call maruziyeti sunar.</w:t>
      </w:r>
    </w:p>
    <w:p>
      <w:pPr>
        <w:spacing w:after="40"/>
        <w:ind w:left="259" w:hanging="202"/>
      </w:pPr>
      <w:r>
        <w:rPr>
          <w:b/>
        </w:rPr>
        <w:t xml:space="preserve">• </w:t>
      </w:r>
      <w:r>
        <w:t>TSM (%12,5): İleri düğüm üretiminin kritik halkasıdır; jeopolitik kuyruk riski nedeniyle ağırlığı diğer temel oyuncuların altında tutulur.</w:t>
      </w:r>
    </w:p>
    <w:p>
      <w:pPr>
        <w:keepNext w:val="0"/>
        <w:spacing w:after="80"/>
      </w:pPr>
      <w:r>
        <w:rPr>
          <w:b/>
        </w:rPr>
        <w:t>Vade ve seçim mantığı:</w:t>
      </w:r>
      <w:r/>
    </w:p>
    <w:p>
      <w:pPr>
        <w:spacing w:after="40"/>
        <w:ind w:left="259" w:hanging="202"/>
      </w:pPr>
      <w:r>
        <w:rPr>
          <w:b/>
        </w:rPr>
        <w:t xml:space="preserve">• </w:t>
      </w:r>
      <w:r>
        <w:t>Tercih edilen vade yaklaşık 15–18 aydır. Equity LEAPS çoğunlukla Ocak ayında sona erer; yeterli likidite yoksa en yakın uzun vade kullanılır.</w:t>
      </w:r>
    </w:p>
    <w:p>
      <w:pPr>
        <w:spacing w:after="40"/>
        <w:ind w:left="259" w:hanging="202"/>
      </w:pPr>
      <w:r>
        <w:rPr>
          <w:b/>
        </w:rPr>
        <w:t xml:space="preserve">• </w:t>
      </w:r>
      <w:r>
        <w:t>Call seçiminde yaklaşık 0,55–0,70 delta; ATM veya en fazla %5 civarı ITM/OTM kullanım fiyatı tercih edilir. Çok uzak OTM call’lar ucuz görünse de değersiz sona erme olasılığı yüksektir.</w:t>
      </w:r>
    </w:p>
    <w:p>
      <w:pPr>
        <w:spacing w:after="40"/>
        <w:ind w:left="259" w:hanging="202"/>
      </w:pPr>
      <w:r>
        <w:rPr>
          <w:b/>
        </w:rPr>
        <w:t xml:space="preserve">• </w:t>
      </w:r>
      <w:r>
        <w:t>Tek bir kontrat ayrılan bütçeyi aşıyorsa daha uzak OTM kontrata kaçmak yerine ilgili pozisyon pas geçilir ve kalan bütçe diğer call’lar arasında veya geçici nakitte tutulur.</w:t>
      </w:r>
    </w:p>
    <w:p>
      <w:pPr>
        <w:keepNext w:val="0"/>
        <w:spacing w:after="80"/>
      </w:pPr>
      <w:r>
        <w:rPr>
          <w:i w:val="0"/>
        </w:rPr>
        <w:t>Azami portföy kaybı: Komisyonlar hariç ödenen toplam prim olan 10.000 $’dır. Hisseler yükselse bile hareket yetersiz veya geç kalırsa, zaman aşınması ve ima edilen oynaklık düşüşü nedeniyle call’lar zarar edebilir.</w:t>
      </w:r>
    </w:p>
    <w:p>
      <w:pPr>
        <w:pStyle w:val="Heading2"/>
        <w:keepNext/>
        <w:pageBreakBefore/>
      </w:pPr>
      <w:r>
        <w:t>13.3 Kötü senaryo — 10.000 $ yalnızca PUT alım portföyü</w:t>
      </w:r>
    </w:p>
    <w:p>
      <w:pPr>
        <w:keepNext w:val="0"/>
        <w:spacing w:after="80"/>
      </w:pPr>
      <w:r>
        <w:rPr>
          <w:i w:val="0"/>
        </w:rPr>
        <w:t>Kötü senaryo üç kanalı birleştirir: yakın vadede neo-cloud likidite/kredi stresi, orta vadede hyperscaler capex ve değerleme daralması, düşük olasılıklı fakat yüksek etkili TSMC jeopolitik/fiziksel kuyruk riski (§8.1–§8.5, §11.1). Bu nedenle put vadeleri olayların beklenen gerçekleşme hızına göre farklılaştırılır.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008"/>
            <w:vAlign w:val="center"/>
            <w:tcMar>
              <w:top w:w="50" w:type="dxa"/>
              <w:start w:w="70" w:type="dxa"/>
              <w:bottom w:w="50" w:type="dxa"/>
              <w:end w:w="70" w:type="dxa"/>
            </w:tcMar>
            <w:shd w:fill="D9D9D9"/>
          </w:tcPr>
          <w:p>
            <w:pPr>
              <w:spacing w:after="0" w:before="0" w:line="240" w:lineRule="auto"/>
            </w:pPr>
            <w:r>
              <w:rPr>
                <w:b/>
                <w:sz w:val="17"/>
              </w:rPr>
              <w:t>Varlık</w:t>
            </w:r>
          </w:p>
        </w:tc>
        <w:tc>
          <w:tcPr>
            <w:tcW w:type="dxa" w:w="1368"/>
            <w:vAlign w:val="center"/>
            <w:tcMar>
              <w:top w:w="50" w:type="dxa"/>
              <w:start w:w="70" w:type="dxa"/>
              <w:bottom w:w="50" w:type="dxa"/>
              <w:end w:w="70" w:type="dxa"/>
            </w:tcMar>
            <w:shd w:fill="D9D9D9"/>
          </w:tcPr>
          <w:p>
            <w:pPr>
              <w:spacing w:after="0" w:before="0" w:line="240" w:lineRule="auto"/>
            </w:pPr>
            <w:r>
              <w:rPr>
                <w:b/>
                <w:sz w:val="17"/>
              </w:rPr>
              <w:t>Azami prim bütçesi</w:t>
            </w:r>
          </w:p>
        </w:tc>
        <w:tc>
          <w:tcPr>
            <w:tcW w:type="dxa" w:w="1512"/>
            <w:vAlign w:val="center"/>
            <w:tcMar>
              <w:top w:w="50" w:type="dxa"/>
              <w:start w:w="70" w:type="dxa"/>
              <w:bottom w:w="50" w:type="dxa"/>
              <w:end w:w="70" w:type="dxa"/>
            </w:tcMar>
            <w:shd w:fill="D9D9D9"/>
          </w:tcPr>
          <w:p>
            <w:pPr>
              <w:spacing w:after="0" w:before="0" w:line="240" w:lineRule="auto"/>
            </w:pPr>
            <w:r>
              <w:rPr>
                <w:b/>
                <w:sz w:val="17"/>
              </w:rPr>
              <w:t>Pozisyon</w:t>
            </w:r>
          </w:p>
        </w:tc>
        <w:tc>
          <w:tcPr>
            <w:tcW w:type="dxa" w:w="2232"/>
            <w:vAlign w:val="center"/>
            <w:tcMar>
              <w:top w:w="50" w:type="dxa"/>
              <w:start w:w="70" w:type="dxa"/>
              <w:bottom w:w="50" w:type="dxa"/>
              <w:end w:w="70" w:type="dxa"/>
            </w:tcMar>
            <w:shd w:fill="D9D9D9"/>
          </w:tcPr>
          <w:p>
            <w:pPr>
              <w:spacing w:after="0" w:before="0" w:line="240" w:lineRule="auto"/>
            </w:pPr>
            <w:r>
              <w:rPr>
                <w:b/>
                <w:sz w:val="17"/>
              </w:rPr>
              <w:t>Hedef vade</w:t>
            </w:r>
          </w:p>
        </w:tc>
        <w:tc>
          <w:tcPr>
            <w:tcW w:type="dxa" w:w="2952"/>
            <w:vAlign w:val="center"/>
            <w:tcMar>
              <w:top w:w="50" w:type="dxa"/>
              <w:start w:w="70" w:type="dxa"/>
              <w:bottom w:w="50" w:type="dxa"/>
              <w:end w:w="70" w:type="dxa"/>
            </w:tcMar>
            <w:shd w:fill="D9D9D9"/>
          </w:tcPr>
          <w:p>
            <w:pPr>
              <w:spacing w:after="0" w:before="0" w:line="240" w:lineRule="auto"/>
            </w:pPr>
            <w:r>
              <w:rPr>
                <w:b/>
                <w:sz w:val="17"/>
              </w:rPr>
              <w:t>Örnek seçim</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CRWV</w:t>
            </w:r>
          </w:p>
        </w:tc>
        <w:tc>
          <w:tcPr>
            <w:tcW w:type="dxa" w:w="1368"/>
            <w:vAlign w:val="center"/>
            <w:tcMar>
              <w:top w:w="50" w:type="dxa"/>
              <w:start w:w="70" w:type="dxa"/>
              <w:bottom w:w="50" w:type="dxa"/>
              <w:end w:w="70" w:type="dxa"/>
            </w:tcMar>
          </w:tcPr>
          <w:p>
            <w:pPr>
              <w:spacing w:after="0" w:before="0" w:line="240" w:lineRule="auto"/>
            </w:pPr>
            <w:r>
              <w:rPr>
                <w:sz w:val="17"/>
              </w:rPr>
              <w:t>3.000 $</w:t>
            </w:r>
          </w:p>
        </w:tc>
        <w:tc>
          <w:tcPr>
            <w:tcW w:type="dxa" w:w="1512"/>
            <w:vAlign w:val="center"/>
            <w:tcMar>
              <w:top w:w="50" w:type="dxa"/>
              <w:start w:w="70" w:type="dxa"/>
              <w:bottom w:w="50" w:type="dxa"/>
              <w:end w:w="70" w:type="dxa"/>
            </w:tcMar>
          </w:tcPr>
          <w:p>
            <w:pPr>
              <w:spacing w:after="0" w:before="0" w:line="240" w:lineRule="auto"/>
            </w:pPr>
            <w:r>
              <w:rPr>
                <w:sz w:val="17"/>
              </w:rPr>
              <w:t>Uzun put alımı</w:t>
            </w:r>
          </w:p>
        </w:tc>
        <w:tc>
          <w:tcPr>
            <w:tcW w:type="dxa" w:w="2232"/>
            <w:vAlign w:val="center"/>
            <w:tcMar>
              <w:top w:w="50" w:type="dxa"/>
              <w:start w:w="70" w:type="dxa"/>
              <w:bottom w:w="50" w:type="dxa"/>
              <w:end w:w="70" w:type="dxa"/>
            </w:tcMar>
          </w:tcPr>
          <w:p>
            <w:pPr>
              <w:spacing w:after="0" w:before="0" w:line="240" w:lineRule="auto"/>
            </w:pPr>
            <w:r>
              <w:rPr>
                <w:sz w:val="17"/>
              </w:rPr>
              <w:t>15 Ocak / 19 Mart 2027</w:t>
            </w:r>
          </w:p>
        </w:tc>
        <w:tc>
          <w:tcPr>
            <w:tcW w:type="dxa" w:w="2952"/>
            <w:vAlign w:val="center"/>
            <w:tcMar>
              <w:top w:w="50" w:type="dxa"/>
              <w:start w:w="70" w:type="dxa"/>
              <w:bottom w:w="50" w:type="dxa"/>
              <w:end w:w="70" w:type="dxa"/>
            </w:tcMar>
          </w:tcPr>
          <w:p>
            <w:pPr>
              <w:spacing w:after="0" w:before="0" w:line="240" w:lineRule="auto"/>
            </w:pPr>
            <w:r>
              <w:rPr>
                <w:sz w:val="17"/>
              </w:rPr>
              <w:t>80–85 put; delta ~−0,50 ila −0,65</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SMCI</w:t>
            </w:r>
          </w:p>
        </w:tc>
        <w:tc>
          <w:tcPr>
            <w:tcW w:type="dxa" w:w="1368"/>
            <w:vAlign w:val="center"/>
            <w:tcMar>
              <w:top w:w="50" w:type="dxa"/>
              <w:start w:w="70" w:type="dxa"/>
              <w:bottom w:w="50" w:type="dxa"/>
              <w:end w:w="70" w:type="dxa"/>
            </w:tcMar>
          </w:tcPr>
          <w:p>
            <w:pPr>
              <w:spacing w:after="0" w:before="0" w:line="240" w:lineRule="auto"/>
            </w:pPr>
            <w:r>
              <w:rPr>
                <w:sz w:val="17"/>
              </w:rPr>
              <w:t>2.250 $</w:t>
            </w:r>
          </w:p>
        </w:tc>
        <w:tc>
          <w:tcPr>
            <w:tcW w:type="dxa" w:w="1512"/>
            <w:vAlign w:val="center"/>
            <w:tcMar>
              <w:top w:w="50" w:type="dxa"/>
              <w:start w:w="70" w:type="dxa"/>
              <w:bottom w:w="50" w:type="dxa"/>
              <w:end w:w="70" w:type="dxa"/>
            </w:tcMar>
          </w:tcPr>
          <w:p>
            <w:pPr>
              <w:spacing w:after="0" w:before="0" w:line="240" w:lineRule="auto"/>
            </w:pPr>
            <w:r>
              <w:rPr>
                <w:sz w:val="17"/>
              </w:rPr>
              <w:t>Uzun put alımı</w:t>
            </w:r>
          </w:p>
        </w:tc>
        <w:tc>
          <w:tcPr>
            <w:tcW w:type="dxa" w:w="2232"/>
            <w:vAlign w:val="center"/>
            <w:tcMar>
              <w:top w:w="50" w:type="dxa"/>
              <w:start w:w="70" w:type="dxa"/>
              <w:bottom w:w="50" w:type="dxa"/>
              <w:end w:w="70" w:type="dxa"/>
            </w:tcMar>
          </w:tcPr>
          <w:p>
            <w:pPr>
              <w:spacing w:after="0" w:before="0" w:line="240" w:lineRule="auto"/>
            </w:pPr>
            <w:r>
              <w:rPr>
                <w:sz w:val="17"/>
              </w:rPr>
              <w:t>15 Ocak / 19 Mart 2027</w:t>
            </w:r>
          </w:p>
        </w:tc>
        <w:tc>
          <w:tcPr>
            <w:tcW w:type="dxa" w:w="2952"/>
            <w:vAlign w:val="center"/>
            <w:tcMar>
              <w:top w:w="50" w:type="dxa"/>
              <w:start w:w="70" w:type="dxa"/>
              <w:bottom w:w="50" w:type="dxa"/>
              <w:end w:w="70" w:type="dxa"/>
            </w:tcMar>
          </w:tcPr>
          <w:p>
            <w:pPr>
              <w:spacing w:after="0" w:before="0" w:line="240" w:lineRule="auto"/>
            </w:pPr>
            <w:r>
              <w:rPr>
                <w:sz w:val="17"/>
              </w:rPr>
              <w:t>27,5–30 put; ATM veya hafif ITM</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INTC</w:t>
            </w:r>
          </w:p>
        </w:tc>
        <w:tc>
          <w:tcPr>
            <w:tcW w:type="dxa" w:w="1368"/>
            <w:vAlign w:val="center"/>
            <w:tcMar>
              <w:top w:w="50" w:type="dxa"/>
              <w:start w:w="70" w:type="dxa"/>
              <w:bottom w:w="50" w:type="dxa"/>
              <w:end w:w="70" w:type="dxa"/>
            </w:tcMar>
          </w:tcPr>
          <w:p>
            <w:pPr>
              <w:spacing w:after="0" w:before="0" w:line="240" w:lineRule="auto"/>
            </w:pPr>
            <w:r>
              <w:rPr>
                <w:sz w:val="17"/>
              </w:rPr>
              <w:t>1.750 $</w:t>
            </w:r>
          </w:p>
        </w:tc>
        <w:tc>
          <w:tcPr>
            <w:tcW w:type="dxa" w:w="1512"/>
            <w:vAlign w:val="center"/>
            <w:tcMar>
              <w:top w:w="50" w:type="dxa"/>
              <w:start w:w="70" w:type="dxa"/>
              <w:bottom w:w="50" w:type="dxa"/>
              <w:end w:w="70" w:type="dxa"/>
            </w:tcMar>
          </w:tcPr>
          <w:p>
            <w:pPr>
              <w:spacing w:after="0" w:before="0" w:line="240" w:lineRule="auto"/>
            </w:pPr>
            <w:r>
              <w:rPr>
                <w:sz w:val="17"/>
              </w:rPr>
              <w:t>Uzun put alımı</w:t>
            </w:r>
          </w:p>
        </w:tc>
        <w:tc>
          <w:tcPr>
            <w:tcW w:type="dxa" w:w="2232"/>
            <w:vAlign w:val="center"/>
            <w:tcMar>
              <w:top w:w="50" w:type="dxa"/>
              <w:start w:w="70" w:type="dxa"/>
              <w:bottom w:w="50" w:type="dxa"/>
              <w:end w:w="70" w:type="dxa"/>
            </w:tcMar>
          </w:tcPr>
          <w:p>
            <w:pPr>
              <w:spacing w:after="0" w:before="0" w:line="240" w:lineRule="auto"/>
            </w:pPr>
            <w:r>
              <w:rPr>
                <w:sz w:val="17"/>
              </w:rPr>
              <w:t>18 Haziran 2027</w:t>
            </w:r>
          </w:p>
        </w:tc>
        <w:tc>
          <w:tcPr>
            <w:tcW w:type="dxa" w:w="2952"/>
            <w:vAlign w:val="center"/>
            <w:tcMar>
              <w:top w:w="50" w:type="dxa"/>
              <w:start w:w="70" w:type="dxa"/>
              <w:bottom w:w="50" w:type="dxa"/>
              <w:end w:w="70" w:type="dxa"/>
            </w:tcMar>
          </w:tcPr>
          <w:p>
            <w:pPr>
              <w:spacing w:after="0" w:before="0" w:line="240" w:lineRule="auto"/>
            </w:pPr>
            <w:r>
              <w:rPr>
                <w:sz w:val="17"/>
              </w:rPr>
              <w:t>100–105 put; delta ~−0,45 ila −0,60</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NVDA</w:t>
            </w:r>
          </w:p>
        </w:tc>
        <w:tc>
          <w:tcPr>
            <w:tcW w:type="dxa" w:w="1368"/>
            <w:vAlign w:val="center"/>
            <w:tcMar>
              <w:top w:w="50" w:type="dxa"/>
              <w:start w:w="70" w:type="dxa"/>
              <w:bottom w:w="50" w:type="dxa"/>
              <w:end w:w="70" w:type="dxa"/>
            </w:tcMar>
          </w:tcPr>
          <w:p>
            <w:pPr>
              <w:spacing w:after="0" w:before="0" w:line="240" w:lineRule="auto"/>
            </w:pPr>
            <w:r>
              <w:rPr>
                <w:sz w:val="17"/>
              </w:rPr>
              <w:t>1.500 $</w:t>
            </w:r>
          </w:p>
        </w:tc>
        <w:tc>
          <w:tcPr>
            <w:tcW w:type="dxa" w:w="1512"/>
            <w:vAlign w:val="center"/>
            <w:tcMar>
              <w:top w:w="50" w:type="dxa"/>
              <w:start w:w="70" w:type="dxa"/>
              <w:bottom w:w="50" w:type="dxa"/>
              <w:end w:w="70" w:type="dxa"/>
            </w:tcMar>
          </w:tcPr>
          <w:p>
            <w:pPr>
              <w:spacing w:after="0" w:before="0" w:line="240" w:lineRule="auto"/>
            </w:pPr>
            <w:r>
              <w:rPr>
                <w:sz w:val="17"/>
              </w:rPr>
              <w:t>Uzun put alımı</w:t>
            </w:r>
          </w:p>
        </w:tc>
        <w:tc>
          <w:tcPr>
            <w:tcW w:type="dxa" w:w="2232"/>
            <w:vAlign w:val="center"/>
            <w:tcMar>
              <w:top w:w="50" w:type="dxa"/>
              <w:start w:w="70" w:type="dxa"/>
              <w:bottom w:w="50" w:type="dxa"/>
              <w:end w:w="70" w:type="dxa"/>
            </w:tcMar>
          </w:tcPr>
          <w:p>
            <w:pPr>
              <w:spacing w:after="0" w:before="0" w:line="240" w:lineRule="auto"/>
            </w:pPr>
            <w:r>
              <w:rPr>
                <w:sz w:val="17"/>
              </w:rPr>
              <w:t>18 Haziran 2027</w:t>
            </w:r>
          </w:p>
        </w:tc>
        <w:tc>
          <w:tcPr>
            <w:tcW w:type="dxa" w:w="2952"/>
            <w:vAlign w:val="center"/>
            <w:tcMar>
              <w:top w:w="50" w:type="dxa"/>
              <w:start w:w="70" w:type="dxa"/>
              <w:bottom w:w="50" w:type="dxa"/>
              <w:end w:w="70" w:type="dxa"/>
            </w:tcMar>
          </w:tcPr>
          <w:p>
            <w:pPr>
              <w:spacing w:after="0" w:before="0" w:line="240" w:lineRule="auto"/>
            </w:pPr>
            <w:r>
              <w:rPr>
                <w:sz w:val="17"/>
              </w:rPr>
              <w:t>190–205 put; capex/değerleme hedge’i</w:t>
            </w:r>
          </w:p>
        </w:tc>
      </w:tr>
      <w:tr>
        <w:trPr>
          <w:cantSplit/>
        </w:trPr>
        <w:tc>
          <w:tcPr>
            <w:tcW w:type="dxa" w:w="1008"/>
            <w:vAlign w:val="center"/>
            <w:tcMar>
              <w:top w:w="50" w:type="dxa"/>
              <w:start w:w="70" w:type="dxa"/>
              <w:bottom w:w="50" w:type="dxa"/>
              <w:end w:w="70" w:type="dxa"/>
            </w:tcMar>
          </w:tcPr>
          <w:p>
            <w:pPr>
              <w:spacing w:after="0" w:before="0" w:line="240" w:lineRule="auto"/>
            </w:pPr>
            <w:r>
              <w:rPr>
                <w:b/>
                <w:sz w:val="17"/>
              </w:rPr>
              <w:t>TSM</w:t>
            </w:r>
          </w:p>
        </w:tc>
        <w:tc>
          <w:tcPr>
            <w:tcW w:type="dxa" w:w="1368"/>
            <w:vAlign w:val="center"/>
            <w:tcMar>
              <w:top w:w="50" w:type="dxa"/>
              <w:start w:w="70" w:type="dxa"/>
              <w:bottom w:w="50" w:type="dxa"/>
              <w:end w:w="70" w:type="dxa"/>
            </w:tcMar>
          </w:tcPr>
          <w:p>
            <w:pPr>
              <w:spacing w:after="0" w:before="0" w:line="240" w:lineRule="auto"/>
            </w:pPr>
            <w:r>
              <w:rPr>
                <w:sz w:val="17"/>
              </w:rPr>
              <w:t>1.000 $</w:t>
            </w:r>
          </w:p>
        </w:tc>
        <w:tc>
          <w:tcPr>
            <w:tcW w:type="dxa" w:w="1512"/>
            <w:vAlign w:val="center"/>
            <w:tcMar>
              <w:top w:w="50" w:type="dxa"/>
              <w:start w:w="70" w:type="dxa"/>
              <w:bottom w:w="50" w:type="dxa"/>
              <w:end w:w="70" w:type="dxa"/>
            </w:tcMar>
          </w:tcPr>
          <w:p>
            <w:pPr>
              <w:spacing w:after="0" w:before="0" w:line="240" w:lineRule="auto"/>
            </w:pPr>
            <w:r>
              <w:rPr>
                <w:sz w:val="17"/>
              </w:rPr>
              <w:t>Uzun put alımı</w:t>
            </w:r>
          </w:p>
        </w:tc>
        <w:tc>
          <w:tcPr>
            <w:tcW w:type="dxa" w:w="2232"/>
            <w:vAlign w:val="center"/>
            <w:tcMar>
              <w:top w:w="50" w:type="dxa"/>
              <w:start w:w="70" w:type="dxa"/>
              <w:bottom w:w="50" w:type="dxa"/>
              <w:end w:w="70" w:type="dxa"/>
            </w:tcMar>
          </w:tcPr>
          <w:p>
            <w:pPr>
              <w:spacing w:after="0" w:before="0" w:line="240" w:lineRule="auto"/>
            </w:pPr>
            <w:r>
              <w:rPr>
                <w:sz w:val="17"/>
              </w:rPr>
              <w:t>21 Ocak 2028</w:t>
            </w:r>
          </w:p>
        </w:tc>
        <w:tc>
          <w:tcPr>
            <w:tcW w:type="dxa" w:w="2952"/>
            <w:vAlign w:val="center"/>
            <w:tcMar>
              <w:top w:w="50" w:type="dxa"/>
              <w:start w:w="70" w:type="dxa"/>
              <w:bottom w:w="50" w:type="dxa"/>
              <w:end w:w="70" w:type="dxa"/>
            </w:tcMar>
          </w:tcPr>
          <w:p>
            <w:pPr>
              <w:spacing w:after="0" w:before="0" w:line="240" w:lineRule="auto"/>
            </w:pPr>
            <w:r>
              <w:rPr>
                <w:sz w:val="17"/>
              </w:rPr>
              <w:t>350–380 put; delta ~−0,20 ila −0,35</w:t>
            </w:r>
          </w:p>
        </w:tc>
      </w:tr>
      <w:tr>
        <w:trPr>
          <w:cantSplit/>
        </w:trPr>
        <w:tc>
          <w:tcPr>
            <w:tcW w:type="dxa" w:w="1008"/>
            <w:vAlign w:val="center"/>
            <w:tcMar>
              <w:top w:w="50" w:type="dxa"/>
              <w:start w:w="70" w:type="dxa"/>
              <w:bottom w:w="50" w:type="dxa"/>
              <w:end w:w="70" w:type="dxa"/>
            </w:tcMar>
            <w:shd w:fill="F2F2F2"/>
          </w:tcPr>
          <w:p>
            <w:pPr>
              <w:spacing w:after="0" w:before="0" w:line="240" w:lineRule="auto"/>
            </w:pPr>
            <w:r>
              <w:rPr>
                <w:b/>
                <w:sz w:val="17"/>
              </w:rPr>
              <w:t>Toplam azami prim</w:t>
            </w:r>
          </w:p>
        </w:tc>
        <w:tc>
          <w:tcPr>
            <w:tcW w:type="dxa" w:w="1368"/>
            <w:vAlign w:val="center"/>
            <w:tcMar>
              <w:top w:w="50" w:type="dxa"/>
              <w:start w:w="70" w:type="dxa"/>
              <w:bottom w:w="50" w:type="dxa"/>
              <w:end w:w="70" w:type="dxa"/>
            </w:tcMar>
            <w:shd w:fill="F2F2F2"/>
          </w:tcPr>
          <w:p>
            <w:pPr>
              <w:spacing w:after="0" w:before="0" w:line="240" w:lineRule="auto"/>
            </w:pPr>
            <w:r>
              <w:rPr>
                <w:b/>
                <w:sz w:val="17"/>
              </w:rPr>
              <w:t>10.000 $</w:t>
            </w:r>
          </w:p>
        </w:tc>
        <w:tc>
          <w:tcPr>
            <w:tcW w:type="dxa" w:w="1512"/>
            <w:vAlign w:val="center"/>
            <w:tcMar>
              <w:top w:w="50" w:type="dxa"/>
              <w:start w:w="70" w:type="dxa"/>
              <w:bottom w:w="50" w:type="dxa"/>
              <w:end w:w="70" w:type="dxa"/>
            </w:tcMar>
            <w:shd w:fill="F2F2F2"/>
          </w:tcPr>
          <w:p>
            <w:pPr>
              <w:spacing w:after="0" w:before="0" w:line="240" w:lineRule="auto"/>
            </w:pPr>
            <w:r>
              <w:rPr>
                <w:b/>
                <w:sz w:val="17"/>
              </w:rPr>
            </w:r>
          </w:p>
        </w:tc>
        <w:tc>
          <w:tcPr>
            <w:tcW w:type="dxa" w:w="2232"/>
            <w:vAlign w:val="center"/>
            <w:tcMar>
              <w:top w:w="50" w:type="dxa"/>
              <w:start w:w="70" w:type="dxa"/>
              <w:bottom w:w="50" w:type="dxa"/>
              <w:end w:w="70" w:type="dxa"/>
            </w:tcMar>
            <w:shd w:fill="F2F2F2"/>
          </w:tcPr>
          <w:p>
            <w:pPr>
              <w:spacing w:after="0" w:before="0" w:line="240" w:lineRule="auto"/>
            </w:pPr>
            <w:r>
              <w:rPr>
                <w:b/>
                <w:sz w:val="17"/>
              </w:rPr>
            </w:r>
          </w:p>
        </w:tc>
        <w:tc>
          <w:tcPr>
            <w:tcW w:type="dxa" w:w="2952"/>
            <w:vAlign w:val="center"/>
            <w:tcMar>
              <w:top w:w="50" w:type="dxa"/>
              <w:start w:w="70" w:type="dxa"/>
              <w:bottom w:w="50" w:type="dxa"/>
              <w:end w:w="70" w:type="dxa"/>
            </w:tcMar>
            <w:shd w:fill="F2F2F2"/>
          </w:tcPr>
          <w:p>
            <w:pPr>
              <w:spacing w:after="0" w:before="0" w:line="240" w:lineRule="auto"/>
            </w:pPr>
            <w:r>
              <w:rPr>
                <w:b/>
                <w:sz w:val="17"/>
              </w:rPr>
            </w:r>
          </w:p>
        </w:tc>
      </w:tr>
    </w:tbl>
    <w:p>
      <w:pPr>
        <w:keepNext w:val="0"/>
        <w:spacing w:after="80"/>
      </w:pPr>
      <w:r>
        <w:rPr>
          <w:b/>
        </w:rPr>
        <w:t>Dağılım gerekçesi:</w:t>
      </w:r>
      <w:r/>
    </w:p>
    <w:p>
      <w:pPr>
        <w:spacing w:after="40"/>
        <w:ind w:left="259" w:hanging="202"/>
      </w:pPr>
      <w:r>
        <w:rPr>
          <w:b/>
        </w:rPr>
        <w:t xml:space="preserve">• </w:t>
      </w:r>
      <w:r>
        <w:t>CRWV (%30): Rapordaki en olası yakın vadeli finansal kırılma noktasıdır; kaldıraç, değişken faiz ve GPU-teminat yapısı kötü senaryonun en doğrudan put hedefini oluşturur.</w:t>
      </w:r>
    </w:p>
    <w:p>
      <w:pPr>
        <w:spacing w:after="40"/>
        <w:ind w:left="259" w:hanging="202"/>
      </w:pPr>
      <w:r>
        <w:rPr>
          <w:b/>
        </w:rPr>
        <w:t xml:space="preserve">• </w:t>
      </w:r>
      <w:r>
        <w:t>SMCI (%22,5): Düşük marj, yüksek kaldıraç ve ikame edilebilir sunucu montajı modeli, capex yavaşlamasında aşağı yönlü operasyonel kaldıraç yaratabilir.</w:t>
      </w:r>
    </w:p>
    <w:p>
      <w:pPr>
        <w:spacing w:after="40"/>
        <w:ind w:left="259" w:hanging="202"/>
      </w:pPr>
      <w:r>
        <w:rPr>
          <w:b/>
        </w:rPr>
        <w:t xml:space="preserve">• </w:t>
      </w:r>
      <w:r>
        <w:t>INTC (%17,5): Foundry zararları ve düşük faiz karşılama oranı nedeniyle birkaç bilanço dönemine yayılan şirket-özel düşüş tezidir.</w:t>
      </w:r>
    </w:p>
    <w:p>
      <w:pPr>
        <w:spacing w:after="40"/>
        <w:ind w:left="259" w:hanging="202"/>
      </w:pPr>
      <w:r>
        <w:rPr>
          <w:b/>
        </w:rPr>
        <w:t xml:space="preserve">• </w:t>
      </w:r>
      <w:r>
        <w:t>NVDA (%15): Geniş çaplı capex kesintisi veya GPU kira fiyatı gerilemesinde sektörün ana yeniden fiyatlama araçlarından biri olabilir; güçlü bilançosu nedeniyle ağırlığı CRWV/SMCI’nin altında tutulur.</w:t>
      </w:r>
    </w:p>
    <w:p>
      <w:pPr>
        <w:spacing w:after="40"/>
        <w:ind w:left="259" w:hanging="202"/>
      </w:pPr>
      <w:r>
        <w:rPr>
          <w:b/>
        </w:rPr>
        <w:t xml:space="preserve">• </w:t>
      </w:r>
      <w:r>
        <w:t>TSM (%10): Normal resesyon put’ı değil, zamanlaması öngörülemeyen jeopolitik kuyruk sigortasıdır; bu nedenle daha uzun vade ve daha uzak kullanım fiyatı kullanılır.</w:t>
      </w:r>
    </w:p>
    <w:p>
      <w:pPr>
        <w:keepNext w:val="0"/>
        <w:spacing w:after="80"/>
      </w:pPr>
      <w:r>
        <w:rPr>
          <w:b/>
        </w:rPr>
        <w:t>Vade ve seçim mantığı:</w:t>
      </w:r>
      <w:r/>
    </w:p>
    <w:p>
      <w:pPr>
        <w:spacing w:after="40"/>
        <w:ind w:left="259" w:hanging="202"/>
      </w:pPr>
      <w:r>
        <w:rPr>
          <w:b/>
        </w:rPr>
        <w:t xml:space="preserve">• </w:t>
      </w:r>
      <w:r>
        <w:t>CRWV ve SMCI için 6–9 ay: likidite, covenant ve refinansman riskleri birkaç çeyrek içinde görünür hale gelebilir.</w:t>
      </w:r>
    </w:p>
    <w:p>
      <w:pPr>
        <w:spacing w:after="40"/>
        <w:ind w:left="259" w:hanging="202"/>
      </w:pPr>
      <w:r>
        <w:rPr>
          <w:b/>
        </w:rPr>
        <w:t xml:space="preserve">• </w:t>
      </w:r>
      <w:r>
        <w:t>INTC ve NVDA için 9–12 ay: capex ve talep yavaşlamasının siparişlere, marja ve analist tahminlerine yansıması için birkaç bilanço dönemi gerekir.</w:t>
      </w:r>
    </w:p>
    <w:p>
      <w:pPr>
        <w:spacing w:after="40"/>
        <w:ind w:left="259" w:hanging="202"/>
      </w:pPr>
      <w:r>
        <w:rPr>
          <w:b/>
        </w:rPr>
        <w:t xml:space="preserve">• </w:t>
      </w:r>
      <w:r>
        <w:t>TSM için 15–18 ay: jeopolitik olayların zamanlaması öngörülemediğinden küçük ağırlıklı uzun vade kuyruk koruması tercih edilir.</w:t>
      </w:r>
    </w:p>
    <w:p>
      <w:pPr>
        <w:spacing w:after="40"/>
        <w:ind w:left="259" w:hanging="202"/>
      </w:pPr>
      <w:r>
        <w:rPr>
          <w:b/>
        </w:rPr>
        <w:t xml:space="preserve">• </w:t>
      </w:r>
      <w:r>
        <w:t>CRWV ve SMCI put’larında ima edilen oynaklık zaten yüksek olabilir. Hisse düşse bile pahalı alınan put, oynaklık düşüşü veya yetersiz hareket nedeniyle beklenen getiriyi sağlamayabilir.</w:t>
      </w:r>
    </w:p>
    <w:p>
      <w:pPr>
        <w:keepNext w:val="0"/>
        <w:spacing w:after="80"/>
      </w:pPr>
      <w:r>
        <w:rPr>
          <w:i w:val="0"/>
        </w:rPr>
        <w:t>Azami portföy kaybı: Komisyonlar hariç ödenen toplam prim olan 10.000 $’dır. Put alıcısının yön kadar zamanlamayı ve ödenen volatilite primini de doğru tahmin etmesi gerekir.</w:t>
      </w:r>
      <w:r>
        <w:rPr>
          <w:sz w:val="14"/>
          <w:vertAlign w:val="superscript"/>
        </w:rPr>
        <w:t>61</w:t>
      </w:r>
    </w:p>
    <w:p>
      <w:pPr>
        <w:pStyle w:val="Heading2"/>
        <w:keepNext/>
      </w:pPr>
      <w:r>
        <w:t>13.4 Ortak pozisyon yönetimi ve çıkış kuralları</w:t>
      </w:r>
    </w:p>
    <w:p>
      <w:pPr>
        <w:spacing w:after="40"/>
        <w:ind w:left="259" w:hanging="202"/>
      </w:pPr>
      <w:r>
        <w:rPr>
          <w:b/>
        </w:rPr>
        <w:t xml:space="preserve">• </w:t>
      </w:r>
      <w:r>
        <w:t>Kademeli giriş: 10.000 $’ın tamamı aynı gün kullanılmak yerine iki veya üç dilimde, likiditesi yüksek ve alış–satış farkının dar olduğu günlerde devreye alınır.</w:t>
      </w:r>
    </w:p>
    <w:p>
      <w:pPr>
        <w:spacing w:after="40"/>
        <w:ind w:left="259" w:hanging="202"/>
      </w:pPr>
      <w:r>
        <w:rPr>
          <w:b/>
        </w:rPr>
        <w:t xml:space="preserve">• </w:t>
      </w:r>
      <w:r>
        <w:t>Limit emir: Opsiyonlarda piyasa emri yerine alış–satış ortasına yakın limit emir kullanılır; geniş spread’li kontratlar pas geçilir.</w:t>
      </w:r>
    </w:p>
    <w:p>
      <w:pPr>
        <w:spacing w:after="40"/>
        <w:ind w:left="259" w:hanging="202"/>
      </w:pPr>
      <w:r>
        <w:rPr>
          <w:b/>
        </w:rPr>
        <w:t xml:space="preserve">• </w:t>
      </w:r>
      <w:r>
        <w:t>Kâr alma: Prim %75–100 yükseldiğinde pozisyonun en az yarısı realize edilir; haber sonrası volatilite sıçramasında bütün kazancı vade sonuna taşımak zorunlu değildir.</w:t>
      </w:r>
    </w:p>
    <w:p>
      <w:pPr>
        <w:spacing w:after="40"/>
        <w:ind w:left="259" w:hanging="202"/>
      </w:pPr>
      <w:r>
        <w:rPr>
          <w:b/>
        </w:rPr>
        <w:t xml:space="preserve">• </w:t>
      </w:r>
      <w:r>
        <w:t>Tez bozulması: Call tarafında hyperscaler capex rehberliği ve AI gelir kalitesi belirgin kötüleşirse; put tarafında başarılı refinansman, likidite güçlenmesi veya capex dayanıklılığı görülürse pozisyon kapatılır.</w:t>
      </w:r>
    </w:p>
    <w:p>
      <w:pPr>
        <w:spacing w:after="40"/>
        <w:ind w:left="259" w:hanging="202"/>
      </w:pPr>
      <w:r>
        <w:rPr>
          <w:b/>
        </w:rPr>
        <w:t xml:space="preserve">• </w:t>
      </w:r>
      <w:r>
        <w:t>Zaman yönetimi: Tez gerçekleşmemişse call pozisyonları vadenin son 120–150 gününe, put pozisyonları son 90 güne bırakılmaz; zaman aşınması hızlanmadan kapatma veya daha ileri vadeye taşıma değerlendirilir.</w:t>
      </w:r>
    </w:p>
    <w:p>
      <w:pPr>
        <w:spacing w:after="40"/>
        <w:ind w:left="259" w:hanging="202"/>
      </w:pPr>
      <w:r>
        <w:rPr>
          <w:b/>
        </w:rPr>
        <w:t xml:space="preserve">• </w:t>
      </w:r>
      <w:r>
        <w:t>Vade sonu: ITM opsiyonlar otomatik kullanıma konu olabileceğinden, 100 hisselik alım/satım yükümlülüğü istenmiyorsa pozisyonlar vade gününden önce kapatılır.</w:t>
      </w:r>
    </w:p>
    <w:p>
      <w:pPr>
        <w:spacing w:after="40"/>
        <w:ind w:left="259" w:hanging="202"/>
      </w:pPr>
      <w:r>
        <w:rPr>
          <w:b/>
        </w:rPr>
        <w:t xml:space="preserve">• </w:t>
      </w:r>
      <w:r>
        <w:t>0DTE ve haftalık kontratlar: Bu raporun 12–36 aylık temel senaryolarına uygun değildir; yönün yanında gün ve saat zamanlamasının da doğru olmasını gerektirir.</w:t>
      </w:r>
    </w:p>
    <w:p>
      <w:pPr>
        <w:spacing w:after="40"/>
        <w:ind w:left="259" w:hanging="202"/>
      </w:pPr>
      <w:r>
        <w:rPr>
          <w:b/>
        </w:rPr>
        <w:t xml:space="preserve">• </w:t>
      </w:r>
      <w:r>
        <w:t>Risk sınırı: Opsiyon satışı ve margin borcu kullanılmaz. Tek şirket için azami prim payı call portföyünde %30, put portföyünde %30’dur; kaybedilen uzun opsiyona otomatik olarak ekleme yapılmaz.</w:t>
      </w:r>
    </w:p>
    <w:p>
      <w:pPr>
        <w:keepNext w:val="0"/>
        <w:spacing w:after="80"/>
      </w:pPr>
      <w:r>
        <w:rPr>
          <w:i w:val="0"/>
        </w:rPr>
        <w:t>Kaynak: §8 senaryoları ve §11.1 olasılık çerçevesi. Opsiyonların azami risk, kontrat büyüklüğü, vade, zaman aşınması ve kullanım özellikleri için dipnotlardaki OIC/OCC kaynakları kullanılmıştır. Örnek fiyat ve kullanım seviyeleri 13–14 Temmuz 2026 verisine dayalıdır; canlı prim, açık pozisyon ve likidite kontrolü yapılmadan işlem uygulanmamalıdır.</w:t>
      </w:r>
      <w:r>
        <w:rPr>
          <w:sz w:val="14"/>
          <w:vertAlign w:val="superscript"/>
        </w:rPr>
        <w:t>54</w:t>
      </w:r>
      <w:r>
        <w:rPr>
          <w:sz w:val="14"/>
          <w:vertAlign w:val="superscript"/>
        </w:rPr>
        <w:t>55</w:t>
      </w:r>
      <w:r>
        <w:rPr>
          <w:sz w:val="14"/>
          <w:vertAlign w:val="superscript"/>
        </w:rPr>
        <w:t>56</w:t>
      </w:r>
      <w:r>
        <w:rPr>
          <w:sz w:val="14"/>
          <w:vertAlign w:val="superscript"/>
        </w:rPr>
        <w:t>57</w:t>
      </w:r>
      <w:r>
        <w:rPr>
          <w:sz w:val="14"/>
          <w:vertAlign w:val="superscript"/>
        </w:rPr>
        <w:t>58</w:t>
      </w:r>
      <w:r>
        <w:rPr>
          <w:sz w:val="14"/>
          <w:vertAlign w:val="superscript"/>
        </w:rPr>
        <w:t>59</w:t>
      </w:r>
      <w:r>
        <w:rPr>
          <w:sz w:val="14"/>
          <w:vertAlign w:val="superscript"/>
        </w:rPr>
        <w:t>60</w:t>
      </w:r>
      <w:r>
        <w:rPr>
          <w:sz w:val="14"/>
          <w:vertAlign w:val="superscript"/>
        </w:rPr>
        <w:t>61</w:t>
      </w:r>
    </w:p>
    <w:p>
      <w:pPr>
        <w:pStyle w:val="Heading2"/>
      </w:pPr>
      <w:r>
        <w:t>Dipnotlar</w:t>
      </w:r>
    </w:p>
    <w:p>
      <w:pPr>
        <w:spacing w:after="40"/>
      </w:pPr>
      <w:r>
        <w:rPr>
          <w:b/>
          <w:sz w:val="18"/>
        </w:rPr>
        <w:t xml:space="preserve">1. </w:t>
      </w:r>
      <w:r>
        <w:rPr>
          <w:sz w:val="18"/>
        </w:rPr>
        <w:t>TSMC Investor Relations. 1Q26. Q1 2026. https://investor.tsmc.com/</w:t>
      </w:r>
    </w:p>
    <w:p>
      <w:pPr>
        <w:spacing w:after="40"/>
      </w:pPr>
      <w:r>
        <w:rPr>
          <w:b/>
          <w:sz w:val="18"/>
        </w:rPr>
        <w:t xml:space="preserve">2. </w:t>
      </w:r>
      <w:r>
        <w:rPr>
          <w:sz w:val="18"/>
        </w:rPr>
        <w:t>GuruFocus. Taiwan Semiconductor Interest Coverage: 242. 2026. https://www.gurufocus.com/</w:t>
      </w:r>
    </w:p>
    <w:p>
      <w:pPr>
        <w:spacing w:after="40"/>
      </w:pPr>
      <w:r>
        <w:rPr>
          <w:b/>
          <w:sz w:val="18"/>
        </w:rPr>
        <w:t xml:space="preserve">3. </w:t>
      </w:r>
      <w:r>
        <w:rPr>
          <w:sz w:val="18"/>
        </w:rPr>
        <w:t>ASML. Financial overview. 2026. https://www.asml.com/</w:t>
      </w:r>
    </w:p>
    <w:p>
      <w:pPr>
        <w:spacing w:after="40"/>
      </w:pPr>
      <w:r>
        <w:rPr>
          <w:b/>
          <w:sz w:val="18"/>
        </w:rPr>
        <w:t xml:space="preserve">4. </w:t>
      </w:r>
      <w:r>
        <w:rPr>
          <w:sz w:val="18"/>
        </w:rPr>
        <w:t>SEC.gov. CoreWeave Reports Strong First Quarter 2026 Results. Q1 2026. https://www.sec.gov/</w:t>
      </w:r>
    </w:p>
    <w:p>
      <w:pPr>
        <w:spacing w:after="40"/>
      </w:pPr>
      <w:r>
        <w:rPr>
          <w:b/>
          <w:sz w:val="18"/>
        </w:rPr>
        <w:t xml:space="preserve">5. </w:t>
      </w:r>
      <w:r>
        <w:rPr>
          <w:sz w:val="18"/>
        </w:rPr>
        <w:t>S&amp;P Global Ratings. CoreWeave Inc.'s Proposed Senior Unsecured Notes. 2026. https://www.spglobal.com/</w:t>
      </w:r>
    </w:p>
    <w:p>
      <w:pPr>
        <w:spacing w:after="40"/>
      </w:pPr>
      <w:r>
        <w:rPr>
          <w:b/>
          <w:sz w:val="18"/>
        </w:rPr>
        <w:t xml:space="preserve">6. </w:t>
      </w:r>
      <w:r>
        <w:rPr>
          <w:sz w:val="18"/>
        </w:rPr>
        <w:t>MLQ.ai. Amazon Raises $25 Billion in Bond Sale, Bringing 2026 Debt Issuance Past $72 Billion. Temmuz 2026. https://mlq.ai/</w:t>
      </w:r>
    </w:p>
    <w:p>
      <w:pPr>
        <w:spacing w:after="40"/>
      </w:pPr>
      <w:r>
        <w:rPr>
          <w:b/>
          <w:sz w:val="18"/>
        </w:rPr>
        <w:t xml:space="preserve">7. </w:t>
      </w:r>
      <w:r>
        <w:rPr>
          <w:sz w:val="18"/>
        </w:rPr>
        <w:t>Meta Platforms. Meta Reports First Quarter 2026 Results. Q1 2026. https://investor.atmeta.com/</w:t>
      </w:r>
    </w:p>
    <w:p>
      <w:pPr>
        <w:spacing w:after="40"/>
      </w:pPr>
      <w:r>
        <w:rPr>
          <w:b/>
          <w:sz w:val="18"/>
        </w:rPr>
        <w:t xml:space="preserve">8. </w:t>
      </w:r>
      <w:r>
        <w:rPr>
          <w:sz w:val="18"/>
        </w:rPr>
        <w:t>Alphabet Inc. Alphabet Announces First Quarter 2026 Results. Q1 2026. https://abc.xyz/investor/</w:t>
      </w:r>
    </w:p>
    <w:p>
      <w:pPr>
        <w:spacing w:after="40"/>
      </w:pPr>
      <w:r>
        <w:rPr>
          <w:b/>
          <w:sz w:val="18"/>
        </w:rPr>
        <w:t xml:space="preserve">9. </w:t>
      </w:r>
      <w:r>
        <w:rPr>
          <w:sz w:val="18"/>
        </w:rPr>
        <w:t>Sacra. OpenAI revenue, valuation &amp; funding. 2026. https://sacra.com/</w:t>
      </w:r>
    </w:p>
    <w:p>
      <w:pPr>
        <w:spacing w:after="40"/>
      </w:pPr>
      <w:r>
        <w:rPr>
          <w:b/>
          <w:sz w:val="18"/>
        </w:rPr>
        <w:t xml:space="preserve">10. </w:t>
      </w:r>
      <w:r>
        <w:rPr>
          <w:sz w:val="18"/>
        </w:rPr>
        <w:t>IO Fund. Nvidia, CoreWeave, and Nebius: Inside the Circular Financing of the GPU Boom. 2026. https://io-fund.com/</w:t>
      </w:r>
    </w:p>
    <w:p>
      <w:pPr>
        <w:spacing w:after="40"/>
      </w:pPr>
      <w:r>
        <w:rPr>
          <w:b/>
          <w:sz w:val="18"/>
        </w:rPr>
        <w:t xml:space="preserve">11. </w:t>
      </w:r>
      <w:r>
        <w:rPr>
          <w:sz w:val="18"/>
        </w:rPr>
        <w:t>GuruFocus. Constellation Energy Debt-to-Equity: 0.67. 2026. https://www.gurufocus.com/</w:t>
      </w:r>
    </w:p>
    <w:p>
      <w:pPr>
        <w:spacing w:after="40"/>
      </w:pPr>
      <w:r>
        <w:rPr>
          <w:b/>
          <w:sz w:val="18"/>
        </w:rPr>
        <w:t xml:space="preserve">12. </w:t>
      </w:r>
      <w:r>
        <w:rPr>
          <w:sz w:val="18"/>
        </w:rPr>
        <w:t>GuruFocus. Taiwan Semiconductor Cash-to-Debt: 3.17. 2026. https://www.gurufocus.com/</w:t>
      </w:r>
    </w:p>
    <w:p>
      <w:pPr>
        <w:spacing w:after="40"/>
      </w:pPr>
      <w:r>
        <w:rPr>
          <w:b/>
          <w:sz w:val="18"/>
        </w:rPr>
        <w:t xml:space="preserve">13. </w:t>
      </w:r>
      <w:r>
        <w:rPr>
          <w:sz w:val="18"/>
        </w:rPr>
        <w:t>Stock Analysis. GLOBALFOUNDRIES (GFS) Statistics &amp; Valuation. 2026. https://stockanalysis.com/</w:t>
      </w:r>
    </w:p>
    <w:p>
      <w:pPr>
        <w:spacing w:after="40"/>
      </w:pPr>
      <w:r>
        <w:rPr>
          <w:b/>
          <w:sz w:val="18"/>
        </w:rPr>
        <w:t xml:space="preserve">14. </w:t>
      </w:r>
      <w:r>
        <w:rPr>
          <w:sz w:val="18"/>
        </w:rPr>
        <w:t>Intel Corporation. Investor Relations — Historical Data. 2026. https://www.intc.com/</w:t>
      </w:r>
    </w:p>
    <w:p>
      <w:pPr>
        <w:spacing w:after="40"/>
      </w:pPr>
      <w:r>
        <w:rPr>
          <w:b/>
          <w:sz w:val="18"/>
        </w:rPr>
        <w:t xml:space="preserve">15. </w:t>
      </w:r>
      <w:r>
        <w:rPr>
          <w:sz w:val="18"/>
        </w:rPr>
        <w:t>Trefis. Arista Networks (ANET). 2026. https://www.trefis.com/</w:t>
      </w:r>
    </w:p>
    <w:p>
      <w:pPr>
        <w:spacing w:after="40"/>
      </w:pPr>
      <w:r>
        <w:rPr>
          <w:b/>
          <w:sz w:val="18"/>
        </w:rPr>
        <w:t xml:space="preserve">16. </w:t>
      </w:r>
      <w:r>
        <w:rPr>
          <w:sz w:val="18"/>
        </w:rPr>
        <w:t>Public.com. Buy Broadcom Stock — AVGO Stock Quote Today. 2026. https://public.com/</w:t>
      </w:r>
    </w:p>
    <w:p>
      <w:pPr>
        <w:spacing w:after="40"/>
      </w:pPr>
      <w:r>
        <w:rPr>
          <w:b/>
          <w:sz w:val="18"/>
        </w:rPr>
        <w:t xml:space="preserve">17. </w:t>
      </w:r>
      <w:r>
        <w:rPr>
          <w:sz w:val="18"/>
        </w:rPr>
        <w:t>Simply Wall St. Super Micro Computer (Nasdaq:SMCI) Stock Analysis. 2026. https://simplywall.st/</w:t>
      </w:r>
    </w:p>
    <w:p>
      <w:pPr>
        <w:spacing w:after="40"/>
      </w:pPr>
      <w:r>
        <w:rPr>
          <w:b/>
          <w:sz w:val="18"/>
        </w:rPr>
        <w:t xml:space="preserve">18. </w:t>
      </w:r>
      <w:r>
        <w:rPr>
          <w:sz w:val="18"/>
        </w:rPr>
        <w:t>SEC.gov. Alphabet Inc. 10-Q — Q1 2026. Q1 2026. https://www.sec.gov/</w:t>
      </w:r>
    </w:p>
    <w:p>
      <w:pPr>
        <w:spacing w:after="40"/>
      </w:pPr>
      <w:r>
        <w:rPr>
          <w:b/>
          <w:sz w:val="18"/>
        </w:rPr>
        <w:t xml:space="preserve">19. </w:t>
      </w:r>
      <w:r>
        <w:rPr>
          <w:sz w:val="18"/>
        </w:rPr>
        <w:t>SEC.gov. Meta Reports First Quarter 2026 Results. Q1 2026. https://www.sec.gov/</w:t>
      </w:r>
    </w:p>
    <w:p>
      <w:pPr>
        <w:spacing w:after="40"/>
      </w:pPr>
      <w:r>
        <w:rPr>
          <w:b/>
          <w:sz w:val="18"/>
        </w:rPr>
        <w:t xml:space="preserve">20. </w:t>
      </w:r>
      <w:r>
        <w:rPr>
          <w:sz w:val="18"/>
        </w:rPr>
        <w:t>Global Data Center Hub. Meta Q1 2026: The $145B Reset and the Repricing of Free Cash Flow. 2026. https://globaldatacenterhub.com/</w:t>
      </w:r>
    </w:p>
    <w:p>
      <w:pPr>
        <w:spacing w:after="40"/>
      </w:pPr>
      <w:r>
        <w:rPr>
          <w:b/>
          <w:sz w:val="18"/>
        </w:rPr>
        <w:t xml:space="preserve">21. </w:t>
      </w:r>
      <w:r>
        <w:rPr>
          <w:sz w:val="18"/>
        </w:rPr>
        <w:t>Fitch Ratings. Fitch Rates Amazon's Proposed Notes 'AA-'. 2026. https://www.fitchratings.com/</w:t>
      </w:r>
    </w:p>
    <w:p>
      <w:pPr>
        <w:spacing w:after="40"/>
      </w:pPr>
      <w:r>
        <w:rPr>
          <w:b/>
          <w:sz w:val="18"/>
        </w:rPr>
        <w:t xml:space="preserve">22. </w:t>
      </w:r>
      <w:r>
        <w:rPr>
          <w:sz w:val="18"/>
        </w:rPr>
        <w:t>ASML. ASML reports €8.8 billion total net sales and €2.8 billion net income in Q1 2026. Q1 2026. https://www.asml.com/</w:t>
      </w:r>
    </w:p>
    <w:p>
      <w:pPr>
        <w:spacing w:after="40"/>
      </w:pPr>
      <w:r>
        <w:rPr>
          <w:b/>
          <w:sz w:val="18"/>
        </w:rPr>
        <w:t xml:space="preserve">23. </w:t>
      </w:r>
      <w:r>
        <w:rPr>
          <w:sz w:val="18"/>
        </w:rPr>
        <w:t>Capital.com. ASML Holding N.V. Market Cap — July 2026 Update. Temmuz 2026. https://capital.com/</w:t>
      </w:r>
    </w:p>
    <w:p>
      <w:pPr>
        <w:spacing w:after="40"/>
      </w:pPr>
      <w:r>
        <w:rPr>
          <w:b/>
          <w:sz w:val="18"/>
        </w:rPr>
        <w:t xml:space="preserve">24. </w:t>
      </w:r>
      <w:r>
        <w:rPr>
          <w:sz w:val="18"/>
        </w:rPr>
        <w:t>TSMC Investor Relations. TSMC 2026 Q2 Quarterly Results. 2026. https://investor.tsmc.com/</w:t>
      </w:r>
    </w:p>
    <w:p>
      <w:pPr>
        <w:spacing w:after="40"/>
      </w:pPr>
      <w:r>
        <w:rPr>
          <w:b/>
          <w:sz w:val="18"/>
        </w:rPr>
        <w:t xml:space="preserve">25. </w:t>
      </w:r>
      <w:r>
        <w:rPr>
          <w:sz w:val="18"/>
        </w:rPr>
        <w:t>S&amp;P Global Ratings. Research Update: TSMC Outlook Revised To Positive. 2026. https://www.spglobal.com/</w:t>
      </w:r>
    </w:p>
    <w:p>
      <w:pPr>
        <w:spacing w:after="40"/>
      </w:pPr>
      <w:r>
        <w:rPr>
          <w:b/>
          <w:sz w:val="18"/>
        </w:rPr>
        <w:t xml:space="preserve">26. </w:t>
      </w:r>
      <w:r>
        <w:rPr>
          <w:sz w:val="18"/>
        </w:rPr>
        <w:t>The Motley Fool. A GlobalFoundries Insider Sold 78% of His Company Shares. 2026. https://www.fool.com/</w:t>
      </w:r>
    </w:p>
    <w:p>
      <w:pPr>
        <w:spacing w:after="40"/>
      </w:pPr>
      <w:r>
        <w:rPr>
          <w:b/>
          <w:sz w:val="18"/>
        </w:rPr>
        <w:t xml:space="preserve">27. </w:t>
      </w:r>
      <w:r>
        <w:rPr>
          <w:sz w:val="18"/>
        </w:rPr>
        <w:t>TradingKey. Intel (INTC) Stock Price Prediction July 2026: Down 21% in 7 Days. Temmuz 2026. https://tradingkey.com/</w:t>
      </w:r>
    </w:p>
    <w:p>
      <w:pPr>
        <w:spacing w:after="40"/>
      </w:pPr>
      <w:r>
        <w:rPr>
          <w:b/>
          <w:sz w:val="18"/>
        </w:rPr>
        <w:t xml:space="preserve">28. </w:t>
      </w:r>
      <w:r>
        <w:rPr>
          <w:sz w:val="18"/>
        </w:rPr>
        <w:t>NVIDIA Investor Relations. Stock Quote &amp; Chart. 2026. https://investor.nvidia.com/</w:t>
      </w:r>
    </w:p>
    <w:p>
      <w:pPr>
        <w:spacing w:after="40"/>
      </w:pPr>
      <w:r>
        <w:rPr>
          <w:b/>
          <w:sz w:val="18"/>
        </w:rPr>
        <w:t xml:space="preserve">29. </w:t>
      </w:r>
      <w:r>
        <w:rPr>
          <w:sz w:val="18"/>
        </w:rPr>
        <w:t>The Motley Fool. Nvidia Stock Is Losing to the Market in 2026. 2026. https://www.fool.com/</w:t>
      </w:r>
    </w:p>
    <w:p>
      <w:pPr>
        <w:spacing w:after="40"/>
      </w:pPr>
      <w:r>
        <w:rPr>
          <w:b/>
          <w:sz w:val="18"/>
        </w:rPr>
        <w:t xml:space="preserve">30. </w:t>
      </w:r>
      <w:r>
        <w:rPr>
          <w:sz w:val="18"/>
        </w:rPr>
        <w:t>Advanced Micro Devices, Inc. Price History — Investor Relations. 2026. https://ir.amd.com/</w:t>
      </w:r>
    </w:p>
    <w:p>
      <w:pPr>
        <w:spacing w:after="40"/>
      </w:pPr>
      <w:r>
        <w:rPr>
          <w:b/>
          <w:sz w:val="18"/>
        </w:rPr>
        <w:t xml:space="preserve">31. </w:t>
      </w:r>
      <w:r>
        <w:rPr>
          <w:sz w:val="18"/>
        </w:rPr>
        <w:t>TIKR.com. AMD Stock Forecast 2026: A 57% Data Center Revenue Jump and a $120 Billion CPU Market. 2026. https://www.tikr.com/</w:t>
      </w:r>
    </w:p>
    <w:p>
      <w:pPr>
        <w:spacing w:after="40"/>
      </w:pPr>
      <w:r>
        <w:rPr>
          <w:b/>
          <w:sz w:val="18"/>
        </w:rPr>
        <w:t xml:space="preserve">32. </w:t>
      </w:r>
      <w:r>
        <w:rPr>
          <w:sz w:val="18"/>
        </w:rPr>
        <w:t>Trefis. Qualcomm (QCOM). 2026. https://www.trefis.com/</w:t>
      </w:r>
    </w:p>
    <w:p>
      <w:pPr>
        <w:spacing w:after="40"/>
      </w:pPr>
      <w:r>
        <w:rPr>
          <w:b/>
          <w:sz w:val="18"/>
        </w:rPr>
        <w:t xml:space="preserve">33. </w:t>
      </w:r>
      <w:r>
        <w:rPr>
          <w:sz w:val="18"/>
        </w:rPr>
        <w:t>Companies Market Cap. Total debt — Constellation Energy (CEG). 2026. https://companiesmarketcap.com/</w:t>
      </w:r>
    </w:p>
    <w:p>
      <w:pPr>
        <w:spacing w:after="40"/>
      </w:pPr>
      <w:r>
        <w:rPr>
          <w:b/>
          <w:sz w:val="18"/>
        </w:rPr>
        <w:t xml:space="preserve">34. </w:t>
      </w:r>
      <w:r>
        <w:rPr>
          <w:sz w:val="18"/>
        </w:rPr>
        <w:t>Amazon.com, Inc. Amazon.com Announces First Quarter Results. Q1 2026. https://ir.aboutamazon.com/</w:t>
      </w:r>
    </w:p>
    <w:p>
      <w:pPr>
        <w:spacing w:after="40"/>
      </w:pPr>
      <w:r>
        <w:rPr>
          <w:b/>
          <w:sz w:val="18"/>
        </w:rPr>
        <w:t xml:space="preserve">35. </w:t>
      </w:r>
      <w:r>
        <w:rPr>
          <w:sz w:val="18"/>
        </w:rPr>
        <w:t>Microsoft. FY26 Q3 — Press Releases, Investor Relations. 2026. https://www.microsoft.com/en-us/Investor</w:t>
      </w:r>
    </w:p>
    <w:p>
      <w:pPr>
        <w:spacing w:after="40"/>
      </w:pPr>
      <w:r>
        <w:rPr>
          <w:b/>
          <w:sz w:val="18"/>
        </w:rPr>
        <w:t xml:space="preserve">36. </w:t>
      </w:r>
      <w:r>
        <w:rPr>
          <w:sz w:val="18"/>
        </w:rPr>
        <w:t>Microsoft (GCS Web). Form 8-K for Microsoft Corp filed 01/28/2026. 2026. https://microsoft.gcs-web.com/</w:t>
      </w:r>
    </w:p>
    <w:p>
      <w:pPr>
        <w:spacing w:after="40"/>
      </w:pPr>
      <w:r>
        <w:rPr>
          <w:b/>
          <w:sz w:val="18"/>
        </w:rPr>
        <w:t xml:space="preserve">37. </w:t>
      </w:r>
      <w:r>
        <w:rPr>
          <w:sz w:val="18"/>
        </w:rPr>
        <w:t>Capital.com. Apple Inc (AAPL) Market Cap — July 2026 Update. Temmuz 2026. https://capital.com/</w:t>
      </w:r>
    </w:p>
    <w:p>
      <w:pPr>
        <w:spacing w:after="40"/>
      </w:pPr>
      <w:r>
        <w:rPr>
          <w:b/>
          <w:sz w:val="18"/>
        </w:rPr>
        <w:t xml:space="preserve">38. </w:t>
      </w:r>
      <w:r>
        <w:rPr>
          <w:sz w:val="18"/>
        </w:rPr>
        <w:t>TradingView. CoreWeave Guides $31-$35B Capex for 2026: Fuel or Financial Strain? 2026. https://www.tradingview.com/</w:t>
      </w:r>
    </w:p>
    <w:p>
      <w:pPr>
        <w:spacing w:after="40"/>
      </w:pPr>
      <w:r>
        <w:rPr>
          <w:b/>
          <w:sz w:val="18"/>
        </w:rPr>
        <w:t xml:space="preserve">39. </w:t>
      </w:r>
      <w:r>
        <w:rPr>
          <w:sz w:val="18"/>
        </w:rPr>
        <w:t>SEC.gov. Nebius reports first quarter 2026 financial results. Q1 2026. https://www.sec.gov/</w:t>
      </w:r>
    </w:p>
    <w:p>
      <w:pPr>
        <w:spacing w:after="40"/>
      </w:pPr>
      <w:r>
        <w:rPr>
          <w:b/>
          <w:sz w:val="18"/>
        </w:rPr>
        <w:t xml:space="preserve">40. </w:t>
      </w:r>
      <w:r>
        <w:rPr>
          <w:sz w:val="18"/>
        </w:rPr>
        <w:t>TIKR.com. Nebius Grew Revenue 684% in Q1, Sold Out Its Entire Capacity, and Raised Its Capex Target to $25 Billion. 2026. https://www.tikr.com/</w:t>
      </w:r>
    </w:p>
    <w:p>
      <w:pPr>
        <w:spacing w:after="40"/>
      </w:pPr>
      <w:r>
        <w:rPr>
          <w:b/>
          <w:sz w:val="18"/>
        </w:rPr>
        <w:t xml:space="preserve">41. </w:t>
      </w:r>
      <w:r>
        <w:rPr>
          <w:sz w:val="18"/>
        </w:rPr>
        <w:t>Sacra. Lambda Labs revenue, valuation &amp; funding. 2026. https://sacra.com/</w:t>
      </w:r>
    </w:p>
    <w:p>
      <w:pPr>
        <w:spacing w:after="40"/>
      </w:pPr>
      <w:r>
        <w:rPr>
          <w:b/>
          <w:sz w:val="18"/>
        </w:rPr>
        <w:t xml:space="preserve">42. </w:t>
      </w:r>
      <w:r>
        <w:rPr>
          <w:sz w:val="18"/>
        </w:rPr>
        <w:t>Forge Global. Lambda Upcoming IPO: AI infrastructure company reportedly plans to go public in H2 2026. 2026. https://forgeglobal.com/</w:t>
      </w:r>
    </w:p>
    <w:p>
      <w:pPr>
        <w:spacing w:after="40"/>
      </w:pPr>
      <w:r>
        <w:rPr>
          <w:b/>
          <w:sz w:val="18"/>
        </w:rPr>
        <w:t xml:space="preserve">43. </w:t>
      </w:r>
      <w:r>
        <w:rPr>
          <w:sz w:val="18"/>
        </w:rPr>
        <w:t>ValueAdd VC. OpenAI's $852B Valuation in 2026. 2026. https://valueaddvc.com/</w:t>
      </w:r>
    </w:p>
    <w:p>
      <w:pPr>
        <w:spacing w:after="40"/>
      </w:pPr>
      <w:r>
        <w:rPr>
          <w:b/>
          <w:sz w:val="18"/>
        </w:rPr>
        <w:t xml:space="preserve">44. </w:t>
      </w:r>
      <w:r>
        <w:rPr>
          <w:sz w:val="18"/>
        </w:rPr>
        <w:t>Luminix AI. OpenAI Revenue 2025–2026: $13B Financials &amp; ARR Data. 2026. https://useluminix.com/</w:t>
      </w:r>
    </w:p>
    <w:p>
      <w:pPr>
        <w:spacing w:after="40"/>
      </w:pPr>
      <w:r>
        <w:rPr>
          <w:b/>
          <w:sz w:val="18"/>
        </w:rPr>
        <w:t xml:space="preserve">45. </w:t>
      </w:r>
      <w:r>
        <w:rPr>
          <w:sz w:val="18"/>
        </w:rPr>
        <w:t>Quasa Media. OpenAI 5% Government Stake: Implications for AI in 2026. 2026. https://quasa.io/</w:t>
      </w:r>
    </w:p>
    <w:p>
      <w:pPr>
        <w:spacing w:after="40"/>
      </w:pPr>
      <w:r>
        <w:rPr>
          <w:b/>
          <w:sz w:val="18"/>
        </w:rPr>
        <w:t xml:space="preserve">46. </w:t>
      </w:r>
      <w:r>
        <w:rPr>
          <w:sz w:val="18"/>
        </w:rPr>
        <w:t>Sacra. Anthropic revenue, valuation &amp; funding. 2026. https://sacra.com/</w:t>
      </w:r>
    </w:p>
    <w:p>
      <w:pPr>
        <w:spacing w:after="40"/>
      </w:pPr>
      <w:r>
        <w:rPr>
          <w:b/>
          <w:sz w:val="18"/>
        </w:rPr>
        <w:t xml:space="preserve">47. </w:t>
      </w:r>
      <w:r>
        <w:rPr>
          <w:sz w:val="18"/>
        </w:rPr>
        <w:t>Donanım Haber. Anthropic Raises $65 Billion in Private Funding, Valuation Surpasses $960 Billion. 2026. https://www.donanimhaber.com/</w:t>
      </w:r>
    </w:p>
    <w:p>
      <w:pPr>
        <w:spacing w:after="40"/>
      </w:pPr>
      <w:r>
        <w:rPr>
          <w:b/>
          <w:sz w:val="18"/>
        </w:rPr>
        <w:t xml:space="preserve">48. </w:t>
      </w:r>
      <w:r>
        <w:rPr>
          <w:sz w:val="18"/>
        </w:rPr>
        <w:t>AI Business Weekly. Anthropic Statistics 2026: Revenue, Valuation &amp; Growth Data. 2026. https://aibusinessweekly.net/</w:t>
      </w:r>
    </w:p>
    <w:p>
      <w:pPr>
        <w:spacing w:after="40"/>
      </w:pPr>
      <w:r>
        <w:rPr>
          <w:b/>
          <w:sz w:val="18"/>
        </w:rPr>
        <w:t xml:space="preserve">49. </w:t>
      </w:r>
      <w:r>
        <w:rPr>
          <w:sz w:val="18"/>
        </w:rPr>
        <w:t>Federal Reserve Bank of Cleveland. Inflation Nowcasting. 2026. https://www.clevelandfed.org/indicators-and-data/inflation-nowcasting</w:t>
      </w:r>
    </w:p>
    <w:p>
      <w:pPr>
        <w:spacing w:after="40"/>
      </w:pPr>
      <w:r>
        <w:rPr>
          <w:b/>
          <w:sz w:val="18"/>
        </w:rPr>
        <w:t xml:space="preserve">50. </w:t>
      </w:r>
      <w:r>
        <w:rPr>
          <w:sz w:val="18"/>
        </w:rPr>
        <w:t>Federal Reserve Board. Speech by Governor Waller on the economic outlook. 2026. https://www.federalreserve.gov/</w:t>
      </w:r>
    </w:p>
    <w:p>
      <w:pPr>
        <w:spacing w:after="40"/>
      </w:pPr>
      <w:r>
        <w:rPr>
          <w:b/>
          <w:sz w:val="18"/>
        </w:rPr>
        <w:t xml:space="preserve">51. </w:t>
      </w:r>
      <w:r>
        <w:rPr>
          <w:sz w:val="18"/>
        </w:rPr>
        <w:t>The Guardian. US stock markets fall amid Iran strikes and potential higher interest rates. 2026. https://www.theguardian.com/</w:t>
      </w:r>
    </w:p>
    <w:p>
      <w:pPr>
        <w:spacing w:after="40"/>
      </w:pPr>
      <w:r>
        <w:rPr>
          <w:b/>
          <w:sz w:val="18"/>
        </w:rPr>
        <w:t xml:space="preserve">52. </w:t>
      </w:r>
      <w:r>
        <w:rPr>
          <w:sz w:val="18"/>
        </w:rPr>
        <w:t>Capital.com. Intel Corp (INTC) Market Cap — July 2026 Update. Temmuz 2026. https://capital.com/</w:t>
      </w:r>
    </w:p>
    <w:p>
      <w:pPr>
        <w:spacing w:after="40"/>
      </w:pPr>
      <w:r>
        <w:rPr>
          <w:b/>
          <w:sz w:val="18"/>
        </w:rPr>
        <w:t xml:space="preserve">53. </w:t>
      </w:r>
      <w:r>
        <w:rPr>
          <w:sz w:val="18"/>
        </w:rPr>
        <w:t>Trading Economics. United States Fed Funds Interest Rate. Temmuz 2026. https://tradingeconomics.com/united-states/interest-rate</w:t>
      </w:r>
    </w:p>
    <w:p>
      <w:pPr>
        <w:spacing w:after="40"/>
      </w:pPr>
      <w:r>
        <w:t>54. Options Industry Council (OIC). Long Call. https://www.optionseducation.org/strategies/all-strategies/long-call</w:t>
      </w:r>
    </w:p>
    <w:p>
      <w:pPr>
        <w:spacing w:after="40"/>
      </w:pPr>
      <w:r>
        <w:rPr>
          <w:b/>
          <w:sz w:val="18"/>
        </w:rPr>
        <w:t xml:space="preserve">55. </w:t>
      </w:r>
      <w:r>
        <w:rPr>
          <w:sz w:val="18"/>
        </w:rPr>
        <w:t>The Options Clearing Corporation (OCC). Characteristics and Risks of Standardized Options. https://www.theocc.com/getcontentasset/a151a9ae-d784-4a15-bdeb-23a029f50b70/dfc3d011-8f63-43f6-9ed8-4b444333a1d0/riskstoc.pdf</w:t>
      </w:r>
    </w:p>
    <w:p>
      <w:pPr>
        <w:spacing w:after="40"/>
      </w:pPr>
      <w:r>
        <w:rPr>
          <w:b/>
          <w:sz w:val="18"/>
        </w:rPr>
        <w:t xml:space="preserve">56. </w:t>
      </w:r>
      <w:r>
        <w:rPr>
          <w:sz w:val="18"/>
        </w:rPr>
        <w:t>Stock Options Channel. NVDA — Option Chain &amp; Expirations. https://www.stockoptionschannel.com/symbol/nvda/</w:t>
      </w:r>
    </w:p>
    <w:p>
      <w:pPr>
        <w:spacing w:after="40"/>
      </w:pPr>
      <w:r>
        <w:rPr>
          <w:b/>
          <w:sz w:val="18"/>
        </w:rPr>
        <w:t xml:space="preserve">57. </w:t>
      </w:r>
      <w:r>
        <w:rPr>
          <w:sz w:val="18"/>
        </w:rPr>
        <w:t>Stock Options Channel. SMCI — Option Chain &amp; Expirations. https://www.stockoptionschannel.com/symbol/smci/</w:t>
      </w:r>
    </w:p>
    <w:p>
      <w:pPr>
        <w:spacing w:after="40"/>
      </w:pPr>
      <w:r>
        <w:rPr>
          <w:b/>
          <w:sz w:val="18"/>
        </w:rPr>
        <w:t xml:space="preserve">58. </w:t>
      </w:r>
      <w:r>
        <w:rPr>
          <w:sz w:val="18"/>
        </w:rPr>
        <w:t>Options Industry Council (OIC). Expiration Calendar. https://www.optionseducation.org/referencelibrary/expiration-calendar</w:t>
      </w:r>
    </w:p>
    <w:p>
      <w:pPr>
        <w:spacing w:after="40"/>
      </w:pPr>
      <w:r>
        <w:rPr>
          <w:b/>
          <w:sz w:val="18"/>
        </w:rPr>
        <w:t xml:space="preserve">59. </w:t>
      </w:r>
      <w:r>
        <w:rPr>
          <w:sz w:val="18"/>
        </w:rPr>
        <w:t>Options Industry Council (OIC). LEAPS &amp; Time Erosion versus Delta Effect. https://www.optionseducation.org/optionsoverview/leaps-time-erosion-versus-delta-effect</w:t>
      </w:r>
    </w:p>
    <w:p>
      <w:pPr>
        <w:spacing w:after="40"/>
      </w:pPr>
      <w:r>
        <w:rPr>
          <w:b/>
          <w:sz w:val="18"/>
        </w:rPr>
        <w:t xml:space="preserve">60. </w:t>
      </w:r>
      <w:r>
        <w:rPr>
          <w:sz w:val="18"/>
        </w:rPr>
        <w:t>The Options Clearing Corporation (OCC). Equity Options Product Specifications. https://www.theocc.com/clearance-and-settlement/clearing/equity-options-product-specifications</w:t>
      </w:r>
    </w:p>
    <w:p>
      <w:pPr>
        <w:spacing w:after="40"/>
      </w:pPr>
      <w:r>
        <w:t>61. Options Industry Council (OIC). Long Put. https://www.optionseducation.org/strategies/all-strategies/long-put</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