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012BF5">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012BF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012BF5" w:rsidRPr="00012BF5">
              <w:rPr>
                <w:rFonts w:ascii="Century Gothic" w:eastAsia="Times New Roman" w:hAnsi="Century Gothic" w:cs="Arial"/>
                <w:color w:val="000000"/>
                <w:sz w:val="20"/>
                <w:szCs w:val="20"/>
              </w:rPr>
              <w:t>Patient Cancels Appointment</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012BF5">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012BF5">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012BF5">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012BF5">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012BF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012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012BF5">
              <w:t>TC-8</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012BF5">
              <w:t>This test case verifies a patient's ability to cancel a previously scheduled appointment.</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012BF5" w:rsidRPr="00012BF5" w:rsidRDefault="00705A35" w:rsidP="00012BF5">
            <w:pPr>
              <w:rPr>
                <w:rFonts w:ascii="Times New Roman" w:eastAsia="Times New Roman" w:hAnsi="Times New Roman" w:cs="Times New Roman"/>
                <w:lang/>
              </w:rPr>
            </w:pPr>
            <w:r w:rsidRPr="00705A35">
              <w:rPr>
                <w:rFonts w:ascii="Century Gothic" w:eastAsia="Times New Roman" w:hAnsi="Century Gothic" w:cs="Arial"/>
                <w:color w:val="000000"/>
                <w:sz w:val="20"/>
                <w:szCs w:val="20"/>
              </w:rPr>
              <w:t> </w:t>
            </w:r>
            <w:r w:rsidR="00012BF5" w:rsidRPr="00012BF5">
              <w:rPr>
                <w:rFonts w:ascii="Times New Roman" w:eastAsia="Times New Roman" w:hAnsi="Symbol" w:cs="Times New Roman"/>
                <w:lang/>
              </w:rPr>
              <w:t></w:t>
            </w:r>
            <w:r w:rsidR="00012BF5" w:rsidRPr="00012BF5">
              <w:rPr>
                <w:rFonts w:ascii="Times New Roman" w:eastAsia="Times New Roman" w:hAnsi="Times New Roman" w:cs="Times New Roman"/>
                <w:lang/>
              </w:rPr>
              <w:t xml:space="preserve">  The appointment is successfully removed from the patient's list and the doctor's schedule. </w:t>
            </w:r>
          </w:p>
          <w:p w:rsidR="00705A35" w:rsidRPr="00012BF5" w:rsidRDefault="00012BF5" w:rsidP="00012BF5">
            <w:pPr>
              <w:rPr>
                <w:rFonts w:ascii="Times New Roman" w:eastAsia="Times New Roman" w:hAnsi="Times New Roman" w:cs="Times New Roman"/>
                <w:lang/>
              </w:rPr>
            </w:pPr>
            <w:r w:rsidRPr="00012BF5">
              <w:rPr>
                <w:rFonts w:ascii="Times New Roman" w:eastAsia="Times New Roman" w:hAnsi="Symbol" w:cs="Times New Roman"/>
                <w:lang/>
              </w:rPr>
              <w:t></w:t>
            </w:r>
            <w:r w:rsidRPr="00012BF5">
              <w:rPr>
                <w:rFonts w:ascii="Times New Roman" w:eastAsia="Times New Roman" w:hAnsi="Times New Roman" w:cs="Times New Roman"/>
                <w:lang/>
              </w:rPr>
              <w:t xml:space="preserve">  A confirmation message is displayed to the patient informing them of the successful cancellation.</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7740B3">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7740B3">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4075" w:rsidRDefault="009F4075" w:rsidP="00B01A05">
      <w:r>
        <w:separator/>
      </w:r>
    </w:p>
  </w:endnote>
  <w:endnote w:type="continuationSeparator" w:id="0">
    <w:p w:rsidR="009F4075" w:rsidRDefault="009F4075"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4075" w:rsidRDefault="009F4075" w:rsidP="00B01A05">
      <w:r>
        <w:separator/>
      </w:r>
    </w:p>
  </w:footnote>
  <w:footnote w:type="continuationSeparator" w:id="0">
    <w:p w:rsidR="009F4075" w:rsidRDefault="009F4075"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529947540">
    <w:abstractNumId w:val="7"/>
  </w:num>
  <w:num w:numId="2" w16cid:durableId="1541473205">
    <w:abstractNumId w:val="8"/>
  </w:num>
  <w:num w:numId="3" w16cid:durableId="730227136">
    <w:abstractNumId w:val="5"/>
  </w:num>
  <w:num w:numId="4" w16cid:durableId="568001540">
    <w:abstractNumId w:val="9"/>
  </w:num>
  <w:num w:numId="5" w16cid:durableId="1791625553">
    <w:abstractNumId w:val="12"/>
  </w:num>
  <w:num w:numId="6" w16cid:durableId="1106849162">
    <w:abstractNumId w:val="3"/>
  </w:num>
  <w:num w:numId="7" w16cid:durableId="2008484706">
    <w:abstractNumId w:val="6"/>
  </w:num>
  <w:num w:numId="8" w16cid:durableId="265776671">
    <w:abstractNumId w:val="2"/>
  </w:num>
  <w:num w:numId="9" w16cid:durableId="1466700944">
    <w:abstractNumId w:val="11"/>
  </w:num>
  <w:num w:numId="10" w16cid:durableId="1210147208">
    <w:abstractNumId w:val="0"/>
  </w:num>
  <w:num w:numId="11" w16cid:durableId="1162358930">
    <w:abstractNumId w:val="10"/>
  </w:num>
  <w:num w:numId="12" w16cid:durableId="1819805361">
    <w:abstractNumId w:val="4"/>
  </w:num>
  <w:num w:numId="13" w16cid:durableId="102983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CF"/>
    <w:rsid w:val="0000378B"/>
    <w:rsid w:val="000068A2"/>
    <w:rsid w:val="00007337"/>
    <w:rsid w:val="00012BF5"/>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48FE"/>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378CF"/>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1094"/>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40B3"/>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4075"/>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31F6F"/>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31F0"/>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0F642"/>
  <w14:defaultImageDpi w14:val="32767"/>
  <w15:chartTrackingRefBased/>
  <w15:docId w15:val="{00B12810-1F43-4D3D-8691-0D7287FA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12799402">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3</TotalTime>
  <Pages>2</Pages>
  <Words>182</Words>
  <Characters>1040</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2</cp:revision>
  <cp:lastPrinted>2019-01-26T22:57:00Z</cp:lastPrinted>
  <dcterms:created xsi:type="dcterms:W3CDTF">2024-05-08T21:03:00Z</dcterms:created>
  <dcterms:modified xsi:type="dcterms:W3CDTF">2024-05-08T21:03:00Z</dcterms:modified>
</cp:coreProperties>
</file>