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Research Note: Investigating Post-Fall Rebound Effect in NIFTY 50</w:t>
      </w:r>
    </w:p>
    <w:p>
      <w:pPr>
        <w:spacing w:after="60"/>
      </w:pPr>
      <w:r>
        <w:rPr>
          <w:b/>
          <w:bCs/>
        </w:rPr>
        <w:t xml:space="preserve">Author: </w:t>
      </w:r>
      <w:r>
        <w:t xml:space="preserve">Quant Engineer Candidate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September 2026</w:t>
      </w:r>
    </w:p>
    <w:p>
      <w:pPr>
        <w:spacing w:after="60"/>
      </w:pPr>
      <w:r>
        <w:rPr>
          <w:b/>
          <w:bCs/>
        </w:rPr>
        <w:t xml:space="preserve">Objective: </w:t>
      </w:r>
      <w:r>
        <w:t xml:space="preserve">Evaluate whether significant single-day declines in the NIFTY 50 Index are followed by short-term positive excess returns over a subsequent holding period.</w:t>
      </w:r>
    </w:p>
    <w:p>
      <w:pPr>
        <w:pStyle w:val="Heading1"/>
        <w:spacing w:after="160" w:before="320"/>
      </w:pPr>
      <w:r>
        <w:t xml:space="preserve">1. Core Hypothesis</w:t>
      </w:r>
    </w:p>
    <w:p>
      <w:pPr>
        <w:spacing w:after="160"/>
      </w:pPr>
      <w:r>
        <w:t xml:space="preserve">When the NIFTY 50 Index experiences a single-day percentage decline of ≥ 1.5% relative to the previous trading day's closing price, the mean forward return over the subsequent 5 trading days is statistically significantly greater than the baseline mean 5-day return across the entire test period.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Null Hypothesis (H₀): </w:t>
      </w:r>
      <w:r>
        <w:t xml:space="preserve">μ_event ≤ μ_baseline (Event-driven forward returns are less than or equal to typical market returns).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Alternative Hypothesis (H₁): </w:t>
      </w:r>
      <w:r>
        <w:t xml:space="preserve">μ_event &gt; μ_baseline (Event-driven forward returns are significantly higher than typical market returns).</w:t>
      </w:r>
    </w:p>
    <w:p>
      <w:pPr>
        <w:pStyle w:val="Heading1"/>
        <w:spacing w:after="160" w:before="320"/>
      </w:pPr>
      <w:r>
        <w:t xml:space="preserve">2. Event &amp; Recovery Definitions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Daily Return (R</w:t>
      </w:r>
      <w:r>
        <w:rPr>
          <w:b/>
          <w:bCs/>
          <w:vertAlign w:val="subscript"/>
        </w:rPr>
        <w:t xml:space="preserve">t</w:t>
      </w:r>
      <w:r>
        <w:rPr>
          <w:b/>
          <w:bCs/>
        </w:rPr>
        <w:t xml:space="preserve">):</w:t>
      </w:r>
    </w:p>
    <w:p>
      <w:pPr>
        <w:shd w:fill="F2F2F2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Rt = (Closet − Closet−1) / Closet−1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Trigger Event Condition: </w:t>
      </w:r>
      <w:r>
        <w:t xml:space="preserve">An event is triggered on Day t if:</w:t>
      </w:r>
    </w:p>
    <w:p>
      <w:pPr>
        <w:shd w:fill="F2F2F2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Rt ≤ −0.015  (−1.5%)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Rationale: </w:t>
      </w:r>
      <w:r>
        <w:t xml:space="preserve">A 1.5% move represents a standard deviation shock (≈ 1.5x to 2x typical daily volatility in NIFTY), capturing clear market stress without severely starving the sample size.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Recovery Return Metric (R_recovery): </w:t>
      </w:r>
      <w:r>
        <w:t xml:space="preserve">The percentage return measured from the realistic execution entry price to the closing price at the end of the holding period.</w:t>
      </w:r>
    </w:p>
    <w:p>
      <w:pPr>
        <w:pStyle w:val="Heading1"/>
        <w:spacing w:after="160" w:before="320"/>
      </w:pPr>
      <w:r>
        <w:t xml:space="preserve">3. Execution Protocol (Entry &amp; Exit Rules)</w:t>
      </w:r>
    </w:p>
    <w:p>
      <w:pPr>
        <w:spacing w:after="160"/>
      </w:pPr>
      <w:r>
        <w:t xml:space="preserve">To eliminate look-ahead bias, execution rules rely strictly on information available at or after market close on Day 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Entry Timing &amp; Price: </w:t>
      </w:r>
      <w:r>
        <w:t xml:space="preserve">Buy on Day t+1 at Open_t+1.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Rationale: </w:t>
      </w:r>
      <w:r>
        <w:t xml:space="preserve">Expecting retail or automated execution at exact Close_t introduces execution risk and look-ahead bias. Entering at Next-Day Open reflects realistic market participation.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Exit Timing &amp; Price: </w:t>
      </w:r>
      <w:r>
        <w:t xml:space="preserve">Sell on Day t+1+H at Close_t+1+H, where H is the holding period.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Holding Period (H): </w:t>
      </w:r>
      <w:r>
        <w:t xml:space="preserve">H = 5 trading days (1 calendar week).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Forward Return Calculation:</w:t>
      </w:r>
    </w:p>
    <w:p>
      <w:pPr>
        <w:shd w:fill="F2F2F2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Rforward = (Closet+6 − Opent+1) / Opent+1</w:t>
      </w:r>
    </w:p>
    <w:p>
      <w:pPr>
        <w:pStyle w:val="Heading1"/>
        <w:spacing w:after="160" w:before="320"/>
      </w:pPr>
      <w:r>
        <w:t xml:space="preserve">4. Test Period &amp; In-Sample / Out-of-Sample Split</w:t>
      </w:r>
    </w:p>
    <w:p>
      <w:pPr>
        <w:spacing w:after="160"/>
      </w:pPr>
      <w:r>
        <w:t xml:space="preserve">Data consists of official historical daily OHLC prices for the NIFTY 50 Index.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Full Dataset: </w:t>
      </w:r>
      <w:r>
        <w:t xml:space="preserve">January 1, 2010 – December 31, 2025 (16 years).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In-Sample / Research Period (70%): </w:t>
      </w:r>
      <w:r>
        <w:t xml:space="preserve">Jan 1, 2010 – Dec 31, 2020 (Used for signal identification and baseline statistics).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Out-of-Sample / Validation Period (30%): </w:t>
      </w:r>
      <w:r>
        <w:t xml:space="preserve">Jan 1, 2021 – Dec 31, 2025 (Kept completely unseen during preliminary phase to validate robustness).</w:t>
      </w:r>
    </w:p>
    <w:p>
      <w:pPr>
        <w:pStyle w:val="Heading1"/>
        <w:spacing w:after="160" w:before="320"/>
      </w:pPr>
      <w:r>
        <w:t xml:space="preserve">5. Transaction Costs &amp; Friction Model</w:t>
      </w:r>
    </w:p>
    <w:p>
      <w:pPr>
        <w:spacing w:after="160"/>
      </w:pPr>
      <w:r>
        <w:t xml:space="preserve">To ensure economic relevance alongside statistical validity, returns are adjusted for transaction costs: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Slippage: </w:t>
      </w:r>
      <w:r>
        <w:t xml:space="preserve">0.02% per trade leg (0.04% round-trip) to model bid-ask spread and execution delay.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Brokerage &amp; Statutory Charges: </w:t>
      </w:r>
      <w:r>
        <w:t xml:space="preserve">0.06% round-trip (covering STT, exchange turnover fees, and SEBI charges for index derivatives/ETFs).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Total Round-Trip Friction: </w:t>
      </w:r>
      <w:r>
        <w:t xml:space="preserve">0.10% (10 bps) deducted from raw trade returns.</w:t>
      </w:r>
    </w:p>
    <w:p>
      <w:pPr>
        <w:pStyle w:val="Heading1"/>
        <w:spacing w:after="160" w:before="320"/>
      </w:pPr>
      <w:r>
        <w:t xml:space="preserve">6. Key Assumptions &amp; Overlapping Event Handling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Liquidity &amp; Execution: </w:t>
      </w:r>
      <w:r>
        <w:t xml:space="preserve">NIFTY 50 index instruments (futures/ETFs) offer sufficient liquidity such that 10 bps friction accurately captures market impact.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Overlapping Events Strategy: </w:t>
      </w:r>
      <w:r>
        <w:t xml:space="preserve">If a second trigger event (R_t+1 ≤ −1.5%) occurs while a position is already open: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Statistical Analysis: </w:t>
      </w:r>
      <w:r>
        <w:t xml:space="preserve">Treated as independent observations to maximize statistical power, using overlapping forward windows with robust standard errors.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Backtest Implementation: </w:t>
      </w:r>
      <w:r>
        <w:t xml:space="preserve">A non-overlapping / lockout period of H=5 days is enforced (ignore consecutive triggers until current trade exits) to prevent leverage distortion.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2026-09-21T16:23:14.512Z</dcterms:created>
  <dcterms:modified xsi:type="dcterms:W3CDTF">2026-09-21T16:23:14.512Z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