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b/>
        </w:rPr>
        <w:t>Problem Statement Number:</w:t>
      </w:r>
      <w:r>
        <w:rPr>
          <w:rFonts w:ascii="Arial" w:hAnsi="Arial"/>
        </w:rPr>
        <w:t xml:space="preserve"> P4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Advanced Apex Project-2 — Week-2 Project Outline</w:t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ANN-Based Customer Response Prediction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Value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Problem Statement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P4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Project 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BITS-Pilani-T3-APEX-2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Course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Advanced Apex Project-2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Domain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Banking, Telecom, Retail, ECommerce, EdTech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Student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Himanshu Soni (2025EM1100506)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2026-05-31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lockQuotationuser"/>
        <w:widowControl w:val="false"/>
        <w:suppressAutoHyphens w:val="true"/>
        <w:bidi w:val="0"/>
        <w:spacing w:before="0" w:after="283"/>
        <w:ind w:hanging="0" w:start="0" w:end="567"/>
        <w:jc w:val="start"/>
        <w:rPr>
          <w:rFonts w:ascii="Arial" w:hAnsi="Arial"/>
        </w:rPr>
      </w:pPr>
      <w:r>
        <w:rPr>
          <w:rFonts w:ascii="Arial" w:hAnsi="Arial"/>
        </w:rPr>
        <w:t>Markdown explanations, observations, and interpretations will be included between code cells in the implementation notebook to support readability, reproducibility, and evaluation.</w:t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Table of Contents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1-problem-statement--business-goal">
        <w:r>
          <w:rPr>
            <w:rStyle w:val="Hyperlink"/>
            <w:rFonts w:ascii="Arial" w:hAnsi="Arial"/>
          </w:rPr>
          <w:t>Problem Statement &amp; Business Goal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2-dataset-details">
        <w:r>
          <w:rPr>
            <w:rStyle w:val="Hyperlink"/>
            <w:rFonts w:ascii="Arial" w:hAnsi="Arial"/>
          </w:rPr>
          <w:t>Dataset Details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3-initial-dataset-understanding">
        <w:r>
          <w:rPr>
            <w:rStyle w:val="Hyperlink"/>
            <w:rFonts w:ascii="Arial" w:hAnsi="Arial"/>
          </w:rPr>
          <w:t>Initial Dataset Understanding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4-proposed-workflow">
        <w:r>
          <w:rPr>
            <w:rStyle w:val="Hyperlink"/>
            <w:rFonts w:ascii="Arial" w:hAnsi="Arial"/>
          </w:rPr>
          <w:t>Proposed Workflow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5-proposed-baseline--advanced-models">
        <w:r>
          <w:rPr>
            <w:rStyle w:val="Hyperlink"/>
            <w:rFonts w:ascii="Arial" w:hAnsi="Arial"/>
          </w:rPr>
          <w:t>Proposed Baseline &amp; Advanced Models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6-evaluation-metrics--tuning-plan">
        <w:r>
          <w:rPr>
            <w:rStyle w:val="Hyperlink"/>
            <w:rFonts w:ascii="Arial" w:hAnsi="Arial"/>
          </w:rPr>
          <w:t>Evaluation Metrics &amp; Tuning Plan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7-tools--technologies">
        <w:r>
          <w:rPr>
            <w:rStyle w:val="Hyperlink"/>
            <w:rFonts w:ascii="Arial" w:hAnsi="Arial"/>
          </w:rPr>
          <w:t>Tools &amp; Technologies</w:t>
        </w:r>
      </w:hyperlink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hyperlink w:anchor="8-references">
        <w:r>
          <w:rPr>
            <w:rStyle w:val="Hyperlink"/>
            <w:rFonts w:ascii="Arial" w:hAnsi="Arial"/>
          </w:rPr>
          <w:t>References</w:t>
        </w:r>
      </w:hyperlink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1. Problem Statement &amp; Business Goal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Problem statement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Organizations in banking, telecom, retail, e-commerce, and ed-tech run outbound marketing campaigns (calls, SMS, email, in-app offers) to drive subscriptions, renewals, and product adoption. Campaigns are costly when applied uniformly: most customers do not convert, contact limits are wasted on low-intent profiles, and sales or call-center capacity is fixed. The core problem is </w:t>
      </w:r>
      <w:r>
        <w:rPr>
          <w:rFonts w:ascii="Arial" w:hAnsi="Arial"/>
          <w:b/>
        </w:rPr>
        <w:t>predicting which customers are likely to respond positively</w:t>
      </w:r>
      <w:r>
        <w:rPr>
          <w:rFonts w:ascii="Arial" w:hAnsi="Arial"/>
        </w:rPr>
        <w:t xml:space="preserve"> to a campaign before outreach, so marketing effort can be targeted rather than broadcast.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This project addresses </w:t>
      </w:r>
      <w:r>
        <w:rPr>
          <w:rFonts w:ascii="Arial" w:hAnsi="Arial"/>
          <w:b/>
        </w:rPr>
        <w:t>binary customer response prediction</w:t>
      </w:r>
      <w:r>
        <w:rPr>
          <w:rFonts w:ascii="Arial" w:hAnsi="Arial"/>
        </w:rPr>
        <w:t>: given historical customer and campaign interaction data, estimate the probability that a customer will accept the marketed outcome (e.g., subscribe to a term deposit, renew a plan, or accept an offer).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Business objective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Build and compare an </w:t>
      </w:r>
      <w:r>
        <w:rPr>
          <w:rFonts w:ascii="Arial" w:hAnsi="Arial"/>
          <w:b/>
        </w:rPr>
        <w:t>Artificial Neural Network (ANN)</w:t>
      </w:r>
      <w:r>
        <w:rPr>
          <w:rFonts w:ascii="Arial" w:hAnsi="Arial"/>
        </w:rPr>
        <w:t>-based classifier against a simple baseline to: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Rank customers by predicted response likelihood for campaign prioritization.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Reduce wasted contacts and improve conversion rate on a fixed outreach budget.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Provide a reproducible pipeline (preprocessing through evaluation) suitable for extension to other domains listed in the project brief.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Success is measured primarily by </w:t>
      </w:r>
      <w:r>
        <w:rPr>
          <w:rFonts w:ascii="Arial" w:hAnsi="Arial"/>
          <w:b/>
        </w:rPr>
        <w:t>ranking quality</w:t>
      </w:r>
      <w:r>
        <w:rPr>
          <w:rFonts w:ascii="Arial" w:hAnsi="Arial"/>
        </w:rPr>
        <w:t xml:space="preserve"> (ROC-AUC, PR-AUC) and </w:t>
      </w:r>
      <w:r>
        <w:rPr>
          <w:rFonts w:ascii="Arial" w:hAnsi="Arial"/>
          <w:b/>
        </w:rPr>
        <w:t>positive-class detection</w:t>
      </w:r>
      <w:r>
        <w:rPr>
          <w:rFonts w:ascii="Arial" w:hAnsi="Arial"/>
        </w:rPr>
        <w:t xml:space="preserve"> (recall, F1) under class imbalance, not raw accuracy alone.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2. Dataset Details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Source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Item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Detail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Dataset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Bank Marketing (UCI Machine Learning Repository)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URL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https://archive.ics.uci.edu/dataset/222/bank+marketing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Context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Portuguese banking institution; direct marketing calls promoting term deposit subscription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License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Public, academic use (UCI)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The same modeling approach (tabular features + binary outcome) generalizes to telecom churn/upsell, retail coupon redemption, and similar campaign-response problems; banking data is used as the primary benchmark.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Size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Split / version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Approximate size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Records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~41,188 (standard subset used in coursework); full repository versions up to ~45,211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Features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16 input attributes + 7 additional social/economic indicators in extended variants (20+ columns total depending on version)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Instances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One row per contact/campaign interaction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Target variable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Attribute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Description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</w:rPr>
              <w:t xml:space="preserve"> (subscription)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Binary: </w:t>
            </w:r>
            <w:r>
              <w:rPr>
                <w:rFonts w:ascii="Arial" w:hAnsi="Arial"/>
                <w:b/>
              </w:rPr>
              <w:t>yes</w:t>
            </w:r>
            <w:r>
              <w:rPr>
                <w:rFonts w:ascii="Arial" w:hAnsi="Arial"/>
              </w:rPr>
              <w:t xml:space="preserve"> = customer subscribed to term deposit; </w:t>
            </w:r>
            <w:r>
              <w:rPr>
                <w:rFonts w:ascii="Arial" w:hAnsi="Arial"/>
                <w:b/>
              </w:rPr>
              <w:t>no</w:t>
            </w:r>
            <w:r>
              <w:rPr>
                <w:rFonts w:ascii="Arial" w:hAnsi="Arial"/>
              </w:rPr>
              <w:t xml:space="preserve"> = did not subscribe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Task type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Binary classification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Positive class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Minority class (~11–15% </w:t>
            </w:r>
            <w:r>
              <w:rPr>
                <w:rFonts w:ascii="Arial" w:hAnsi="Arial"/>
                <w:b/>
              </w:rPr>
              <w:t>yes</w:t>
            </w:r>
            <w:r>
              <w:rPr>
                <w:rFonts w:ascii="Arial" w:hAnsi="Arial"/>
              </w:rPr>
              <w:t>), requiring imbalance-aware metrics and training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Important features (grouped)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Group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Features (examples)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Role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Demographics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age, job, marital, education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Customer profile segmentation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Credit / account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default, balance, housing, loan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Financial standing and obligations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Campaign contact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contact, month, day, duration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How and when the customer was reached; duration is highly predictive but only known after contact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Campaign history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campaign, pdays, previous, poutcome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Intensity and outcome of past contacts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Macro (optional)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emp.var.rate, cons.price.idx, euribor3m, nr.employed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Economic context at time of contact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b/>
        </w:rPr>
        <w:t>Note for modelling:</w:t>
      </w:r>
      <w:r>
        <w:rPr>
          <w:rFonts w:ascii="Arial" w:hAnsi="Arial"/>
        </w:rPr>
        <w:t xml:space="preserve"> duration may cause </w:t>
      </w:r>
      <w:r>
        <w:rPr>
          <w:rFonts w:ascii="Arial" w:hAnsi="Arial"/>
          <w:b/>
        </w:rPr>
        <w:t>leakage</w:t>
      </w:r>
      <w:r>
        <w:rPr>
          <w:rFonts w:ascii="Arial" w:hAnsi="Arial"/>
        </w:rPr>
        <w:t xml:space="preserve"> if used to predict response before a call ends; the workflow will document whether duration is excluded for realistic deployment scenarios or retained for benchmark comparison, with rationale in markdown cells.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3. Initial Dataset Understanding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Initial observations (expected after EDA)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  <w:b/>
        </w:rPr>
        <w:t>Class imbalance:</w:t>
      </w:r>
      <w:r>
        <w:rPr>
          <w:rFonts w:ascii="Arial" w:hAnsi="Arial"/>
        </w:rPr>
        <w:t xml:space="preserve"> Positive (yes) rate typically ~11–15%; accuracy can look high while failing to detect converters.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  <w:b/>
        </w:rPr>
        <w:t>Mixed types:</w:t>
      </w:r>
      <w:r>
        <w:rPr>
          <w:rFonts w:ascii="Arial" w:hAnsi="Arial"/>
        </w:rPr>
        <w:t xml:space="preserve"> Numeric (age, balance, duration, campaign) and categorical (job, marital, education, month, poutcome).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  <w:b/>
        </w:rPr>
        <w:t>Ordinal / low-cardinality categoricals:</w:t>
      </w:r>
      <w:r>
        <w:rPr>
          <w:rFonts w:ascii="Arial" w:hAnsi="Arial"/>
        </w:rPr>
        <w:t xml:space="preserve"> education, month require encoding (one-hot, target encoding, or embeddings for neural nets).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  <w:b/>
        </w:rPr>
        <w:t>Skewed numerics:</w:t>
      </w:r>
      <w:r>
        <w:rPr>
          <w:rFonts w:ascii="Arial" w:hAnsi="Arial"/>
        </w:rPr>
        <w:t xml:space="preserve"> balance, duration, and campaign may be right-skewed; scaling (standardization, robust scaling) will be needed for ANNs.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  <w:b/>
        </w:rPr>
        <w:t>Correlations:</w:t>
      </w:r>
      <w:r>
        <w:rPr>
          <w:rFonts w:ascii="Arial" w:hAnsi="Arial"/>
        </w:rPr>
        <w:t xml:space="preserve"> duration and poutcome / previous often correlate strongly with y; multicollinearity and leakage must be checked.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  <w:b/>
        </w:rPr>
        <w:t>Temporal pattern:</w:t>
      </w:r>
      <w:r>
        <w:rPr>
          <w:rFonts w:ascii="Arial" w:hAnsi="Arial"/>
        </w:rPr>
        <w:t xml:space="preserve"> month and macro indicators introduce seasonality; train/validation split should avoid random shuffle-only if time-based generalization is claimed (stratified split acceptable for outline phase).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  <w:b/>
        </w:rPr>
        <w:t>Missing values:</w:t>
      </w:r>
      <w:r>
        <w:rPr>
          <w:rFonts w:ascii="Arial" w:hAnsi="Arial"/>
        </w:rPr>
        <w:t xml:space="preserve"> UCI bank dataset often has few explicit nulls; "unknown" categories act as missing proxies for job, education, etc.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Expected challenges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Challenge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Mitigation (planned)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Class imbalance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Class weights, threshold tuning, PR-AUC focus, stratified splits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Leakage from duration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Report models with and without duration; prefer no-duration for deployment narrative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High cardinality / unknowns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Group rare categories; explicit "unknown" handling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Interpretability vs. ANN performance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Compare baseline coefficients / feature importance with SHAP or permutation importance on best ANN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Overfitting on ANNs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Dropout, early stopping, validation monitoring, regularization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Hyperparameter sensitivity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Structured tuning (grid/random search or Keras Tuner) with fixed random seeds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4. Proposed Workflow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End-to-end pipeline aligned with the course template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Step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Activity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Deliverables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1. Data Preprocessing &amp; Preparation (DPP)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Load UCI data; define target; handle "unknown"; impute if needed; train/validation/test split (stratified); scale numeric features; encode categoricals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Clean train/val/test tensors or arrays; data dictionary in markdown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2. Exploratory Data Analysis (EDA)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Class distribution; univariate and bivariate plots; correlation heatmap; outlier checks; leakage analysis for duration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Figures + written observations between code cells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3. Feature Engineering (FE)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Interaction features (optional); binning age; cyclical encoding for month; feature selection; final feature matrix for sklearn and Keras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Feature list documented; rationale for kept/dropped columns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4. Modelling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Train </w:t>
            </w:r>
            <w:r>
              <w:rPr>
                <w:rFonts w:ascii="Arial" w:hAnsi="Arial"/>
                <w:b/>
              </w:rPr>
              <w:t>baseline</w:t>
            </w:r>
            <w:r>
              <w:rPr>
                <w:rFonts w:ascii="Arial" w:hAnsi="Arial"/>
              </w:rPr>
              <w:t xml:space="preserve"> (Logistic Regression); train </w:t>
            </w:r>
            <w:r>
              <w:rPr>
                <w:rFonts w:ascii="Arial" w:hAnsi="Arial"/>
                <w:b/>
              </w:rPr>
              <w:t>ANN</w:t>
            </w:r>
            <w:r>
              <w:rPr>
                <w:rFonts w:ascii="Arial" w:hAnsi="Arial"/>
              </w:rPr>
              <w:t xml:space="preserve"> models (MLP primary; DNN depth variants); optional comparative runs (e.g., simpler tree-based model for sanity check)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Saved models; training curves; comparison table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5. Hyperparameter tuning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Tune learning rate, layers/units, dropout, batch size, epochs (early stopping); class weights for imbalance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Best hyperparameters logged; validation metric traces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6. Evaluation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Test-set metrics; confusion matrix; ROC and PR curves; threshold analysis; short business interpretation (lift, contact reduction scenario)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Final metric table; conclusion and limitations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b/>
        </w:rPr>
        <w:t>Reproducibility:</w:t>
      </w:r>
      <w:r>
        <w:rPr>
          <w:rFonts w:ascii="Arial" w:hAnsi="Arial"/>
        </w:rPr>
        <w:t xml:space="preserve"> Fixed random seeds, version-pinned libraries, and notebook section headers matching sections 1–8 above.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5. Proposed Baseline &amp; Advanced Models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Baseline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Model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Logistic Regression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Interpretable linear baseline; fast; establishes minimum performance with scaled + encoded features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Comparison / advanced models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Model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Role in project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Multi-Layer Perceptron (MLP)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Primary ANN; fully connected layers on engineered tabular features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Deep Neural Network (DNN)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Deeper MLP variant (more hidden layers/units) to test capacity vs. overfitting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Convolutional Neural Network (CNN)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Optional experiment: reshape engineered feature matrix (e.g., grouped channels) for architecture comparison—not the main production candidate for pure tabular data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Recurrent Neural Network (RNN/LSTM)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Optional experiment if sequential features are constructed (e.g., past campaign sequence); exploratory comparison only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  <w:b/>
        </w:rPr>
        <w:t>Comparison strategy:</w:t>
      </w:r>
      <w:r>
        <w:rPr>
          <w:rFonts w:ascii="Arial" w:hAnsi="Arial"/>
        </w:rPr>
        <w:t xml:space="preserve"> Same splits and metrics for all models; tabular summary (validation and test); best model selected by </w:t>
      </w:r>
      <w:r>
        <w:rPr>
          <w:rFonts w:ascii="Arial" w:hAnsi="Arial"/>
          <w:b/>
        </w:rPr>
        <w:t>PR-AUC</w:t>
      </w:r>
      <w:r>
        <w:rPr>
          <w:rFonts w:ascii="Arial" w:hAnsi="Arial"/>
        </w:rPr>
        <w:t xml:space="preserve"> and </w:t>
      </w:r>
      <w:r>
        <w:rPr>
          <w:rFonts w:ascii="Arial" w:hAnsi="Arial"/>
          <w:b/>
        </w:rPr>
        <w:t>F1</w:t>
      </w:r>
      <w:r>
        <w:rPr>
          <w:rFonts w:ascii="Arial" w:hAnsi="Arial"/>
        </w:rPr>
        <w:t xml:space="preserve"> on validation, then confirmed on held-out test.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6. Evaluation Metrics &amp; Tuning Plan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Evaluation metrics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Category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Metrics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Why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Technical — classification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Accuracy, Precision, Recall, F1-score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Standard reporting; F1 balances precision/recall under imbalance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Technical — ranking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ROC-AUC, PR-AUC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Threshold-independent; PR-AUC emphasized for rare positive class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Business-oriented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Lift at top deciles, campaign conversion rate on targeted subset, simple cost model (cost per contact vs. benefit per conversion)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Links model scores to prioritization value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Primary model selection criterion: </w:t>
      </w:r>
      <w:r>
        <w:rPr>
          <w:rFonts w:ascii="Arial" w:hAnsi="Arial"/>
          <w:b/>
        </w:rPr>
        <w:t>validation PR-AUC</w:t>
      </w:r>
      <w:r>
        <w:rPr>
          <w:rFonts w:ascii="Arial" w:hAnsi="Arial"/>
        </w:rPr>
        <w:t xml:space="preserve">, with </w:t>
      </w:r>
      <w:r>
        <w:rPr>
          <w:rFonts w:ascii="Arial" w:hAnsi="Arial"/>
          <w:b/>
        </w:rPr>
        <w:t>recall at fixed precision</w:t>
      </w:r>
      <w:r>
        <w:rPr>
          <w:rFonts w:ascii="Arial" w:hAnsi="Arial"/>
        </w:rPr>
        <w:t xml:space="preserve"> or </w:t>
      </w:r>
      <w:r>
        <w:rPr>
          <w:rFonts w:ascii="Arial" w:hAnsi="Arial"/>
          <w:b/>
        </w:rPr>
        <w:t>F1</w:t>
      </w:r>
      <w:r>
        <w:rPr>
          <w:rFonts w:ascii="Arial" w:hAnsi="Arial"/>
        </w:rPr>
        <w:t xml:space="preserve"> as secondary checks.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Tuning plan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Aspect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Approach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Baseline (Logistic Regression)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 regularization inverse; solver; class_weight=balanced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ANN (Keras/TensorFlow)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Grid or random search over: hidden units (e.g., 64–256), number of layers (2–4), dropout (0.2–0.5), learning rate (1e-4–1e-2), batch size (32–256), epochs with </w:t>
            </w:r>
            <w:r>
              <w:rPr>
                <w:rFonts w:ascii="Arial" w:hAnsi="Arial"/>
                <w:b/>
              </w:rPr>
              <w:t>early stopping</w:t>
            </w:r>
            <w:r>
              <w:rPr>
                <w:rFonts w:ascii="Arial" w:hAnsi="Arial"/>
              </w:rPr>
              <w:t xml:space="preserve"> (patience on val_loss or val_pr_auc)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Imbalance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class_weight in fit() or balanced sampling; threshold moved on validation set to meet recall/precision target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Validation protocol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Stratified k-fold (k=5) or single stratified hold-out; same folds for baseline and ANNs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Overfitting control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Early stopping, dropout, L2 if needed; plot train vs. validation loss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Final test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Touch test set once after tuning locked; report all metrics in section 6 table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Document every tuning choice in markdown (what was tried, what was selected, why).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7. Tools &amp; Technologies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Layer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Tools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Language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Python 3.10+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Data &amp; ML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pandas, NumPy, scikit-learn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Neural networks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TensorFlow 2.x / Keras (primary); PyTorch (optional if needed for a variant)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Visualization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matplotlib, seaborn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Interpretability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SHAP or scikit-learn permutation importance (for best model)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Experiment tracking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CSV/logs in notebook; optional MLflow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Environment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Jupyter Notebook / JupyterLab; Google Colab or local VS Code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Version control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Git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Containerization (optional)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Docker for reproducible environment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numPr>
          <w:ilvl w:val="1"/>
          <w:numId w:val="2"/>
        </w:numPr>
        <w:bidi w:val="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8. References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Moro, S., Rita, P., &amp; Cortez, P. (2014). </w:t>
      </w:r>
      <w:r>
        <w:rPr>
          <w:rFonts w:ascii="Arial" w:hAnsi="Arial"/>
          <w:i/>
        </w:rPr>
        <w:t>A data-driven approach to predict the success of bank telemarketing.</w:t>
      </w:r>
      <w:r>
        <w:rPr>
          <w:rFonts w:ascii="Arial" w:hAnsi="Arial"/>
        </w:rPr>
        <w:t xml:space="preserve"> Decision Support Systems, 62, 22–31. </w:t>
      </w:r>
      <w:hyperlink r:id="rId2">
        <w:r>
          <w:rPr>
            <w:rStyle w:val="Hyperlink"/>
            <w:rFonts w:ascii="Arial" w:hAnsi="Arial"/>
          </w:rPr>
          <w:t>https://doi.org/10.1016/j.dss.2014.03.001</w:t>
        </w:r>
      </w:hyperlink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UCI Machine Learning Repository — </w:t>
      </w:r>
      <w:r>
        <w:rPr>
          <w:rFonts w:ascii="Arial" w:hAnsi="Arial"/>
          <w:b/>
        </w:rPr>
        <w:t>Bank Marketing Data Set</w:t>
      </w:r>
      <w:r>
        <w:rPr>
          <w:rFonts w:ascii="Arial" w:hAnsi="Arial"/>
        </w:rPr>
        <w:t xml:space="preserve"> (donated by S. Moro).</w:t>
        <w:br/>
        <w:t>https://archive.ics.uci.edu/dataset/222/bank+marketing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Keras Documentation — Multi-layer perceptron and training callbacks (EarlyStopping).</w:t>
        <w:br/>
      </w:r>
      <w:hyperlink r:id="rId3">
        <w:r>
          <w:rPr>
            <w:rStyle w:val="Hyperlink"/>
            <w:rFonts w:ascii="Arial" w:hAnsi="Arial"/>
          </w:rPr>
          <w:t>https://keras.io/</w:t>
        </w:r>
      </w:hyperlink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scikit-learn Documentation — LogisticRegression, metrics (roc_auc_score, average_precision_score), and class_weight.</w:t>
        <w:br/>
      </w:r>
      <w:hyperlink r:id="rId4">
        <w:r>
          <w:rPr>
            <w:rStyle w:val="Hyperlink"/>
            <w:rFonts w:ascii="Arial" w:hAnsi="Arial"/>
          </w:rPr>
          <w:t>https://scikit-learn.org/stable/</w:t>
        </w:r>
      </w:hyperlink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Chollet, F. (2021). </w:t>
      </w:r>
      <w:r>
        <w:rPr>
          <w:rFonts w:ascii="Arial" w:hAnsi="Arial"/>
          <w:i/>
        </w:rPr>
        <w:t>Deep Learning with Python</w:t>
      </w:r>
      <w:r>
        <w:rPr>
          <w:rFonts w:ascii="Arial" w:hAnsi="Arial"/>
        </w:rPr>
        <w:t xml:space="preserve"> (2nd ed.). Manning. (Chapters on binary classification and fighting overfitting.)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He, H., &amp; Garcia, E. A. (2009). Learning from imbalanced data. </w:t>
      </w:r>
      <w:r>
        <w:rPr>
          <w:rFonts w:ascii="Arial" w:hAnsi="Arial"/>
          <w:i/>
        </w:rPr>
        <w:t>IEEE Transactions on Knowledge and Data Engineering</w:t>
      </w:r>
      <w:r>
        <w:rPr>
          <w:rFonts w:ascii="Arial" w:hAnsi="Arial"/>
        </w:rPr>
        <w:t>, 21(9), 1263–1284. (Imbalance-aware evaluation and training.)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16/j.dss.2014.03.001" TargetMode="External"/><Relationship Id="rId3" Type="http://schemas.openxmlformats.org/officeDocument/2006/relationships/hyperlink" Target="https://keras.io/" TargetMode="External"/><Relationship Id="rId4" Type="http://schemas.openxmlformats.org/officeDocument/2006/relationships/hyperlink" Target="https://scikit-learn.org/stable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7</Pages>
  <Words>1462</Words>
  <Characters>9677</Characters>
  <CharactersWithSpaces>10897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2026-06-01T23:44:00Z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