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INCIDENT RESPONSE PLAN</w:t>
      </w:r>
    </w:p>
    <w:p>
      <w:pPr>
        <w:jc w:val="center"/>
      </w:pPr>
      <w:r>
        <w:rPr>
          <w:b/>
        </w:rPr>
        <w:t>For a Hypothetical E-Governance Citizen Services Portal</w:t>
      </w:r>
    </w:p>
    <w:p>
      <w:pPr>
        <w:jc w:val="center"/>
      </w:pPr>
      <w:r>
        <w:rPr>
          <w:i/>
        </w:rPr>
        <w:t>Week 2 Internship Task | Prepared by: Soumili Halder | Version 1.0 | October 2026</w:t>
      </w:r>
    </w:p>
    <w:p>
      <w:pPr>
        <w:pStyle w:val="Heading1"/>
      </w:pPr>
      <w:r>
        <w:t>1. Executive Summary</w:t>
      </w:r>
    </w:p>
    <w:p>
      <w:r>
        <w:t>This Incident Response Plan (IRP) defines a repeatable process for preparing for, detecting, handling, recovering from, and learning from cybersecurity incidents affecting a hypothetical Citizen Services Portal. The portal allows citizens to register, sign in, submit applications, upload documents, and track service requests. Because it handles personal information and supports public services, confidentiality, integrity, and availability are essential. This plan establishes roles, severity levels, response phases, communication rules, recovery priorities, and post-incident improvements. It is designed as a practical baseline for a small-to-medium public-sector service team and must be adapted to the actual system and applicable requirements before operational use.</w:t>
      </w:r>
    </w:p>
    <w:p>
      <w:pPr>
        <w:pStyle w:val="Heading1"/>
      </w:pPr>
      <w:r>
        <w:t>2. Purpose, Scope and Assumptions</w:t>
      </w:r>
    </w:p>
    <w:p>
      <w:r>
        <w:t>Purpose: reduce harm to citizens and service delivery by ensuring incidents are handled consistently, quickly, lawfully, and with an auditable record.</w:t>
      </w:r>
    </w:p>
    <w:p>
      <w:r>
        <w:t>Scope: public website and application, authentication service, APIs, application/database servers, document storage, administrator accounts, network/security devices, logs, backups, and connected hosting or messaging providers.</w:t>
      </w:r>
    </w:p>
    <w:p>
      <w:r>
        <w:t>This is a fictional scenario. No live government system has been accessed, scanned, or tested. Real contact details, service targets, and legal notification deadlines must be confirmed by the system owner.</w:t>
      </w:r>
    </w:p>
    <w:p>
      <w:pPr>
        <w:pStyle w:val="Heading1"/>
      </w:pPr>
      <w:r>
        <w:t>3. Incident Response Principles</w:t>
      </w:r>
    </w:p>
    <w:p>
      <w:pPr>
        <w:pStyle w:val="ListBullet"/>
      </w:pPr>
      <w:r>
        <w:t>Protect citizens and essential services first; maintain service where safe.</w:t>
      </w:r>
    </w:p>
    <w:p>
      <w:pPr>
        <w:pStyle w:val="ListBullet"/>
      </w:pPr>
      <w:r>
        <w:t>Use authorized personnel and documented procedures only.</w:t>
      </w:r>
    </w:p>
    <w:p>
      <w:pPr>
        <w:pStyle w:val="ListBullet"/>
      </w:pPr>
      <w:r>
        <w:t>Preserve evidence and maintain a time-stamped incident timeline.</w:t>
      </w:r>
    </w:p>
    <w:p>
      <w:pPr>
        <w:pStyle w:val="ListBullet"/>
      </w:pPr>
      <w:r>
        <w:t>Choose proportionate containment actions and record approvals.</w:t>
      </w:r>
    </w:p>
    <w:p>
      <w:pPr>
        <w:pStyle w:val="ListBullet"/>
      </w:pPr>
      <w:r>
        <w:t>Communicate verified facts only and restrict sensitive technical details.</w:t>
      </w:r>
    </w:p>
    <w:p>
      <w:pPr>
        <w:pStyle w:val="ListBullet"/>
      </w:pPr>
      <w:r>
        <w:t>Restore only from trusted sources and validate security before normal operation.</w:t>
      </w:r>
    </w:p>
    <w:p>
      <w:pPr>
        <w:pStyle w:val="Heading1"/>
      </w:pPr>
      <w:r>
        <w:t>4. Governance: Roles and Responsibilities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Responsibilities</w:t>
            </w:r>
          </w:p>
        </w:tc>
        <w:tc>
          <w:tcPr>
            <w:tcW w:type="dxa" w:w="3360"/>
          </w:tcPr>
          <w:p>
            <w:r>
              <w:t>Escalation / authority</w:t>
            </w:r>
          </w:p>
        </w:tc>
      </w:tr>
      <w:tr>
        <w:tc>
          <w:tcPr>
            <w:tcW w:type="dxa" w:w="3360"/>
          </w:tcPr>
          <w:p>
            <w:r>
              <w:t>Incident Commander (IC)</w:t>
            </w:r>
          </w:p>
        </w:tc>
        <w:tc>
          <w:tcPr>
            <w:tcW w:type="dxa" w:w="3360"/>
          </w:tcPr>
          <w:p>
            <w:r>
              <w:t>Leads response, sets priorities, maintains incident log and situation updates.</w:t>
            </w:r>
          </w:p>
        </w:tc>
        <w:tc>
          <w:tcPr>
            <w:tcW w:type="dxa" w:w="3360"/>
          </w:tcPr>
          <w:p>
            <w:r>
              <w:t>Declares severity; approves major containment and recovery decisions.</w:t>
            </w:r>
          </w:p>
        </w:tc>
      </w:tr>
      <w:tr>
        <w:tc>
          <w:tcPr>
            <w:tcW w:type="dxa" w:w="3360"/>
          </w:tcPr>
          <w:p>
            <w:r>
              <w:t>Security Analyst / SOC</w:t>
            </w:r>
          </w:p>
        </w:tc>
        <w:tc>
          <w:tcPr>
            <w:tcW w:type="dxa" w:w="3360"/>
          </w:tcPr>
          <w:p>
            <w:r>
              <w:t>Validates alerts, reviews indicators, collects logs, recommends actions.</w:t>
            </w:r>
          </w:p>
        </w:tc>
        <w:tc>
          <w:tcPr>
            <w:tcW w:type="dxa" w:w="3360"/>
          </w:tcPr>
          <w:p>
            <w:r>
              <w:t>Escalates suspected compromise to IC.</w:t>
            </w:r>
          </w:p>
        </w:tc>
      </w:tr>
      <w:tr>
        <w:tc>
          <w:tcPr>
            <w:tcW w:type="dxa" w:w="3360"/>
          </w:tcPr>
          <w:p>
            <w:r>
              <w:t>IT / System Administrator</w:t>
            </w:r>
          </w:p>
        </w:tc>
        <w:tc>
          <w:tcPr>
            <w:tcW w:type="dxa" w:w="3360"/>
          </w:tcPr>
          <w:p>
            <w:r>
              <w:t>Executes approved isolation, account controls, patching and restoration.</w:t>
            </w:r>
          </w:p>
        </w:tc>
        <w:tc>
          <w:tcPr>
            <w:tcW w:type="dxa" w:w="3360"/>
          </w:tcPr>
          <w:p>
            <w:r>
              <w:t>Records technical changes and evidence.</w:t>
            </w:r>
          </w:p>
        </w:tc>
      </w:tr>
      <w:tr>
        <w:tc>
          <w:tcPr>
            <w:tcW w:type="dxa" w:w="3360"/>
          </w:tcPr>
          <w:p>
            <w:r>
              <w:t>Application / Database Owner</w:t>
            </w:r>
          </w:p>
        </w:tc>
        <w:tc>
          <w:tcPr>
            <w:tcW w:type="dxa" w:w="3360"/>
          </w:tcPr>
          <w:p>
            <w:r>
              <w:t>Checks application, configuration, database health and record integrity.</w:t>
            </w:r>
          </w:p>
        </w:tc>
        <w:tc>
          <w:tcPr>
            <w:tcW w:type="dxa" w:w="3360"/>
          </w:tcPr>
          <w:p>
            <w:r>
              <w:t>Confirms business functionality.</w:t>
            </w:r>
          </w:p>
        </w:tc>
      </w:tr>
      <w:tr>
        <w:tc>
          <w:tcPr>
            <w:tcW w:type="dxa" w:w="3360"/>
          </w:tcPr>
          <w:p>
            <w:r>
              <w:t>Privacy / Legal Officer</w:t>
            </w:r>
          </w:p>
        </w:tc>
        <w:tc>
          <w:tcPr>
            <w:tcW w:type="dxa" w:w="3360"/>
          </w:tcPr>
          <w:p>
            <w:r>
              <w:t>Assesses personal-data impact and applicable notification duties.</w:t>
            </w:r>
          </w:p>
        </w:tc>
        <w:tc>
          <w:tcPr>
            <w:tcW w:type="dxa" w:w="3360"/>
          </w:tcPr>
          <w:p>
            <w:r>
              <w:t>Advises leadership on regulatory and affected-person notifications.</w:t>
            </w:r>
          </w:p>
        </w:tc>
      </w:tr>
      <w:tr>
        <w:tc>
          <w:tcPr>
            <w:tcW w:type="dxa" w:w="3360"/>
          </w:tcPr>
          <w:p>
            <w:r>
              <w:t>Communications Lead</w:t>
            </w:r>
          </w:p>
        </w:tc>
        <w:tc>
          <w:tcPr>
            <w:tcW w:type="dxa" w:w="3360"/>
          </w:tcPr>
          <w:p>
            <w:r>
              <w:t>Prepares staff, citizen, partner and media messages.</w:t>
            </w:r>
          </w:p>
        </w:tc>
        <w:tc>
          <w:tcPr>
            <w:tcW w:type="dxa" w:w="3360"/>
          </w:tcPr>
          <w:p>
            <w:r>
              <w:t>Publishes only after authorized approval.</w:t>
            </w:r>
          </w:p>
        </w:tc>
      </w:tr>
      <w:tr>
        <w:tc>
          <w:tcPr>
            <w:tcW w:type="dxa" w:w="3360"/>
          </w:tcPr>
          <w:p>
            <w:r>
              <w:t>Service Owner / Management</w:t>
            </w:r>
          </w:p>
        </w:tc>
        <w:tc>
          <w:tcPr>
            <w:tcW w:type="dxa" w:w="3360"/>
          </w:tcPr>
          <w:p>
            <w:r>
              <w:t>Sets business priorities and allocates resources.</w:t>
            </w:r>
          </w:p>
        </w:tc>
        <w:tc>
          <w:tcPr>
            <w:tcW w:type="dxa" w:w="3360"/>
          </w:tcPr>
          <w:p>
            <w:r>
              <w:t>Approves major service suspension and restoration.</w:t>
            </w:r>
          </w:p>
        </w:tc>
      </w:tr>
    </w:tbl>
    <w:p>
      <w:pPr>
        <w:pStyle w:val="Heading1"/>
      </w:pPr>
      <w:r>
        <w:t>5. Incident Identification</w:t>
      </w:r>
    </w:p>
    <w:tbl>
      <w:tblPr>
        <w:tblStyle w:val="LightShading-Accent1"/>
        <w:tblW w:type="auto" w:w="0"/>
        <w:tblLook w:firstColumn="1" w:firstRow="1" w:lastColumn="0" w:lastRow="0" w:noHBand="0" w:noVBand="1" w:val="04A0"/>
      </w:tblPr>
      <w:tblGrid>
        <w:gridCol w:w="5040"/>
        <w:gridCol w:w="5040"/>
      </w:tblGrid>
      <w:tr>
        <w:tc>
          <w:tcPr>
            <w:tcW w:type="dxa" w:w="5040"/>
          </w:tcPr>
          <w:p>
            <w:r>
              <w:t>Incident type</w:t>
            </w:r>
          </w:p>
        </w:tc>
        <w:tc>
          <w:tcPr>
            <w:tcW w:type="dxa" w:w="5040"/>
          </w:tcPr>
          <w:p>
            <w:r>
              <w:t>Examples and indicators</w:t>
            </w:r>
          </w:p>
        </w:tc>
      </w:tr>
      <w:tr>
        <w:tc>
          <w:tcPr>
            <w:tcW w:type="dxa" w:w="5040"/>
          </w:tcPr>
          <w:p>
            <w:r>
              <w:t>Phishing / credential theft</w:t>
            </w:r>
          </w:p>
        </w:tc>
        <w:tc>
          <w:tcPr>
            <w:tcW w:type="dxa" w:w="5040"/>
          </w:tcPr>
          <w:p>
            <w:r>
              <w:t>Deceptive messages, unusual sign-ins, password resets or mailbox rule changes.</w:t>
            </w:r>
          </w:p>
        </w:tc>
      </w:tr>
      <w:tr>
        <w:tc>
          <w:tcPr>
            <w:tcW w:type="dxa" w:w="5040"/>
          </w:tcPr>
          <w:p>
            <w:r>
              <w:t>Account takeover / privilege misuse</w:t>
            </w:r>
          </w:p>
        </w:tc>
        <w:tc>
          <w:tcPr>
            <w:tcW w:type="dxa" w:w="5040"/>
          </w:tcPr>
          <w:p>
            <w:r>
              <w:t>Unexpected account activity, new admin privileges or unauthorized record access.</w:t>
            </w:r>
          </w:p>
        </w:tc>
      </w:tr>
      <w:tr>
        <w:tc>
          <w:tcPr>
            <w:tcW w:type="dxa" w:w="5040"/>
          </w:tcPr>
          <w:p>
            <w:r>
              <w:t>Malware / ransomware</w:t>
            </w:r>
          </w:p>
        </w:tc>
        <w:tc>
          <w:tcPr>
            <w:tcW w:type="dxa" w:w="5040"/>
          </w:tcPr>
          <w:p>
            <w:r>
              <w:t>Endpoint or server alerts, suspicious processes, inaccessible files or unusual encryption activity.</w:t>
            </w:r>
          </w:p>
        </w:tc>
      </w:tr>
      <w:tr>
        <w:tc>
          <w:tcPr>
            <w:tcW w:type="dxa" w:w="5040"/>
          </w:tcPr>
          <w:p>
            <w:r>
              <w:t>Data exposure</w:t>
            </w:r>
          </w:p>
        </w:tc>
        <w:tc>
          <w:tcPr>
            <w:tcW w:type="dxa" w:w="5040"/>
          </w:tcPr>
          <w:p>
            <w:r>
              <w:t>Publicly accessible documents, incorrect permissions, unusual downloads or data sent to an unintended recipient.</w:t>
            </w:r>
          </w:p>
        </w:tc>
      </w:tr>
      <w:tr>
        <w:tc>
          <w:tcPr>
            <w:tcW w:type="dxa" w:w="5040"/>
          </w:tcPr>
          <w:p>
            <w:r>
              <w:t>Web application / API attack</w:t>
            </w:r>
          </w:p>
        </w:tc>
        <w:tc>
          <w:tcPr>
            <w:tcW w:type="dxa" w:w="5040"/>
          </w:tcPr>
          <w:p>
            <w:r>
              <w:t>Injection attempts, broken access control, abnormal API requests or vulnerable components.</w:t>
            </w:r>
          </w:p>
        </w:tc>
      </w:tr>
      <w:tr>
        <w:tc>
          <w:tcPr>
            <w:tcW w:type="dxa" w:w="5040"/>
          </w:tcPr>
          <w:p>
            <w:r>
              <w:t>Denial of Service</w:t>
            </w:r>
          </w:p>
        </w:tc>
        <w:tc>
          <w:tcPr>
            <w:tcW w:type="dxa" w:w="5040"/>
          </w:tcPr>
          <w:p>
            <w:r>
              <w:t>Unusual traffic spikes, slow responses, failed requests or service unavailability.</w:t>
            </w:r>
          </w:p>
        </w:tc>
      </w:tr>
      <w:tr>
        <w:tc>
          <w:tcPr>
            <w:tcW w:type="dxa" w:w="5040"/>
          </w:tcPr>
          <w:p>
            <w:r>
              <w:t>Website / record tampering</w:t>
            </w:r>
          </w:p>
        </w:tc>
        <w:tc>
          <w:tcPr>
            <w:tcW w:type="dxa" w:w="5040"/>
          </w:tcPr>
          <w:p>
            <w:r>
              <w:t>Unexpected page changes, altered application status or unexplained database modifications.</w:t>
            </w:r>
          </w:p>
        </w:tc>
      </w:tr>
      <w:tr>
        <w:tc>
          <w:tcPr>
            <w:tcW w:type="dxa" w:w="5040"/>
          </w:tcPr>
          <w:p>
            <w:r>
              <w:t>Insider / third-party incident</w:t>
            </w:r>
          </w:p>
        </w:tc>
        <w:tc>
          <w:tcPr>
            <w:tcW w:type="dxa" w:w="5040"/>
          </w:tcPr>
          <w:p>
            <w:r>
              <w:t>Activity outside approved duties or compromise at a connected supplier.</w:t>
            </w:r>
          </w:p>
        </w:tc>
      </w:tr>
    </w:tbl>
    <w:p>
      <w:pPr>
        <w:pStyle w:val="Heading1"/>
      </w:pPr>
      <w:r>
        <w:t>6. Severity Classification and Escalation</w:t>
      </w:r>
    </w:p>
    <w:p>
      <w:r>
        <w:t>The IC assigns severity using impact, scope, sensitivity of data, service duration, and confidence in the evidence. Severity must be reassessed as new facts emerge.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Example criteria</w:t>
            </w:r>
          </w:p>
        </w:tc>
        <w:tc>
          <w:tcPr>
            <w:tcW w:type="dxa" w:w="3360"/>
          </w:tcPr>
          <w:p>
            <w:r>
              <w:t>Escalation</w:t>
            </w:r>
          </w:p>
        </w:tc>
      </w:tr>
      <w:tr>
        <w:tc>
          <w:tcPr>
            <w:tcW w:type="dxa" w:w="3360"/>
          </w:tcPr>
          <w:p>
            <w:r>
              <w:t>SEV 1 – Critical</w:t>
            </w:r>
          </w:p>
        </w:tc>
        <w:tc>
          <w:tcPr>
            <w:tcW w:type="dxa" w:w="3360"/>
          </w:tcPr>
          <w:p>
            <w:r>
              <w:t>Confirmed sensitive-data exposure, active ransomware, administrator compromise, or major public-service outage.</w:t>
            </w:r>
          </w:p>
        </w:tc>
        <w:tc>
          <w:tcPr>
            <w:tcW w:type="dxa" w:w="3360"/>
          </w:tcPr>
          <w:p>
            <w:r>
              <w:t>Immediately notify IC, senior management and response team; activate full IRP.</w:t>
            </w:r>
          </w:p>
        </w:tc>
      </w:tr>
      <w:tr>
        <w:tc>
          <w:tcPr>
            <w:tcW w:type="dxa" w:w="3360"/>
          </w:tcPr>
          <w:p>
            <w:r>
              <w:t>SEV 2 – High</w:t>
            </w:r>
          </w:p>
        </w:tc>
        <w:tc>
          <w:tcPr>
            <w:tcW w:type="dxa" w:w="3360"/>
          </w:tcPr>
          <w:p>
            <w:r>
              <w:t>Confirmed unauthorized access or material disruption to a component or user group.</w:t>
            </w:r>
          </w:p>
        </w:tc>
        <w:tc>
          <w:tcPr>
            <w:tcW w:type="dxa" w:w="3360"/>
          </w:tcPr>
          <w:p>
            <w:r>
              <w:t>Promptly notify IC and relevant technical/business owners.</w:t>
            </w:r>
          </w:p>
        </w:tc>
      </w:tr>
      <w:tr>
        <w:tc>
          <w:tcPr>
            <w:tcW w:type="dxa" w:w="3360"/>
          </w:tcPr>
          <w:p>
            <w:r>
              <w:t>SEV 3 – Medium</w:t>
            </w:r>
          </w:p>
        </w:tc>
        <w:tc>
          <w:tcPr>
            <w:tcW w:type="dxa" w:w="3360"/>
          </w:tcPr>
          <w:p>
            <w:r>
              <w:t>Limited suspicious activity, blocked attack, or isolated account compromise.</w:t>
            </w:r>
          </w:p>
        </w:tc>
        <w:tc>
          <w:tcPr>
            <w:tcW w:type="dxa" w:w="3360"/>
          </w:tcPr>
          <w:p>
            <w:r>
              <w:t>Security lead investigates and tracks remediation; update IC.</w:t>
            </w:r>
          </w:p>
        </w:tc>
      </w:tr>
      <w:tr>
        <w:tc>
          <w:tcPr>
            <w:tcW w:type="dxa" w:w="3360"/>
          </w:tcPr>
          <w:p>
            <w:r>
              <w:t>SEV 4 – Low</w:t>
            </w:r>
          </w:p>
        </w:tc>
        <w:tc>
          <w:tcPr>
            <w:tcW w:type="dxa" w:w="3360"/>
          </w:tcPr>
          <w:p>
            <w:r>
              <w:t>Low-confidence alert or minor policy event with no confirmed impact.</w:t>
            </w:r>
          </w:p>
        </w:tc>
        <w:tc>
          <w:tcPr>
            <w:tcW w:type="dxa" w:w="3360"/>
          </w:tcPr>
          <w:p>
            <w:r>
              <w:t>Record, review, monitor or close under normal process.</w:t>
            </w:r>
          </w:p>
        </w:tc>
      </w:tr>
    </w:tbl>
    <w:p>
      <w:pPr>
        <w:pStyle w:val="Heading1"/>
      </w:pPr>
      <w:r>
        <w:t>7. Incident Response Lifecycle</w:t>
      </w:r>
    </w:p>
    <w:p>
      <w:r>
        <w:t>The team follows the sequence below. Activities can overlap, and responders may return to containment if new evidence appears.</w:t>
      </w:r>
    </w:p>
    <w:tbl>
      <w:tblPr>
        <w:tblStyle w:val="LightShading-Accent1"/>
        <w:tblW w:type="auto" w:w="0"/>
        <w:tblLook w:firstColumn="1" w:firstRow="1" w:lastColumn="0" w:lastRow="0" w:noHBand="0" w:noVBand="1" w:val="04A0"/>
      </w:tblPr>
      <w:tblGrid>
        <w:gridCol w:w="5040"/>
        <w:gridCol w:w="5040"/>
      </w:tblGrid>
      <w:tr>
        <w:tc>
          <w:tcPr>
            <w:tcW w:type="dxa" w:w="5040"/>
          </w:tcPr>
          <w:p>
            <w:r>
              <w:t>Phase</w:t>
            </w:r>
          </w:p>
        </w:tc>
        <w:tc>
          <w:tcPr>
            <w:tcW w:type="dxa" w:w="5040"/>
          </w:tcPr>
          <w:p>
            <w:r>
              <w:t>Key actions</w:t>
            </w:r>
          </w:p>
        </w:tc>
      </w:tr>
      <w:tr>
        <w:tc>
          <w:tcPr>
            <w:tcW w:type="dxa" w:w="5040"/>
          </w:tcPr>
          <w:p>
            <w:r>
              <w:t>1. Preparation</w:t>
            </w:r>
          </w:p>
        </w:tc>
        <w:tc>
          <w:tcPr>
            <w:tcW w:type="dxa" w:w="5040"/>
          </w:tcPr>
          <w:p>
            <w:r>
              <w:t>Maintain asset and contact lists; enable centralized logs and time synchronization; prepare backups, templates, playbooks and training.</w:t>
            </w:r>
          </w:p>
        </w:tc>
      </w:tr>
      <w:tr>
        <w:tc>
          <w:tcPr>
            <w:tcW w:type="dxa" w:w="5040"/>
          </w:tcPr>
          <w:p>
            <w:r>
              <w:t>2. Detection &amp; reporting</w:t>
            </w:r>
          </w:p>
        </w:tc>
        <w:tc>
          <w:tcPr>
            <w:tcW w:type="dxa" w:w="5040"/>
          </w:tcPr>
          <w:p>
            <w:r>
              <w:t>Accept alerts from monitoring, service desk, citizens, staff and providers. Record time, symptoms, affected service and reporter.</w:t>
            </w:r>
          </w:p>
        </w:tc>
      </w:tr>
      <w:tr>
        <w:tc>
          <w:tcPr>
            <w:tcW w:type="dxa" w:w="5040"/>
          </w:tcPr>
          <w:p>
            <w:r>
              <w:t>3. Analysis &amp; triage</w:t>
            </w:r>
          </w:p>
        </w:tc>
        <w:tc>
          <w:tcPr>
            <w:tcW w:type="dxa" w:w="5040"/>
          </w:tcPr>
          <w:p>
            <w:r>
              <w:t>Validate alerts; identify affected assets, likely attack path, data types, timeline, scope and confidence; assign severity.</w:t>
            </w:r>
          </w:p>
        </w:tc>
      </w:tr>
      <w:tr>
        <w:tc>
          <w:tcPr>
            <w:tcW w:type="dxa" w:w="5040"/>
          </w:tcPr>
          <w:p>
            <w:r>
              <w:t>4. Containment</w:t>
            </w:r>
          </w:p>
        </w:tc>
        <w:tc>
          <w:tcPr>
            <w:tcW w:type="dxa" w:w="5040"/>
          </w:tcPr>
          <w:p>
            <w:r>
              <w:t>Disable compromised accounts, revoke sessions/tokens, block confirmed indicators, isolate affected hosts or restrict vulnerable features.</w:t>
            </w:r>
          </w:p>
        </w:tc>
      </w:tr>
      <w:tr>
        <w:tc>
          <w:tcPr>
            <w:tcW w:type="dxa" w:w="5040"/>
          </w:tcPr>
          <w:p>
            <w:r>
              <w:t>5. Eradication</w:t>
            </w:r>
          </w:p>
        </w:tc>
        <w:tc>
          <w:tcPr>
            <w:tcW w:type="dxa" w:w="5040"/>
          </w:tcPr>
          <w:p>
            <w:r>
              <w:t>Remove malicious files/accounts, patch exploited weaknesses, rotate exposed secrets, correct configuration and check for persistence.</w:t>
            </w:r>
          </w:p>
        </w:tc>
      </w:tr>
      <w:tr>
        <w:tc>
          <w:tcPr>
            <w:tcW w:type="dxa" w:w="5040"/>
          </w:tcPr>
          <w:p>
            <w:r>
              <w:t>6. Recovery</w:t>
            </w:r>
          </w:p>
        </w:tc>
        <w:tc>
          <w:tcPr>
            <w:tcW w:type="dxa" w:w="5040"/>
          </w:tcPr>
          <w:p>
            <w:r>
              <w:t>Restore from verified clean backups or trusted deployments; validate integrity, access controls, logs and application functions.</w:t>
            </w:r>
          </w:p>
        </w:tc>
      </w:tr>
      <w:tr>
        <w:tc>
          <w:tcPr>
            <w:tcW w:type="dxa" w:w="5040"/>
          </w:tcPr>
          <w:p>
            <w:r>
              <w:t>7. Post-incident review</w:t>
            </w:r>
          </w:p>
        </w:tc>
        <w:tc>
          <w:tcPr>
            <w:tcW w:type="dxa" w:w="5040"/>
          </w:tcPr>
          <w:p>
            <w:r>
              <w:t>Document root cause, impact, timeline, decisions and lessons; assign corrective actions, owners and due dates.</w:t>
            </w:r>
          </w:p>
        </w:tc>
      </w:tr>
    </w:tbl>
    <w:p>
      <w:pPr>
        <w:pStyle w:val="Heading2"/>
      </w:pPr>
      <w:r>
        <w:t>7.1 Process Flowchart: Incident Response</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START</w:t>
            </w:r>
          </w:p>
        </w:tc>
        <w:tc>
          <w:tcPr>
            <w:tcW w:type="dxa" w:w="1440"/>
          </w:tcPr>
          <w:p>
            <w:r>
              <w:t>→</w:t>
            </w:r>
          </w:p>
        </w:tc>
        <w:tc>
          <w:tcPr>
            <w:tcW w:type="dxa" w:w="1440"/>
          </w:tcPr>
          <w:p>
            <w:r>
              <w:t>DETECT &amp; REPORT</w:t>
            </w:r>
          </w:p>
        </w:tc>
        <w:tc>
          <w:tcPr>
            <w:tcW w:type="dxa" w:w="1440"/>
          </w:tcPr>
          <w:p>
            <w:r>
              <w:t>→</w:t>
            </w:r>
          </w:p>
        </w:tc>
        <w:tc>
          <w:tcPr>
            <w:tcW w:type="dxa" w:w="1440"/>
          </w:tcPr>
          <w:p>
            <w:r>
              <w:t>LOG &amp; TRIAGE</w:t>
            </w:r>
          </w:p>
        </w:tc>
        <w:tc>
          <w:tcPr>
            <w:tcW w:type="dxa" w:w="1440"/>
          </w:tcPr>
          <w:p>
            <w:r>
              <w:t>→</w:t>
            </w:r>
          </w:p>
        </w:tc>
        <w:tc>
          <w:tcPr>
            <w:tcW w:type="dxa" w:w="1440"/>
          </w:tcPr>
          <w:p>
            <w:r>
              <w:t>ASSIGN SEVERITY</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tbl>
      <w:tblPr>
        <w:tblStyle w:val="LightShading-Accent1"/>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w:t>
            </w:r>
          </w:p>
        </w:tc>
        <w:tc>
          <w:tcPr>
            <w:tcW w:type="dxa" w:w="1260"/>
          </w:tcPr>
          <w:p>
            <w:r>
              <w:t>CONTAIN</w:t>
            </w:r>
          </w:p>
        </w:tc>
        <w:tc>
          <w:tcPr>
            <w:tcW w:type="dxa" w:w="1260"/>
          </w:tcPr>
          <w:p>
            <w:r>
              <w:t>→</w:t>
            </w:r>
          </w:p>
        </w:tc>
        <w:tc>
          <w:tcPr>
            <w:tcW w:type="dxa" w:w="1260"/>
          </w:tcPr>
          <w:p>
            <w:r>
              <w:t>ERADICATE</w:t>
            </w:r>
          </w:p>
        </w:tc>
        <w:tc>
          <w:tcPr>
            <w:tcW w:type="dxa" w:w="1260"/>
          </w:tcPr>
          <w:p>
            <w:r>
              <w:t>→</w:t>
            </w:r>
          </w:p>
        </w:tc>
        <w:tc>
          <w:tcPr>
            <w:tcW w:type="dxa" w:w="1260"/>
          </w:tcPr>
          <w:p>
            <w:r>
              <w:t>RECOVER &amp; VALIDATE</w:t>
            </w:r>
          </w:p>
        </w:tc>
        <w:tc>
          <w:tcPr>
            <w:tcW w:type="dxa" w:w="1260"/>
          </w:tcPr>
          <w:p>
            <w:r>
              <w:t>→</w:t>
            </w:r>
          </w:p>
        </w:tc>
        <w:tc>
          <w:tcPr>
            <w:tcW w:type="dxa" w:w="1260"/>
          </w:tcPr>
          <w:p>
            <w:r>
              <w:t>CLOSE + LESSONS LEARNED</w:t>
            </w:r>
          </w:p>
        </w:tc>
      </w:tr>
      <w:tr>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p>
        </w:tc>
        <w:tc>
          <w:tcPr>
            <w:tcW w:type="dxa" w:w="1260"/>
          </w:tcPr>
          <w:p>
            <w:r/>
          </w:p>
        </w:tc>
      </w:tr>
    </w:tbl>
    <w:p>
      <w:r>
        <w:t>Flow interpretation: every alert is recorded and assessed. Confirmed incidents proceed through containment, eradication, recovery, and review. Unconfirmed events are documented and monitored or closed with a reason.</w:t>
      </w:r>
    </w:p>
    <w:p>
      <w:pPr>
        <w:pStyle w:val="Heading1"/>
      </w:pPr>
      <w:r>
        <w:t>8. Incident-Specific Response Procedures</w:t>
      </w:r>
    </w:p>
    <w:p>
      <w:pPr>
        <w:pStyle w:val="Heading2"/>
      </w:pPr>
      <w:r>
        <w:t>8.1 Phishing or Credential Theft</w:t>
      </w:r>
    </w:p>
    <w:p>
      <w:r>
        <w:rPr>
          <w:b/>
        </w:rPr>
        <w:t xml:space="preserve">Immediate actions: </w:t>
      </w:r>
      <w:r>
        <w:t>Immediate: report and preserve the message details; block confirmed malicious sender/domain where appropriate; reset affected credentials through the approved process; revoke active sessions/tokens; enforce MFA.</w:t>
      </w:r>
    </w:p>
    <w:p>
      <w:r>
        <w:rPr>
          <w:b/>
        </w:rPr>
        <w:t xml:space="preserve">Short-term actions: </w:t>
      </w:r>
      <w:r>
        <w:t>Short-term: review sign-in history, mailbox rules, privilege changes and access to citizen records; identify other recipients; warn affected staff through a trusted channel.</w:t>
      </w:r>
    </w:p>
    <w:p>
      <w:r>
        <w:rPr>
          <w:b/>
        </w:rPr>
        <w:t xml:space="preserve">Long-term actions: </w:t>
      </w:r>
      <w:r>
        <w:t>Long-term: improve phishing reporting, MFA coverage, email filtering, staff awareness and alerts for unusual sign-ins.</w:t>
      </w:r>
    </w:p>
    <w:p>
      <w:pPr>
        <w:pStyle w:val="Heading2"/>
      </w:pPr>
      <w:r>
        <w:t>8.2 Account Takeover or Privilege Misuse</w:t>
      </w:r>
    </w:p>
    <w:p>
      <w:r>
        <w:rPr>
          <w:b/>
        </w:rPr>
        <w:t xml:space="preserve">Immediate actions: </w:t>
      </w:r>
      <w:r>
        <w:t>Immediate: suspend the affected account if safe; revoke sessions and API tokens; preserve authentication and audit logs; notify the IC.</w:t>
      </w:r>
    </w:p>
    <w:p>
      <w:r>
        <w:rPr>
          <w:b/>
        </w:rPr>
        <w:t xml:space="preserve">Short-term actions: </w:t>
      </w:r>
      <w:r>
        <w:t>Short-term: determine actions performed, records viewed or changed, privilege escalation and other affected accounts; validate data integrity.</w:t>
      </w:r>
    </w:p>
    <w:p>
      <w:r>
        <w:rPr>
          <w:b/>
        </w:rPr>
        <w:t xml:space="preserve">Long-term actions: </w:t>
      </w:r>
      <w:r>
        <w:t>Long-term: enforce least privilege, periodic access reviews, MFA and alerts for unusual administrator activity.</w:t>
      </w:r>
    </w:p>
    <w:p>
      <w:pPr>
        <w:pStyle w:val="Heading2"/>
      </w:pPr>
      <w:r>
        <w:t>8.3 Malware or Ransomware</w:t>
      </w:r>
    </w:p>
    <w:p>
      <w:r>
        <w:rPr>
          <w:b/>
        </w:rPr>
        <w:t xml:space="preserve">Immediate actions: </w:t>
      </w:r>
      <w:r>
        <w:t>Immediate: isolate affected device/server using approved procedures; protect backup media; notify IC; preserve relevant alerts and timestamps.</w:t>
      </w:r>
    </w:p>
    <w:p>
      <w:r>
        <w:rPr>
          <w:b/>
        </w:rPr>
        <w:t xml:space="preserve">Short-term actions: </w:t>
      </w:r>
      <w:r>
        <w:t>Short-term: identify spread and affected systems; rebuild from trusted images; rotate potentially exposed credentials; obtain specialist support if required.</w:t>
      </w:r>
    </w:p>
    <w:p>
      <w:r>
        <w:rPr>
          <w:b/>
        </w:rPr>
        <w:t xml:space="preserve">Long-term actions: </w:t>
      </w:r>
      <w:r>
        <w:t>Long-term: patch weaknesses, improve endpoint protection and segmentation, test protected backups and conduct recovery exercises.</w:t>
      </w:r>
    </w:p>
    <w:p>
      <w:pPr>
        <w:pStyle w:val="Heading2"/>
      </w:pPr>
      <w:r>
        <w:t>8.4 Suspected Personal-Data Exposure</w:t>
      </w:r>
    </w:p>
    <w:p>
      <w:r>
        <w:rPr>
          <w:b/>
        </w:rPr>
        <w:t xml:space="preserve">Immediate actions: </w:t>
      </w:r>
      <w:r>
        <w:t>Immediate: restrict the exposed resource or access path; preserve logs and configuration; notify IC and privacy/legal officer.</w:t>
      </w:r>
    </w:p>
    <w:p>
      <w:r>
        <w:rPr>
          <w:b/>
        </w:rPr>
        <w:t xml:space="preserve">Short-term actions: </w:t>
      </w:r>
      <w:r>
        <w:t>Short-term: identify data categories, affected records, time window and likely access; assess notification duties with legal/privacy advisers; prepare verified messages.</w:t>
      </w:r>
    </w:p>
    <w:p>
      <w:r>
        <w:rPr>
          <w:b/>
        </w:rPr>
        <w:t xml:space="preserve">Long-term actions: </w:t>
      </w:r>
      <w:r>
        <w:t>Long-term: fix access-control/storage weaknesses, minimize retained data, review permissions, encrypt sensitive data and test access controls.</w:t>
      </w:r>
    </w:p>
    <w:p>
      <w:pPr>
        <w:pStyle w:val="Heading2"/>
      </w:pPr>
      <w:r>
        <w:t>8.5 Web Application / API Attack or Tampering</w:t>
      </w:r>
    </w:p>
    <w:p>
      <w:r>
        <w:rPr>
          <w:b/>
        </w:rPr>
        <w:t xml:space="preserve">Immediate actions: </w:t>
      </w:r>
      <w:r>
        <w:t>Immediate: preserve web, application, WAF, API and database logs; block confirmed malicious traffic or disable the affected endpoint if necessary.</w:t>
      </w:r>
    </w:p>
    <w:p>
      <w:r>
        <w:rPr>
          <w:b/>
        </w:rPr>
        <w:t xml:space="preserve">Short-term actions: </w:t>
      </w:r>
      <w:r>
        <w:t>Short-term: identify vulnerable code/configuration and affected records; compare files and records with trusted baselines; patch or roll back safely.</w:t>
      </w:r>
    </w:p>
    <w:p>
      <w:r>
        <w:rPr>
          <w:b/>
        </w:rPr>
        <w:t xml:space="preserve">Long-term actions: </w:t>
      </w:r>
      <w:r>
        <w:t>Long-term: use secure development practices, code review, dependency updates, authorized security testing and OWASP-aligned controls.</w:t>
      </w:r>
    </w:p>
    <w:p>
      <w:pPr>
        <w:pStyle w:val="Heading2"/>
      </w:pPr>
      <w:r>
        <w:t>8.6 Denial of Service</w:t>
      </w:r>
    </w:p>
    <w:p>
      <w:r>
        <w:rPr>
          <w:b/>
        </w:rPr>
        <w:t xml:space="preserve">Immediate actions: </w:t>
      </w:r>
      <w:r>
        <w:t>Immediate: alert hosting/network provider; activate approved filtering, rate limiting, caching or DDoS protection; prioritize essential citizen functions.</w:t>
      </w:r>
    </w:p>
    <w:p>
      <w:r>
        <w:rPr>
          <w:b/>
        </w:rPr>
        <w:t xml:space="preserve">Short-term actions: </w:t>
      </w:r>
      <w:r>
        <w:t>Short-term: monitor traffic and service health; scale or reroute only through approved provider procedures; preserve availability metrics.</w:t>
      </w:r>
    </w:p>
    <w:p>
      <w:r>
        <w:rPr>
          <w:b/>
        </w:rPr>
        <w:t xml:space="preserve">Long-term actions: </w:t>
      </w:r>
      <w:r>
        <w:t>Long-term: review capacity, provider protections, failover, rate limits and continuity arrangements; conduct controlled resilience tests.</w:t>
      </w:r>
    </w:p>
    <w:p>
      <w:pPr>
        <w:pStyle w:val="Heading1"/>
      </w:pPr>
      <w:r>
        <w:t>9. Communication Flow and Protocol</w:t>
      </w:r>
    </w:p>
    <w:p>
      <w:pPr>
        <w:pStyle w:val="ListBullet"/>
      </w:pPr>
      <w:r>
        <w:t>Reporter / monitoring system → Service Desk or Security Analyst: report symptoms, time, affected service and safe contact details.</w:t>
      </w:r>
    </w:p>
    <w:p>
      <w:pPr>
        <w:pStyle w:val="ListBullet"/>
      </w:pPr>
      <w:r>
        <w:t>Security Analyst → Incident Commander: provide verified facts, severity recommendation, evidence references and immediate risks.</w:t>
      </w:r>
    </w:p>
    <w:p>
      <w:pPr>
        <w:pStyle w:val="ListBullet"/>
      </w:pPr>
      <w:r>
        <w:t>Incident Commander → IT, application, database, privacy/legal, service owner and senior management: assign tasks and schedule updates.</w:t>
      </w:r>
    </w:p>
    <w:p>
      <w:pPr>
        <w:pStyle w:val="ListBullet"/>
      </w:pPr>
      <w:r>
        <w:t>Privacy/Legal + Communications Lead → authorized leadership: assess notification requirements and prepare citizen, regulator, partner or public messages.</w:t>
      </w:r>
    </w:p>
    <w:p>
      <w:pPr>
        <w:pStyle w:val="ListBullet"/>
      </w:pPr>
      <w:r>
        <w:t>Incident Commander → response team: confirm recovery status, residual risks, closure decision and post-incident review.</w:t>
      </w:r>
    </w:p>
    <w:p>
      <w:r>
        <w:t>Rules: do not speculate, blame individuals, publish personal data or share sensitive technical details publicly without approval. Record who was notified, when, by whom and what was communicated. If email/chat is suspected compromised, use a pre-approved alternate channel.</w:t>
      </w:r>
    </w:p>
    <w:p>
      <w:pPr>
        <w:pStyle w:val="Heading2"/>
      </w:pPr>
      <w:r>
        <w:t>9.1 Communication Process Diagram</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INCIDENT REPORTED</w:t>
            </w:r>
          </w:p>
        </w:tc>
        <w:tc>
          <w:tcPr>
            <w:tcW w:type="dxa" w:w="2016"/>
          </w:tcPr>
          <w:p>
            <w:r>
              <w:t>↓</w:t>
            </w:r>
          </w:p>
        </w:tc>
        <w:tc>
          <w:tcPr>
            <w:tcW w:type="dxa" w:w="2016"/>
          </w:tcPr>
          <w:p>
            <w:r>
              <w:t>SECURITY ANALYST VALIDATES</w:t>
            </w:r>
          </w:p>
        </w:tc>
        <w:tc>
          <w:tcPr>
            <w:tcW w:type="dxa" w:w="2016"/>
          </w:tcPr>
          <w:p>
            <w:r>
              <w:t>↓</w:t>
            </w:r>
          </w:p>
        </w:tc>
        <w:tc>
          <w:tcPr>
            <w:tcW w:type="dxa" w:w="2016"/>
          </w:tcPr>
          <w:p>
            <w:r>
              <w:t>INCIDENT COMMANDER COORDINATES</w:t>
            </w:r>
          </w:p>
        </w:tc>
      </w:tr>
      <w:tr>
        <w:tc>
          <w:tcPr>
            <w:tcW w:type="dxa" w:w="2016"/>
          </w:tcPr>
          <w:p>
            <w:r/>
          </w:p>
        </w:tc>
        <w:tc>
          <w:tcPr>
            <w:tcW w:type="dxa" w:w="2016"/>
          </w:tcPr>
          <w:p>
            <w:r/>
          </w:p>
        </w:tc>
        <w:tc>
          <w:tcPr>
            <w:tcW w:type="dxa" w:w="2016"/>
          </w:tcPr>
          <w:p>
            <w:r/>
          </w:p>
        </w:tc>
        <w:tc>
          <w:tcPr>
            <w:tcW w:type="dxa" w:w="2016"/>
          </w:tcPr>
          <w:p>
            <w:r/>
          </w:p>
        </w:tc>
        <w:tc>
          <w:tcPr>
            <w:tcW w:type="dxa" w:w="2016"/>
          </w:tcPr>
          <w:p>
            <w:r/>
          </w:p>
        </w:tc>
      </w:tr>
    </w:tbl>
    <w:tbl>
      <w:tblPr>
        <w:tblStyle w:val="LightShading-Accent1"/>
        <w:tblW w:type="auto" w:w="0"/>
        <w:tblLook w:firstColumn="1" w:firstRow="1" w:lastColumn="0" w:lastRow="0" w:noHBand="0" w:noVBand="1" w:val="04A0"/>
      </w:tblPr>
      <w:tblGrid>
        <w:gridCol w:w="5040"/>
        <w:gridCol w:w="5040"/>
      </w:tblGrid>
      <w:tr>
        <w:tc>
          <w:tcPr>
            <w:tcW w:type="dxa" w:w="5040"/>
          </w:tcPr>
          <w:p>
            <w:r>
              <w:t>↙ INTERNAL</w:t>
            </w:r>
          </w:p>
        </w:tc>
        <w:tc>
          <w:tcPr>
            <w:tcW w:type="dxa" w:w="5040"/>
          </w:tcPr>
          <w:p>
            <w:r>
              <w:t>↘ EXTERNAL</w:t>
            </w:r>
          </w:p>
        </w:tc>
      </w:tr>
      <w:tr>
        <w:tc>
          <w:tcPr>
            <w:tcW w:type="dxa" w:w="5040"/>
          </w:tcPr>
          <w:p>
            <w:r>
              <w:t>IT / APP / DATABASE / MANAGEMENT</w:t>
            </w:r>
          </w:p>
        </w:tc>
        <w:tc>
          <w:tcPr>
            <w:tcW w:type="dxa" w:w="5040"/>
          </w:tcPr>
          <w:p>
            <w:r>
              <w:t>PRIVACY-LEGAL / CITIZENS / PROVIDERS / REGULATORS</w:t>
            </w:r>
          </w:p>
        </w:tc>
      </w:tr>
    </w:tbl>
    <w:p>
      <w:pPr>
        <w:pStyle w:val="Heading1"/>
      </w:pPr>
      <w:r>
        <w:t>10. Recovery and Service Restoration</w:t>
      </w:r>
    </w:p>
    <w:p>
      <w:pPr>
        <w:pStyle w:val="ListBullet"/>
      </w:pPr>
      <w:r>
        <w:t>Prioritize identity services, application submission, status tracking and supporting databases according to business impact.</w:t>
      </w:r>
    </w:p>
    <w:p>
      <w:pPr>
        <w:pStyle w:val="ListBullet"/>
      </w:pPr>
      <w:r>
        <w:t>Confirm recovery time and recovery point objectives with the service owner; do not invent targets without business approval.</w:t>
      </w:r>
    </w:p>
    <w:p>
      <w:pPr>
        <w:pStyle w:val="ListBullet"/>
      </w:pPr>
      <w:r>
        <w:t>Restore only from verified clean backups or trusted deployment artifacts; validate before reconnecting.</w:t>
      </w:r>
    </w:p>
    <w:p>
      <w:pPr>
        <w:pStyle w:val="ListBullet"/>
      </w:pPr>
      <w:r>
        <w:t>Check data integrity, authentication, authorization, API behavior, audit logging, monitoring and citizen-facing functions.</w:t>
      </w:r>
    </w:p>
    <w:p>
      <w:pPr>
        <w:pStyle w:val="ListBullet"/>
      </w:pPr>
      <w:r>
        <w:t>Use staged restoration where possible; maintain heightened monitoring and a rollback plan.</w:t>
      </w:r>
    </w:p>
    <w:p>
      <w:pPr>
        <w:pStyle w:val="ListBullet"/>
      </w:pPr>
      <w:r>
        <w:t>Communicate restoration and remaining limitations through approved channels.</w:t>
      </w:r>
    </w:p>
    <w:p>
      <w:pPr>
        <w:pStyle w:val="Heading1"/>
      </w:pPr>
      <w:r>
        <w:t>11. Evidence Handling and Incident Records</w:t>
      </w:r>
    </w:p>
    <w:p>
      <w:r>
        <w:t>Create a unique incident ID. Maintain a time-stamped log of observations, decisions, approvals, actions, people involved, affected assets, evidence references and communications. Preserve original logs and relevant files in approved access-controlled storage. Record who collected evidence, when, where it is stored, and any transfer or access. Follow retention and privacy rules; never copy citizen data to personal devices or public repositories.</w:t>
      </w:r>
    </w:p>
    <w:p>
      <w:pPr>
        <w:pStyle w:val="Heading1"/>
      </w:pPr>
      <w:r>
        <w:t>12. Implementation Roadmap and Readiness Checklist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Timeline</w:t>
            </w:r>
          </w:p>
        </w:tc>
        <w:tc>
          <w:tcPr>
            <w:tcW w:type="dxa" w:w="3360"/>
          </w:tcPr>
          <w:p>
            <w:r>
              <w:t>Action</w:t>
            </w:r>
          </w:p>
        </w:tc>
        <w:tc>
          <w:tcPr>
            <w:tcW w:type="dxa" w:w="3360"/>
          </w:tcPr>
          <w:p>
            <w:r>
              <w:t>Evidence of completion</w:t>
            </w:r>
          </w:p>
        </w:tc>
      </w:tr>
      <w:tr>
        <w:tc>
          <w:tcPr>
            <w:tcW w:type="dxa" w:w="3360"/>
          </w:tcPr>
          <w:p>
            <w:r>
              <w:t>Immediate (0–7 days)</w:t>
            </w:r>
          </w:p>
        </w:tc>
        <w:tc>
          <w:tcPr>
            <w:tcW w:type="dxa" w:w="3360"/>
          </w:tcPr>
          <w:p>
            <w:r>
              <w:t>Name response roles; publish escalation list; define reporting channel; confirm log and backup access.</w:t>
            </w:r>
          </w:p>
        </w:tc>
        <w:tc>
          <w:tcPr>
            <w:tcW w:type="dxa" w:w="3360"/>
          </w:tcPr>
          <w:p>
            <w:r>
              <w:t>Approved roster, contact tree and incident ticket template.</w:t>
            </w:r>
          </w:p>
        </w:tc>
      </w:tr>
      <w:tr>
        <w:tc>
          <w:tcPr>
            <w:tcW w:type="dxa" w:w="3360"/>
          </w:tcPr>
          <w:p>
            <w:r>
              <w:t>Short term (within 30 days)</w:t>
            </w:r>
          </w:p>
        </w:tc>
        <w:tc>
          <w:tcPr>
            <w:tcW w:type="dxa" w:w="3360"/>
          </w:tcPr>
          <w:p>
            <w:r>
              <w:t>Approve severity matrix and playbooks; review MFA/admin access; confirm backup restoration owner.</w:t>
            </w:r>
          </w:p>
        </w:tc>
        <w:tc>
          <w:tcPr>
            <w:tcW w:type="dxa" w:w="3360"/>
          </w:tcPr>
          <w:p>
            <w:r>
              <w:t>Reviewed playbooks, access review and backup test record.</w:t>
            </w:r>
          </w:p>
        </w:tc>
      </w:tr>
      <w:tr>
        <w:tc>
          <w:tcPr>
            <w:tcW w:type="dxa" w:w="3360"/>
          </w:tcPr>
          <w:p>
            <w:r>
              <w:t>Medium term (within 90 days)</w:t>
            </w:r>
          </w:p>
        </w:tc>
        <w:tc>
          <w:tcPr>
            <w:tcW w:type="dxa" w:w="3360"/>
          </w:tcPr>
          <w:p>
            <w:r>
              <w:t>Centralize key logs; establish alert triage; run tabletop exercises for data exposure and outage.</w:t>
            </w:r>
          </w:p>
        </w:tc>
        <w:tc>
          <w:tcPr>
            <w:tcW w:type="dxa" w:w="3360"/>
          </w:tcPr>
          <w:p>
            <w:r>
              <w:t>Monitoring coverage, exercise report and action list.</w:t>
            </w:r>
          </w:p>
        </w:tc>
      </w:tr>
      <w:tr>
        <w:tc>
          <w:tcPr>
            <w:tcW w:type="dxa" w:w="3360"/>
          </w:tcPr>
          <w:p>
            <w:r>
              <w:t>Ongoing</w:t>
            </w:r>
          </w:p>
        </w:tc>
        <w:tc>
          <w:tcPr>
            <w:tcW w:type="dxa" w:w="3360"/>
          </w:tcPr>
          <w:p>
            <w:r>
              <w:t>Train staff; patch systems; review suppliers; test restoration; track lessons learned.</w:t>
            </w:r>
          </w:p>
        </w:tc>
        <w:tc>
          <w:tcPr>
            <w:tcW w:type="dxa" w:w="3360"/>
          </w:tcPr>
          <w:p>
            <w:r>
              <w:t>Training, patch, recovery-test and review records.</w:t>
            </w:r>
          </w:p>
        </w:tc>
      </w:tr>
    </w:tbl>
    <w:p>
      <w:pPr>
        <w:pStyle w:val="Heading1"/>
      </w:pPr>
      <w:r>
        <w:t>13. Tabletop Exercise Scenario</w:t>
      </w:r>
    </w:p>
    <w:p>
      <w:r>
        <w:t>Scenario: the security team detects unusual administrator sign-ins, followed by citizen reports that the portal is unavailable. Participants identify the IC, verify the alert, classify severity, decide whether to suspend the account or isolate a component, preserve logs, assess possible data access, agree on internal/external communications, and define recovery checks. The facilitator records decisions, delays, unclear responsibilities and missing information. Each improvement receives an owner and due date.</w:t>
      </w:r>
    </w:p>
    <w:p>
      <w:pPr>
        <w:pStyle w:val="Heading1"/>
      </w:pPr>
      <w:r>
        <w:t>14. Metrics for Continuous Improvement</w:t>
      </w:r>
    </w:p>
    <w:p>
      <w:pPr>
        <w:pStyle w:val="ListBullet"/>
      </w:pPr>
      <w:r>
        <w:t>Time from first alert to acknowledgement and triage.</w:t>
      </w:r>
    </w:p>
    <w:p>
      <w:pPr>
        <w:pStyle w:val="ListBullet"/>
      </w:pPr>
      <w:r>
        <w:t>Time to contain confirmed incidents, considered alongside service impact.</w:t>
      </w:r>
    </w:p>
    <w:p>
      <w:pPr>
        <w:pStyle w:val="ListBullet"/>
      </w:pPr>
      <w:r>
        <w:t>Percentage of critical systems sending logs to approved monitoring.</w:t>
      </w:r>
    </w:p>
    <w:p>
      <w:pPr>
        <w:pStyle w:val="ListBullet"/>
      </w:pPr>
      <w:r>
        <w:t>Percentage of privileged accounts protected by MFA and reviewed on schedule.</w:t>
      </w:r>
    </w:p>
    <w:p>
      <w:pPr>
        <w:pStyle w:val="ListBullet"/>
      </w:pPr>
      <w:r>
        <w:t>Backup restoration test success rate.</w:t>
      </w:r>
    </w:p>
    <w:p>
      <w:pPr>
        <w:pStyle w:val="ListBullet"/>
      </w:pPr>
      <w:r>
        <w:t>Percentage of post-incident actions completed by due dates.</w:t>
      </w:r>
    </w:p>
    <w:p>
      <w:pPr>
        <w:pStyle w:val="Heading1"/>
      </w:pPr>
      <w:r>
        <w:t>15. Conclusion</w:t>
      </w:r>
    </w:p>
    <w:p>
      <w:r>
        <w:t>An effective incident response plan is a coordinated operating process involving security, IT, service owners, leadership, privacy/legal advisers and communications staff. Preparing roles and channels in advance, identifying incidents consistently, containing threats proportionately, preserving evidence, restoring from trusted sources and learning from every event can improve the resilience of the Citizen Services Portal and protect public trust. This plan should be reviewed annually and after significant incidents, system changes or changes in applicable requirements.</w:t>
      </w:r>
    </w:p>
    <w:p>
      <w:pPr>
        <w:pStyle w:val="Heading1"/>
      </w:pPr>
      <w:r>
        <w:t>16. References</w:t>
      </w:r>
    </w:p>
    <w:p>
      <w:pPr>
        <w:pStyle w:val="ListNumber"/>
      </w:pPr>
      <w:r>
        <w:t>NIST, Computer Security Incident Handling Guide, SP 800-61 Rev. 2 (2012).</w:t>
      </w:r>
    </w:p>
    <w:p>
      <w:pPr>
        <w:pStyle w:val="ListNumber"/>
      </w:pPr>
      <w:r>
        <w:t>NIST, Cybersecurity Framework (CSF) 2.0 (2024).</w:t>
      </w:r>
    </w:p>
    <w:p>
      <w:pPr>
        <w:pStyle w:val="ListNumber"/>
      </w:pPr>
      <w:r>
        <w:t>NIST, Contingency Planning Guide for Federal Information Systems, SP 800-34 Rev. 1 (2010).</w:t>
      </w:r>
    </w:p>
    <w:p>
      <w:pPr>
        <w:pStyle w:val="ListNumber"/>
      </w:pPr>
      <w:r>
        <w:t>OWASP Foundation, OWASP Top 10: Web Application Security Risks (2021).</w:t>
      </w:r>
    </w:p>
    <w:p>
      <w:pPr>
        <w:pStyle w:val="ListNumber"/>
      </w:pPr>
      <w:r>
        <w:t>India CERT-In, Directions relating to information security practices, procedure, prevention, response and reporting of cyber incidents (28 April 2022).</w:t>
      </w:r>
    </w:p>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Incident Response Plan | Soumili Halder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