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2"/>
          <w:szCs w:val="32"/>
        </w:rPr>
      </w:pPr>
      <w:r w:rsidDel="00000000" w:rsidR="00000000" w:rsidRPr="00000000">
        <w:rPr>
          <w:rFonts w:ascii="Google Sans" w:cs="Google Sans" w:eastAsia="Google Sans" w:hAnsi="Google Sans"/>
          <w:b w:val="1"/>
          <w:bCs w:val="1"/>
          <w:i w:val="0"/>
          <w:iCs w:val="0"/>
          <w:color w:val="1b1c1d"/>
          <w:sz w:val="32"/>
          <w:szCs w:val="32"/>
          <w:rtl w:val="0"/>
        </w:rPr>
        <w:t xml:space="preserve">台灣金融業債券投資組合與壽險業海外佈局策略分析 (2022-2024)</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1. 執行摘要</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本報告旨在深入分析 2022 年至 2024 年間台灣金融業（銀行、保險、證券）的債券投資狀況，並特別聚焦於壽險業龐大的海外債券投資組合、策略動機及其面臨的挑戰。分析顯示，台灣壽險業持有巨額的海外債券部位，此現象主要源於國內市場收益率偏低及投資標的有限。這些海外投資高度集中於美元計價的投資等級公司債與金融債，反映了業者在追求較高收益與管理信用風險間的權衡。</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國泰人壽與富邦人壽作為市場領導者，其海外固定收益策略展現高度相似性，均以北美市場及投資等級債券為核心配置，顯示行業趨同的特性。然而，龐大的海外部位使壽險業面臨顯著的匯率風險，高昂的避險成本持續侵蝕投資收益，成為業者經營上的核心挑戰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。儘管外匯價格變動準備金機制提供部分緩衝，但根本的貨幣錯配風險依然存在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近期數據顯示，金融三業整體購債動能趨緩，尤其在 2024 年第一季出現顯著下滑，年減幅度達六成，創下近三年同期低點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。此趨勢可能反映了市場對利率前景及地緣政治風險的不確定性升高，促使業者態度轉趨保守。</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展望未來，即將於 2026 年實施的國際財務報導準則第 17 號（IFRS 17）及新一代清償能力制度（ICS）將對壽險業的資產負債管理、資本適足性及投資策略帶來深遠影響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24"/>
          <w:szCs w:val="24"/>
          <w:rtl w:val="0"/>
        </w:rPr>
        <w:t xml:space="preserve">。業者勢必強化風險管理能力，更精準地進行資產負債匹配，並可能在現有框架下尋求投資組合的優化調整。整體而言，台灣壽險業的營運與獲利表現，將持續高度受到全球利率走向、匯率波動及國際金融市場穩定性的影響。</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2. 台灣金融三業債券市場概觀 (2022-2024)</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台灣金融體系中的銀行、保險及證券業（合稱金融三業）在固定收益市場扮演著舉足輕重的角色。觀察 2022 年至 2024 年初的數據，可發現其債券投資活動呈現若干重要趨勢與變化。整體而言，台灣債券市場發行餘額持續增長，至 2023 年底較前一年成長 3.87%，續創歷史新高，主要受國營企業發債活動增加所帶動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然而，金融三業的淨買債動能近期出現顯著變化。根據金融監督管理委員會（金管會）的統計數據，2024 年第一季，金融三業合計買債金額僅約新台幣 2,085 億元，相較去年同期大幅減少了六成，達到近三年來的同期最低水平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此一顯著的趨緩現象，可能與市場對全球經濟前景、美國聯準會利率政策走向的不確定性，以及潛在的地緣政治風險（如美國總統大選可能帶來的政策變動）有關，導致金融機構在債券配置上採取更為審慎保守的態度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在此趨勢下，不同行業別的表現出現分化。銀行業在 2024 年第一季成為最主要的買債力量，淨買入金額達新台幣 1,904 億元，佔金融三業總買債量的九成以上。儘管此數字亦為銀行業近三年的同期低點，年減幅度達 57%，但仍凸顯其在市場中的主導地位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。相較之下，保險業的買債行為則呈現較大波動。例如，壽險業在 2024 年 3 月份雖有補債 80 億元（主要為國內債券），但在 2 月份卻是呈現淨減碼 96 億元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。回顧 2023 年，壽險業亦曾在 9 月份淨減碼國內外債券達 90 億元，連續三個月賣超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iCs w:val="0"/>
          <w:color w:val="1b1c1d"/>
          <w:sz w:val="24"/>
          <w:szCs w:val="24"/>
          <w:rtl w:val="0"/>
        </w:rPr>
        <w:t xml:space="preserve">。證券業的買債規模相對較小，2024 年第一季累計加碼約 197 億元（3 月加碼 92 億，前兩月加碼 105 億），主要以回補國內債券為主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銀行業的持續買入可能與其較高的流動性需求、存放款業務的資金配置考量，或相對穩健的資本狀況有關。而壽險業的波動則可能反映其對市場利率、匯率變動更為敏感，以及為接軌 IFRS 17 等新制度而進行的資產負債管理調整。</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儘管購債動能趨緩，金融三業在 2023 年的整體獲利表現相當亮眼，稅前盈餘合計超過新台幣 7,000 億元，創下歷史次高紀錄，年增幅達 47%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iCs w:val="0"/>
          <w:color w:val="1b1c1d"/>
          <w:sz w:val="24"/>
          <w:szCs w:val="24"/>
          <w:rtl w:val="0"/>
        </w:rPr>
        <w:t xml:space="preserve">。其中，銀行業獲利突破 4,000 億元，年增兩成以上，主要受惠於升息環境帶來的利息收益增長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iCs w:val="0"/>
          <w:color w:val="1b1c1d"/>
          <w:sz w:val="24"/>
          <w:szCs w:val="24"/>
          <w:rtl w:val="0"/>
        </w:rPr>
        <w:t xml:space="preserve">。此一良好的獲利背景，理論上應能支持其投資活動，但 2024 年初的買債降溫顯示，市場前景的不確定性已成為影響投資決策的更重要因素。</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值得注意的是，要取得金融三業各季度詳細、一致的國內外債券「持有餘額」統計數據，存在一定挑戰。雖然金管會定期發布相關統計，但公開資訊往往以「淨買賣」金額為主，且根據本次研究查詢金管會銀行局網站的結果，並未能直接獲取涵蓋 2022 至 2024 年各季度、區分三大行業別的國內外債券持有餘額完整數據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11</w:t>
      </w:r>
      <w:r w:rsidDel="00000000" w:rsidR="00000000" w:rsidRPr="00000000">
        <w:rPr>
          <w:rFonts w:ascii="Google Sans Text" w:cs="Google Sans Text" w:eastAsia="Google Sans Text" w:hAnsi="Google Sans Text"/>
          <w:i w:val="0"/>
          <w:iCs w:val="0"/>
          <w:color w:val="1b1c1d"/>
          <w:sz w:val="24"/>
          <w:szCs w:val="24"/>
          <w:rtl w:val="0"/>
        </w:rPr>
        <w:t xml:space="preserve">。因此，本報告主要依賴公開新聞報導引述的金管會數據及相關研究報告進行分析。</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表 1：金融三業（銀行、保險、證券）淨買債金額（國內外合計），2023 年 Q3 - 2024 年 Q1 (單位：新台幣億元)</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期間</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銀行業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保險業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證券業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合計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主要資料來源</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2024 年 Q1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1,904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197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2,085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2024 年 3 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92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934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2024 年 1-2月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1,142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-96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105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1,151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2023 年 9 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-90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p>
        </w:tc>
      </w:tr>
    </w:tbl>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b1c1d"/>
          <w:sz w:val="24"/>
          <w:szCs w:val="24"/>
        </w:rPr>
      </w:pPr>
      <w:r w:rsidDel="00000000" w:rsidR="00000000" w:rsidRPr="00000000">
        <w:rPr>
          <w:rFonts w:ascii="Google Sans Text" w:cs="Google Sans Text" w:eastAsia="Google Sans Text" w:hAnsi="Google Sans Text"/>
          <w:i w:val="1"/>
          <w:iCs w:val="1"/>
          <w:color w:val="1b1c1d"/>
          <w:sz w:val="24"/>
          <w:szCs w:val="24"/>
          <w:rtl w:val="0"/>
        </w:rPr>
        <w:t xml:space="preserve">註：N/A 表示該期間數據未能從提供之資料中取得。保險業 2024 年 Q1 數據為 3 月份買超 80 億與 1-2 月賣超 96 億之加總。證券業 2024 年 Q1 數據為 3 月份買超 92 億與 1-2 月買超 105 億之加總。合計數據來自各資料來源，可能因月份涵蓋範圍略有差異。本表數據主要反映短期資金流向，非持有餘額。</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此表格清晰呈現了近期金融三業的債券投資淨流向。銀行業的買盤規模遠超其他兩者，而壽險業則在買賣之間搖擺。整體合計數顯示 2024 年第一季的動能確實較弱，印證了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 所述的市場降溫現象。這為後續深入探討壽險業的投資行為提供了宏觀背景。</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3. 壽險業：投資版圖與債券配置焦點 (2022-2024)</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台灣人壽保險業管理著龐大的資產，其資金運用策略對國內外金融市場均具有重要影響。截至 2023 年底，壽險業可運用資金總額已突破新台幣 30 兆元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12</w:t>
      </w:r>
      <w:r w:rsidDel="00000000" w:rsidR="00000000" w:rsidRPr="00000000">
        <w:rPr>
          <w:rFonts w:ascii="Google Sans Text" w:cs="Google Sans Text" w:eastAsia="Google Sans Text" w:hAnsi="Google Sans Text"/>
          <w:i w:val="0"/>
          <w:iCs w:val="0"/>
          <w:color w:val="1b1c1d"/>
          <w:sz w:val="24"/>
          <w:szCs w:val="24"/>
          <w:rtl w:val="0"/>
        </w:rPr>
        <w:t xml:space="preserve">。在如此龐大的資金規模下，如何進行有效的資產配置以獲取穩定收益並履行對保戶的長期承諾，是業者經營的核心課題。</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觀察 2022 年至 2024 年的資金運用結構，最顯著的特徵是「國外投資」佔比的持續攀升與絕對主導地位。根據保險事業發展中心（TII）的年度數據，國外投資佔總資金運用金額的比率，從 2022 年的 66.43% 進一步上升至 2023 年的 70.47%，至 2024 年 7 月仍維持在 69.95% 的高位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12</w:t>
      </w:r>
      <w:r w:rsidDel="00000000" w:rsidR="00000000" w:rsidRPr="00000000">
        <w:rPr>
          <w:rFonts w:ascii="Google Sans Text" w:cs="Google Sans Text" w:eastAsia="Google Sans Text" w:hAnsi="Google Sans Text"/>
          <w:i w:val="0"/>
          <w:iCs w:val="0"/>
          <w:color w:val="1b1c1d"/>
          <w:sz w:val="24"/>
          <w:szCs w:val="24"/>
          <w:rtl w:val="0"/>
        </w:rPr>
        <w:t xml:space="preserve">。這意味著壽險業超過三分之二的可運用資金佈局於海外市場。</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此一高度倚賴海外投資的現象，其背後有多重驅動因素。首先，台灣國內固定收益市場的規模相對有限，特別是高品質、長天期的債券供給不足，難以完全吸納壽險業的龐大資金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24"/>
          <w:szCs w:val="24"/>
          <w:rtl w:val="0"/>
        </w:rPr>
        <w:t xml:space="preserve">。其次，過去十多年來，國內長期處於低利率環境，公債及公司債的收益率難以滿足壽險公司（尤其是早期銷售較多高預定利率保單者）的投資回報要求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24"/>
          <w:szCs w:val="24"/>
          <w:rtl w:val="0"/>
        </w:rPr>
        <w:t xml:space="preserve">。相較之下，海外市場（特別是美國）提供了更廣泛、更多元、且收益率相對較高的投資標的。此外，主管機關逐步放寬保險業海外投資的法定上限（從最初的 5% 提高至現行的 45%，特定條件下可進一步提高），也為壽險資金流向海外創造了有利的政策環境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在國內投資方面，債券仍是重要的配置項目，但佔比相對國外投資顯得較低。根據 TII 的年度數據，2023 年壽險業持有的國內債券主要包括：公債及國庫券（佔總資金 3.74%）、金融債券及存單等（佔 2.73%）、以及公司債（佔 2.28%），三者合計約佔總資金的 8.75%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12</w:t>
      </w:r>
      <w:r w:rsidDel="00000000" w:rsidR="00000000" w:rsidRPr="00000000">
        <w:rPr>
          <w:rFonts w:ascii="Google Sans Text" w:cs="Google Sans Text" w:eastAsia="Google Sans Text" w:hAnsi="Google Sans Text"/>
          <w:i w:val="0"/>
          <w:iCs w:val="0"/>
          <w:color w:val="1b1c1d"/>
          <w:sz w:val="24"/>
          <w:szCs w:val="24"/>
          <w:rtl w:val="0"/>
        </w:rPr>
        <w:t xml:space="preserve">。相較於 2022 年合計約 9.62% 的佔比，呈現下滑趨勢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12</w:t>
      </w:r>
      <w:r w:rsidDel="00000000" w:rsidR="00000000" w:rsidRPr="00000000">
        <w:rPr>
          <w:rFonts w:ascii="Google Sans Text" w:cs="Google Sans Text" w:eastAsia="Google Sans Text" w:hAnsi="Google Sans Text"/>
          <w:i w:val="0"/>
          <w:iCs w:val="0"/>
          <w:color w:val="1b1c1d"/>
          <w:sz w:val="24"/>
          <w:szCs w:val="24"/>
          <w:rtl w:val="0"/>
        </w:rPr>
        <w:t xml:space="preserve">。這也印證了部分新聞報導指出的現象，即壽險業近年有減碼國內債券、增持海外債券的傾向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。例如，壽險業在國內公債市場的得標比重近年即呈現下滑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14</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然而，值得注意的是，這些資金運用數據主要來自 TII 的年度統計。要獲取 2022 年至 2024 年間「各季度」的詳細資金運用表，特別是國外投資項下更細緻的債券分類數據，在公開管道上存在困難。本次研究查詢 TII 網站及其互動式查詢平台，均未能直接下載或查詢到符合此需求的季度報表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12</w:t>
      </w:r>
      <w:r w:rsidDel="00000000" w:rsidR="00000000" w:rsidRPr="00000000">
        <w:rPr>
          <w:rFonts w:ascii="Google Sans Text" w:cs="Google Sans Text" w:eastAsia="Google Sans Text" w:hAnsi="Google Sans Text"/>
          <w:i w:val="0"/>
          <w:iCs w:val="0"/>
          <w:color w:val="1b1c1d"/>
          <w:sz w:val="24"/>
          <w:szCs w:val="24"/>
          <w:rtl w:val="0"/>
        </w:rPr>
        <w:t xml:space="preserve">。因此，後續關於海外債券組合的分析，將更多依賴個別公司的揭露資訊、新聞報導及研究報告進行推估與描繪。</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儘管缺乏季度細項數據，但年度數據已清晰勾勒出台灣壽險業資產配置的總體輪廓：一個以海外投資為主導，國內債券為輔的格局。這種結構性的配置偏好，使得壽險業的投資績效與風險狀況，深受國際金融市場，特別是美元資產表現及新台幣匯率波動的影響。</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表 2：壽險業資金運用摘要（年度數據），2022-2024 (單位：新台幣百萬元 及 %)</w:t>
      </w:r>
    </w:p>
    <w:tbl>
      <w:tblPr>
        <w:tblStyle w:val="Table2"/>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項目</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2022 年 金額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2022 年 佔率(%)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2023 年 金額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2023 年 佔率(%)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2024/07 金額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2024/07 佔率(%)</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國內投資合計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公債及國庫券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1,402,419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4.69%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1,124,436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3.74%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972,109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金融債券、存單、匯票與本票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796,756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2.66%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821,588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2.73%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726,439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公司債</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678,037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683,930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622,969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1.99%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股票及受益憑證</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1,940,109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6.48%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2,206,180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7.34%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2,586,968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不動產投資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1,231,493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1,281,690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1,300,222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壽險貸款</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551,095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1.84%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513,529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1.71%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492,490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1.58%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擔保放款</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1,707,111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5.70%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1,591,397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1,548,849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4.96%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其他國內投資 (含專案/公共建設/衍生品等)</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1,741,504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5.82%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821,373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2.73%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1,139,276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3.65%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國外投資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19,878,660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66.43%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21,184,914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70.47%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21,857,811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69.95%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銀行存款</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899,975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796,681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2.65%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999,693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資金運用總額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29,927,159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98.75%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30,057,365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97.92%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31,246,826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97.28%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資金總額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30,305,348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100.00%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30,696,900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100.00%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32,120,654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100.00%</w:t>
            </w:r>
          </w:p>
        </w:tc>
      </w:tr>
    </w:tbl>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i w:val="1"/>
          <w:iCs w:val="1"/>
          <w:color w:val="1b1c1d"/>
          <w:sz w:val="24"/>
          <w:szCs w:val="24"/>
        </w:rPr>
      </w:pPr>
      <w:r w:rsidDel="00000000" w:rsidR="00000000" w:rsidRPr="00000000">
        <w:rPr>
          <w:rFonts w:ascii="Google Sans Text" w:cs="Google Sans Text" w:eastAsia="Google Sans Text" w:hAnsi="Google Sans Text"/>
          <w:i w:val="1"/>
          <w:iCs w:val="1"/>
          <w:color w:val="1b1c1d"/>
          <w:sz w:val="24"/>
          <w:szCs w:val="24"/>
          <w:rtl w:val="0"/>
        </w:rPr>
        <w:t xml:space="preserve">資料來源：整理自保險事業發展中心 (TII) 人身保險業資金運用表 </w:t>
      </w:r>
      <w:r w:rsidDel="00000000" w:rsidR="00000000" w:rsidRPr="00000000">
        <w:rPr>
          <w:rFonts w:ascii="Google Sans Text" w:cs="Google Sans Text" w:eastAsia="Google Sans Text" w:hAnsi="Google Sans Text"/>
          <w:i w:val="1"/>
          <w:iCs w:val="1"/>
          <w:color w:val="575b5f"/>
          <w:sz w:val="24"/>
          <w:szCs w:val="24"/>
          <w:vertAlign w:val="superscript"/>
          <w:rtl w:val="0"/>
        </w:rPr>
        <w:t xml:space="preserve">12</w:t>
      </w:r>
      <w:r w:rsidDel="00000000" w:rsidR="00000000" w:rsidRPr="00000000">
        <w:rPr>
          <w:rFonts w:ascii="Google Sans Text" w:cs="Google Sans Text" w:eastAsia="Google Sans Text" w:hAnsi="Google Sans Text"/>
          <w:i w:val="1"/>
          <w:iCs w:val="1"/>
          <w:color w:val="1b1c1d"/>
          <w:sz w:val="24"/>
          <w:szCs w:val="24"/>
          <w:rtl w:val="0"/>
        </w:rPr>
        <w:t xml:space="preserve">。佔率為佔資金總額百分比。2024 年數據截至 7 月底，且未經會計師查核簽證。資金運用率為資金運用總額/資金總額。其他國內投資包含抵繳存出保證金、墊繳保費及附賣回條件債券等。</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此表具體呈現了壽險業各項資產配置的規模與比重變化。最引人注目的是「國外投資」項目的絕對優勢地位，其金額與佔比在 2023 年均有所提升，並在 2024 年前七個月維持高檔。相較之下，國內主要固定收益項目（公債、金融債、公司債）的合計佔比則從 2022 年的 9.62% 下滑至 2023 年的 8.75%，2024 年 7 月底更降至 7.42%，顯示資金持續向海外移動的趨勢。國內股票及受益憑證的佔比則有所增加，可能反映了近年台股表現相對強勢。此表為理解壽險業整體投資策略提供了量化基礎。</w:t>
      </w:r>
    </w:p>
    <w:p w:rsidR="00000000" w:rsidDel="00000000" w:rsidP="00000000" w:rsidRDefault="00000000" w:rsidRPr="00000000" w14:paraId="0000009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4. 深入剖析：壽險業海外債券投資組合</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台灣壽險業的海外投資規模極為龐大。根據金管會保險局的資料，截至 2025 年 2 月底，壽險業的海外投資總金額已高達新台幣 23 兆 2,215 億元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17</w:t>
      </w:r>
      <w:r w:rsidDel="00000000" w:rsidR="00000000" w:rsidRPr="00000000">
        <w:rPr>
          <w:rFonts w:ascii="Google Sans Text" w:cs="Google Sans Text" w:eastAsia="Google Sans Text" w:hAnsi="Google Sans Text"/>
          <w:i w:val="0"/>
          <w:iCs w:val="0"/>
          <w:color w:val="1b1c1d"/>
          <w:sz w:val="24"/>
          <w:szCs w:val="24"/>
          <w:rtl w:val="0"/>
        </w:rPr>
        <w:t xml:space="preserve">。另有媒體報導引用《彭博》數據指出，台灣壽險公司持有的海外資產約達 7,670 億美元（約等值新台幣 23-24 兆元）</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。這筆巨額資金絕大部分投向了固定收益產品，特別是債券。</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4.1 貨幣與區域集中度</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分析顯示，壽險業的海外債券投資高度集中於美元計價資產。研究報告指出，美元計價債券佔國外債券投資的比重可能高達 95%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24"/>
          <w:szCs w:val="24"/>
          <w:rtl w:val="0"/>
        </w:rPr>
        <w:t xml:space="preserve">。這與壽險公司銷售大量美元保單，需要持有相應的美元資產以進行幣別匹配有關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24"/>
          <w:szCs w:val="24"/>
          <w:rtl w:val="0"/>
        </w:rPr>
        <w:t xml:space="preserve">。同時，美國債券市場的深度、廣度及流動性也是吸引台灣壽險資金的主要原因。</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在區域分佈上，北美地區（主要是美國）是絕對的投資重心。根據主要壽險公司（如國泰人壽、富邦人壽）的法人說明會資料，其海外固定收益投資組合中，北美地區的佔比普遍超過 50%，甚至達到 55% 左右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20</w:t>
      </w:r>
      <w:r w:rsidDel="00000000" w:rsidR="00000000" w:rsidRPr="00000000">
        <w:rPr>
          <w:rFonts w:ascii="Google Sans Text" w:cs="Google Sans Text" w:eastAsia="Google Sans Text" w:hAnsi="Google Sans Text"/>
          <w:i w:val="0"/>
          <w:iCs w:val="0"/>
          <w:color w:val="1b1c1d"/>
          <w:sz w:val="24"/>
          <w:szCs w:val="24"/>
          <w:rtl w:val="0"/>
        </w:rPr>
        <w:t xml:space="preserve">。歐洲地區通常位居第二，佔比約在 18% 至 27% 之間，而亞洲及其他地區的佔比則相對較低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20</w:t>
      </w:r>
      <w:r w:rsidDel="00000000" w:rsidR="00000000" w:rsidRPr="00000000">
        <w:rPr>
          <w:rFonts w:ascii="Google Sans Text" w:cs="Google Sans Text" w:eastAsia="Google Sans Text" w:hAnsi="Google Sans Text"/>
          <w:i w:val="0"/>
          <w:iCs w:val="0"/>
          <w:color w:val="1b1c1d"/>
          <w:sz w:val="24"/>
          <w:szCs w:val="24"/>
          <w:rtl w:val="0"/>
        </w:rPr>
        <w:t xml:space="preserve">。這種高度集中於北美市場的情況，一方面反映了美國市場的吸引力，另一方面也可能顯示在其他已開發市場（如歐洲、亞洲部分地區）尋找規模足夠、信評良好且收益率符合需求的投資標的相對困難。</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4.2 債券類型偏好：公司債與金融債為主</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儘管美國公債被視為全球最安全的資產之一，但台灣壽險業在美國的債券配置中，更偏好投資等級的公司債與金融債，而非美國政府公債。多方資料來源證實了這一點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24"/>
          <w:szCs w:val="24"/>
          <w:rtl w:val="0"/>
        </w:rPr>
        <w:t xml:space="preserve">。金融圈主管解釋，許多機構持有的「美元債券」並非美國「公債」，而是美元計價的投資等級公司債、金融債等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23</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金管會主委彭金隆曾指出，壽險業持有的美國政府公債部位約為新台幣 5,750 億元，僅佔其美國總資產（約 9 兆元）的 6.4% 左右，比例不高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iCs w:val="0"/>
          <w:color w:val="1b1c1d"/>
          <w:sz w:val="24"/>
          <w:szCs w:val="24"/>
          <w:rtl w:val="0"/>
        </w:rPr>
        <w:t xml:space="preserve">。富邦人壽的法說會資料也顯示，其海外固定收益組合中，公債佔比僅約 11%，而金融債和公司債合計佔比則高達 86% 以上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21</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這種偏好公司債與金融債的策略，主要是出於追求更高收益的考量。相較於同天期的政府公債，投資等級的公司債與金融債通常能提供額外的信用利差（credit spread），有助於提升整體投資組合的回報率。這對於需要應對早期高利率保單成本以及負擔高昂匯率避險成本的壽險業者而言，至關重要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24"/>
          <w:szCs w:val="24"/>
          <w:rtl w:val="0"/>
        </w:rPr>
        <w:t xml:space="preserve">。然而，這也意味著壽險業的海外債券組合，相較於以公債為主的組合，承擔了更高的信用風險與市場情緒波動風險。</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除了美國公債與公司債，美國機構債（由聯邦國民抵押貸款協會 Fannie Mae、聯邦住宅抵押貸款公司 Freddie Mac 等機構發行或保證的債券）也是壽險業可投資的標的之一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。但目前缺乏公開數據顯示壽險業在此類債券的具體持有規模。</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4.3 信用品質：以投資等級為主</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儘管偏好收益率較高的公司債與金融債，台灣壽險業在海外債券的信用品質選擇上仍以「投資等級」（Investment Grade, 通常指信用評級在 BBB- 或以上）為主。富邦人壽在其法說會上即強調其海外固定收益資產以投資等級公司債及金融債為主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22</w:t>
      </w:r>
      <w:r w:rsidDel="00000000" w:rsidR="00000000" w:rsidRPr="00000000">
        <w:rPr>
          <w:rFonts w:ascii="Google Sans Text" w:cs="Google Sans Text" w:eastAsia="Google Sans Text" w:hAnsi="Google Sans Text"/>
          <w:i w:val="0"/>
          <w:iCs w:val="0"/>
          <w:color w:val="1b1c1d"/>
          <w:sz w:val="24"/>
          <w:szCs w:val="24"/>
          <w:rtl w:val="0"/>
        </w:rPr>
        <w:t xml:space="preserve">。國泰人壽的法說會資料更提供了詳細的信評分佈，顯示其國外債券組合中，A 級以上的佔比極高，整體投資等級債券佔比超過 98%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20</w:t>
      </w:r>
      <w:r w:rsidDel="00000000" w:rsidR="00000000" w:rsidRPr="00000000">
        <w:rPr>
          <w:rFonts w:ascii="Google Sans Text" w:cs="Google Sans Text" w:eastAsia="Google Sans Text" w:hAnsi="Google Sans Text"/>
          <w:i w:val="0"/>
          <w:iCs w:val="0"/>
          <w:color w:val="1b1c1d"/>
          <w:sz w:val="24"/>
          <w:szCs w:val="24"/>
          <w:rtl w:val="0"/>
        </w:rPr>
        <w:t xml:space="preserve">。這顯示業者在追求收益的同時，也高度重視信用風險的控管，避免過度暴露於高風險的非投資等級債券（高收益債）。</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然而，值得注意的是，雖然整體以投資等級為主，但個別公司的信評分佈可能存在差異，且公開揭露的透明度不一。例如，相較於國泰人壽提供的詳細信評分佈，富邦人壽在公開的法說會簡報中則未提供同等細節的信評數據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21</w:t>
      </w:r>
      <w:r w:rsidDel="00000000" w:rsidR="00000000" w:rsidRPr="00000000">
        <w:rPr>
          <w:rFonts w:ascii="Google Sans Text" w:cs="Google Sans Text" w:eastAsia="Google Sans Text" w:hAnsi="Google Sans Text"/>
          <w:i w:val="0"/>
          <w:iCs w:val="0"/>
          <w:color w:val="1b1c1d"/>
          <w:sz w:val="24"/>
          <w:szCs w:val="24"/>
          <w:rtl w:val="0"/>
        </w:rPr>
        <w:t xml:space="preserve">。此外，要取得全行業彙總的、按信評等級分類的海外債券持有數據，目前亦缺乏公開管道。相關法規（如保險業辦理國外投資範圍及內容準則）雖定義了可投資標的之最低信評要求（如 BBB+ 級或相當等級以上）</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25</w:t>
      </w:r>
      <w:r w:rsidDel="00000000" w:rsidR="00000000" w:rsidRPr="00000000">
        <w:rPr>
          <w:rFonts w:ascii="Google Sans Text" w:cs="Google Sans Text" w:eastAsia="Google Sans Text" w:hAnsi="Google Sans Text"/>
          <w:i w:val="0"/>
          <w:iCs w:val="0"/>
          <w:color w:val="1b1c1d"/>
          <w:sz w:val="24"/>
          <w:szCs w:val="24"/>
          <w:rtl w:val="0"/>
        </w:rPr>
        <w:t xml:space="preserve">，但並未提供實際的投資統計數據。</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表 3：推估壽險業海外債券投資組合特徵 (2023 年底 / 2024 年初)</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特徵項目</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估計比例 / 描述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主要資料來源</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總規模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約新台幣 23-24 兆元 / 7,670 億美元</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主要幣別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美元 (估計佔 95% 以上)</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主要區域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北美洲 (估計佔 50-55%+)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i w:val="0"/>
                <w:iCs w:val="0"/>
                <w:color w:val="575b5f"/>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歐洲 (估計佔 18-27%)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i w:val="0"/>
                <w:iCs w:val="0"/>
                <w:color w:val="575b5f"/>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亞洲及其他 (估計佔 &lt;20%)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主要券種</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投資等級公司債與金融債 (估計合計佔 80% 以上)</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i w:val="0"/>
                <w:iCs w:val="0"/>
                <w:color w:val="575b5f"/>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美國政府公債 (估計佔比低，約 6-7% 或更低)</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i w:val="0"/>
                <w:iCs w:val="0"/>
                <w:color w:val="575b5f"/>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美國機構債 (有投資，但佔比不明)</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信用品質</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絕大多數為投資等級 (Investment Grade, BBB- 或以上)</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i w:val="0"/>
                <w:iCs w:val="0"/>
                <w:color w:val="575b5f"/>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其中 A 級以上佔比較高 (依國泰資料推估)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投資目的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主要為獲取長期穩定收益 (利息收入)，而非交易利得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持有天期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偏好長天期債券 (如 20 年期以上)</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p>
        </w:tc>
      </w:tr>
    </w:tbl>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b1c1d"/>
          <w:sz w:val="24"/>
          <w:szCs w:val="24"/>
        </w:rPr>
      </w:pPr>
      <w:r w:rsidDel="00000000" w:rsidR="00000000" w:rsidRPr="00000000">
        <w:rPr>
          <w:rFonts w:ascii="Google Sans Text" w:cs="Google Sans Text" w:eastAsia="Google Sans Text" w:hAnsi="Google Sans Text"/>
          <w:i w:val="1"/>
          <w:iCs w:val="1"/>
          <w:color w:val="1b1c1d"/>
          <w:sz w:val="24"/>
          <w:szCs w:val="24"/>
          <w:rtl w:val="0"/>
        </w:rPr>
        <w:t xml:space="preserve">註：本表數據為綜合各資料來源之推估值，旨在呈現行業普遍特徵，可能與實際精確數據存在差異。特定比例主要參考國泰與富邦之揭露數據。</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此表彙整了目前可得的資訊，勾勒出台灣壽險業海外債券投資組合的典型樣貌：規模巨大、高度集中於美元、以北美地區的投資等級公司債與金融債為核心、追求長期穩定收益。這個結構性的特徵，決定了該行業主要的風險暴露來源，包括美國利率風險、信用風險以及美元兌新台幣的匯率風險。</w:t>
      </w:r>
    </w:p>
    <w:p w:rsidR="00000000" w:rsidDel="00000000" w:rsidP="00000000" w:rsidRDefault="00000000" w:rsidRPr="00000000" w14:paraId="000000D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5. 主要業者分析：國泰人壽與富邦人壽</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國泰人壽與富邦人壽是台灣壽險市場的兩大龍頭，其投資策略與績效對整體行業具有指標意義。透過分析其公開揭露的法人說明會資料及年報，可以更深入地了解其海外債券的佈局與管理方式。</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5.1 國泰人壽</w:t>
      </w:r>
    </w:p>
    <w:p w:rsidR="00000000" w:rsidDel="00000000" w:rsidP="00000000" w:rsidRDefault="00000000" w:rsidRPr="00000000" w14:paraId="000000D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投資組合規模與結構</w:t>
      </w:r>
      <w:r w:rsidDel="00000000" w:rsidR="00000000" w:rsidRPr="00000000">
        <w:rPr>
          <w:rFonts w:ascii="Google Sans Text" w:cs="Google Sans Text" w:eastAsia="Google Sans Text" w:hAnsi="Google Sans Text"/>
          <w:i w:val="0"/>
          <w:iCs w:val="0"/>
          <w:color w:val="1b1c1d"/>
          <w:sz w:val="24"/>
          <w:szCs w:val="24"/>
          <w:rtl w:val="0"/>
        </w:rPr>
        <w:t xml:space="preserve">：國泰人壽的海外債券部位是其總投資資產的核心。根據 2022 年第一季的法說會資料，海外債券約佔其投資資產的 59.9%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24"/>
          <w:szCs w:val="24"/>
          <w:rtl w:val="0"/>
        </w:rPr>
        <w:t xml:space="preserve">。近年來此比例大致維持在 60% 附近。截至 2024 年底的法說會資料顯示，國外固定收益投資金額約為新台幣 4.95 兆元，與 2023 年底持平，但高於 2022 年底的 4.72 兆元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20</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D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區域與信評分佈</w:t>
      </w:r>
      <w:r w:rsidDel="00000000" w:rsidR="00000000" w:rsidRPr="00000000">
        <w:rPr>
          <w:rFonts w:ascii="Google Sans Text" w:cs="Google Sans Text" w:eastAsia="Google Sans Text" w:hAnsi="Google Sans Text"/>
          <w:i w:val="0"/>
          <w:iCs w:val="0"/>
          <w:color w:val="1b1c1d"/>
          <w:sz w:val="24"/>
          <w:szCs w:val="24"/>
          <w:rtl w:val="0"/>
        </w:rPr>
        <w:t xml:space="preserve">：在區域配置上，國泰人壽近年略微提高了北美地區的比重，從 2022 年的 50% 增至 2024 年的 52%；歐洲與亞太地區則略有下降，分別來到 18% 與 17%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20</w:t>
      </w:r>
      <w:r w:rsidDel="00000000" w:rsidR="00000000" w:rsidRPr="00000000">
        <w:rPr>
          <w:rFonts w:ascii="Google Sans Text" w:cs="Google Sans Text" w:eastAsia="Google Sans Text" w:hAnsi="Google Sans Text"/>
          <w:i w:val="0"/>
          <w:iCs w:val="0"/>
          <w:color w:val="1b1c1d"/>
          <w:sz w:val="24"/>
          <w:szCs w:val="24"/>
          <w:rtl w:val="0"/>
        </w:rPr>
        <w:t xml:space="preserve">。在信用評級方面，國泰人壽的揭露相對透明。2024 年資料顯示其海外債券組合中，AAA 級佔 52%，AA 級佔 17%，A 級佔 18%，BBB 級佔 13%，顯示其絕大部分資產配置於高信評的投資等級債券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20</w:t>
      </w:r>
      <w:r w:rsidDel="00000000" w:rsidR="00000000" w:rsidRPr="00000000">
        <w:rPr>
          <w:rFonts w:ascii="Google Sans Text" w:cs="Google Sans Text" w:eastAsia="Google Sans Text" w:hAnsi="Google Sans Text"/>
          <w:i w:val="0"/>
          <w:iCs w:val="0"/>
          <w:color w:val="1b1c1d"/>
          <w:sz w:val="24"/>
          <w:szCs w:val="24"/>
          <w:rtl w:val="0"/>
        </w:rPr>
        <w:t xml:space="preserve">。2022 年 Q1 的數據也顯示投資等級債券佔比高達 98%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27</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D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近期投資動向與策略</w:t>
      </w:r>
      <w:r w:rsidDel="00000000" w:rsidR="00000000" w:rsidRPr="00000000">
        <w:rPr>
          <w:rFonts w:ascii="Google Sans Text" w:cs="Google Sans Text" w:eastAsia="Google Sans Text" w:hAnsi="Google Sans Text"/>
          <w:i w:val="0"/>
          <w:iCs w:val="0"/>
          <w:color w:val="1b1c1d"/>
          <w:sz w:val="24"/>
          <w:szCs w:val="24"/>
          <w:rtl w:val="0"/>
        </w:rPr>
        <w:t xml:space="preserve">：國泰人壽在 2023 年加碼了海外債券 2,340 億元，但在 2024 年則維持部位穩定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20</w:t>
      </w:r>
      <w:r w:rsidDel="00000000" w:rsidR="00000000" w:rsidRPr="00000000">
        <w:rPr>
          <w:rFonts w:ascii="Google Sans Text" w:cs="Google Sans Text" w:eastAsia="Google Sans Text" w:hAnsi="Google Sans Text"/>
          <w:i w:val="0"/>
          <w:iCs w:val="0"/>
          <w:color w:val="1b1c1d"/>
          <w:sz w:val="24"/>
          <w:szCs w:val="24"/>
          <w:rtl w:val="0"/>
        </w:rPr>
        <w:t xml:space="preserve">。近期（如 2024 年）則有增加國內債券部位的動作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30</w:t>
      </w:r>
      <w:r w:rsidDel="00000000" w:rsidR="00000000" w:rsidRPr="00000000">
        <w:rPr>
          <w:rFonts w:ascii="Google Sans Text" w:cs="Google Sans Text" w:eastAsia="Google Sans Text" w:hAnsi="Google Sans Text"/>
          <w:i w:val="0"/>
          <w:iCs w:val="0"/>
          <w:color w:val="1b1c1d"/>
          <w:sz w:val="24"/>
          <w:szCs w:val="24"/>
          <w:rtl w:val="0"/>
        </w:rPr>
        <w:t xml:space="preserve">。公司強調，債券投資以資產負債管理（ALM）為主要考量，特別是為了接軌 IFRS 17，目標是獲取穩定的經常性收益，而非追求資本利得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30</w:t>
      </w:r>
      <w:r w:rsidDel="00000000" w:rsidR="00000000" w:rsidRPr="00000000">
        <w:rPr>
          <w:rFonts w:ascii="Google Sans Text" w:cs="Google Sans Text" w:eastAsia="Google Sans Text" w:hAnsi="Google Sans Text"/>
          <w:i w:val="0"/>
          <w:iCs w:val="0"/>
          <w:color w:val="1b1c1d"/>
          <w:sz w:val="24"/>
          <w:szCs w:val="24"/>
          <w:rtl w:val="0"/>
        </w:rPr>
        <w:t xml:space="preserve">。其海外債券的避險前投資收益率在 2022 至 2024 年間穩定維持在 3.8%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20</w:t>
      </w:r>
      <w:r w:rsidDel="00000000" w:rsidR="00000000" w:rsidRPr="00000000">
        <w:rPr>
          <w:rFonts w:ascii="Google Sans Text" w:cs="Google Sans Text" w:eastAsia="Google Sans Text" w:hAnsi="Google Sans Text"/>
          <w:i w:val="0"/>
          <w:iCs w:val="0"/>
          <w:color w:val="1b1c1d"/>
          <w:sz w:val="24"/>
          <w:szCs w:val="24"/>
          <w:rtl w:val="0"/>
        </w:rPr>
        <w:t xml:space="preserve">。此外，國泰人壽也積極佈局國內外股市以實現資本利得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30</w:t>
      </w:r>
      <w:r w:rsidDel="00000000" w:rsidR="00000000" w:rsidRPr="00000000">
        <w:rPr>
          <w:rFonts w:ascii="Google Sans Text" w:cs="Google Sans Text" w:eastAsia="Google Sans Text" w:hAnsi="Google Sans Text"/>
          <w:i w:val="0"/>
          <w:iCs w:val="0"/>
          <w:color w:val="1b1c1d"/>
          <w:sz w:val="24"/>
          <w:szCs w:val="24"/>
          <w:rtl w:val="0"/>
        </w:rPr>
        <w:t xml:space="preserve">。公司亦強調風險控管、永續投資（ESG）及客戶為本的策略方向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20</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表 4：國泰人壽海外固定收益投資組合概況 (根據 2024 財年底法說會資料)</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項目</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數據 / 描述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資料來源</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總金額 (NT$ 十億元)</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4,952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佔總投資資產比例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約 60% (參考歷史數據)</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區域分佈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北美洲</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i w:val="0"/>
                <w:iCs w:val="0"/>
                <w:color w:val="1b1c1d"/>
                <w:sz w:val="20"/>
                <w:szCs w:val="20"/>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歐洲</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i w:val="0"/>
                <w:iCs w:val="0"/>
                <w:color w:val="1b1c1d"/>
                <w:sz w:val="20"/>
                <w:szCs w:val="20"/>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亞太區域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i w:val="0"/>
                <w:iCs w:val="0"/>
                <w:color w:val="1b1c1d"/>
                <w:sz w:val="20"/>
                <w:szCs w:val="20"/>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其他</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i w:val="0"/>
                <w:iCs w:val="0"/>
                <w:color w:val="1b1c1d"/>
                <w:sz w:val="20"/>
                <w:szCs w:val="20"/>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資產類型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主要為投資等級債券 (公司債/金融債為主，推估)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信用評級分佈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AAA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i w:val="0"/>
                <w:iCs w:val="0"/>
                <w:color w:val="1b1c1d"/>
                <w:sz w:val="20"/>
                <w:szCs w:val="20"/>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i w:val="0"/>
                <w:iCs w:val="0"/>
                <w:color w:val="1b1c1d"/>
                <w:sz w:val="20"/>
                <w:szCs w:val="20"/>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i w:val="0"/>
                <w:iCs w:val="0"/>
                <w:color w:val="1b1c1d"/>
                <w:sz w:val="20"/>
                <w:szCs w:val="20"/>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BBB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i w:val="0"/>
                <w:iCs w:val="0"/>
                <w:color w:val="1b1c1d"/>
                <w:sz w:val="20"/>
                <w:szCs w:val="20"/>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避險前投資收益率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主要策略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ALM 導向、獲取經常性收益、風險控管、接軌 IFRS 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30</w:t>
            </w:r>
          </w:p>
        </w:tc>
      </w:tr>
    </w:tbl>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5.2 富邦人壽</w:t>
      </w:r>
    </w:p>
    <w:p w:rsidR="00000000" w:rsidDel="00000000" w:rsidP="00000000" w:rsidRDefault="00000000" w:rsidRPr="00000000" w14:paraId="0000010D">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投資組合規模與結構</w:t>
      </w:r>
      <w:r w:rsidDel="00000000" w:rsidR="00000000" w:rsidRPr="00000000">
        <w:rPr>
          <w:rFonts w:ascii="Google Sans Text" w:cs="Google Sans Text" w:eastAsia="Google Sans Text" w:hAnsi="Google Sans Text"/>
          <w:i w:val="0"/>
          <w:iCs w:val="0"/>
          <w:color w:val="1b1c1d"/>
          <w:sz w:val="24"/>
          <w:szCs w:val="24"/>
          <w:rtl w:val="0"/>
        </w:rPr>
        <w:t xml:space="preserve">：富邦人壽的總投資資產在 2024 年底已達新台幣 5.176 兆元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35</w:t>
      </w:r>
      <w:r w:rsidDel="00000000" w:rsidR="00000000" w:rsidRPr="00000000">
        <w:rPr>
          <w:rFonts w:ascii="Google Sans Text" w:cs="Google Sans Text" w:eastAsia="Google Sans Text" w:hAnsi="Google Sans Text"/>
          <w:i w:val="0"/>
          <w:iCs w:val="0"/>
          <w:color w:val="1b1c1d"/>
          <w:sz w:val="24"/>
          <w:szCs w:val="24"/>
          <w:rtl w:val="0"/>
        </w:rPr>
        <w:t xml:space="preserve">。根據 2024 年第一季法說會資料，其國外債券部位約為新台幣 2.73 兆元，佔當時總投資資產（約 4.82 兆元）的 56.7%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21</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0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區域與券種分佈</w:t>
      </w:r>
      <w:r w:rsidDel="00000000" w:rsidR="00000000" w:rsidRPr="00000000">
        <w:rPr>
          <w:rFonts w:ascii="Google Sans Text" w:cs="Google Sans Text" w:eastAsia="Google Sans Text" w:hAnsi="Google Sans Text"/>
          <w:i w:val="0"/>
          <w:iCs w:val="0"/>
          <w:color w:val="1b1c1d"/>
          <w:sz w:val="24"/>
          <w:szCs w:val="24"/>
          <w:rtl w:val="0"/>
        </w:rPr>
        <w:t xml:space="preserve">：富邦人壽的海外固定收益投資同樣高度集中於北美（約 55%）和歐洲（約 26-27%），此區域配置在 2023 年至 2024 年初保持相對穩定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21</w:t>
      </w:r>
      <w:r w:rsidDel="00000000" w:rsidR="00000000" w:rsidRPr="00000000">
        <w:rPr>
          <w:rFonts w:ascii="Google Sans Text" w:cs="Google Sans Text" w:eastAsia="Google Sans Text" w:hAnsi="Google Sans Text"/>
          <w:i w:val="0"/>
          <w:iCs w:val="0"/>
          <w:color w:val="1b1c1d"/>
          <w:sz w:val="24"/>
          <w:szCs w:val="24"/>
          <w:rtl w:val="0"/>
        </w:rPr>
        <w:t xml:space="preserve">。在債券類型上，明確以金融債（約 53%）和公司債（約 33-34%）為主，政府公債佔比較低（約 11%）</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21</w:t>
      </w:r>
      <w:r w:rsidDel="00000000" w:rsidR="00000000" w:rsidRPr="00000000">
        <w:rPr>
          <w:rFonts w:ascii="Google Sans Text" w:cs="Google Sans Text" w:eastAsia="Google Sans Text" w:hAnsi="Google Sans Text"/>
          <w:i w:val="0"/>
          <w:iCs w:val="0"/>
          <w:color w:val="1b1c1d"/>
          <w:sz w:val="24"/>
          <w:szCs w:val="24"/>
          <w:rtl w:val="0"/>
        </w:rPr>
        <w:t xml:space="preserve">。此結構顯示其追求信用利差的策略意圖。</w:t>
      </w:r>
    </w:p>
    <w:p w:rsidR="00000000" w:rsidDel="00000000" w:rsidP="00000000" w:rsidRDefault="00000000" w:rsidRPr="00000000" w14:paraId="0000010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信用評級與策略</w:t>
      </w:r>
      <w:r w:rsidDel="00000000" w:rsidR="00000000" w:rsidRPr="00000000">
        <w:rPr>
          <w:rFonts w:ascii="Google Sans Text" w:cs="Google Sans Text" w:eastAsia="Google Sans Text" w:hAnsi="Google Sans Text"/>
          <w:i w:val="0"/>
          <w:iCs w:val="0"/>
          <w:color w:val="1b1c1d"/>
          <w:sz w:val="24"/>
          <w:szCs w:val="24"/>
          <w:rtl w:val="0"/>
        </w:rPr>
        <w:t xml:space="preserve">：富邦人壽強調其海外固定收益資產以「投資等級」公司債及金融債為主，且主要佈局於北美地區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22</w:t>
      </w:r>
      <w:r w:rsidDel="00000000" w:rsidR="00000000" w:rsidRPr="00000000">
        <w:rPr>
          <w:rFonts w:ascii="Google Sans Text" w:cs="Google Sans Text" w:eastAsia="Google Sans Text" w:hAnsi="Google Sans Text"/>
          <w:i w:val="0"/>
          <w:iCs w:val="0"/>
          <w:color w:val="1b1c1d"/>
          <w:sz w:val="24"/>
          <w:szCs w:val="24"/>
          <w:rtl w:val="0"/>
        </w:rPr>
        <w:t xml:space="preserve">。然而，在其公開的法說會簡報中，並未提供如國泰人壽般詳細的 A、BBB 等級的信評分佈數據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21</w:t>
      </w:r>
      <w:r w:rsidDel="00000000" w:rsidR="00000000" w:rsidRPr="00000000">
        <w:rPr>
          <w:rFonts w:ascii="Google Sans Text" w:cs="Google Sans Text" w:eastAsia="Google Sans Text" w:hAnsi="Google Sans Text"/>
          <w:i w:val="0"/>
          <w:iCs w:val="0"/>
          <w:color w:val="1b1c1d"/>
          <w:sz w:val="24"/>
          <w:szCs w:val="24"/>
          <w:rtl w:val="0"/>
        </w:rPr>
        <w:t xml:space="preserve">。其 2023 年年報提供了依地區別的信用風險曝險金額，但未直接對應海外固定收益的信評分佈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29</w:t>
      </w:r>
      <w:r w:rsidDel="00000000" w:rsidR="00000000" w:rsidRPr="00000000">
        <w:rPr>
          <w:rFonts w:ascii="Google Sans Text" w:cs="Google Sans Text" w:eastAsia="Google Sans Text" w:hAnsi="Google Sans Text"/>
          <w:i w:val="0"/>
          <w:iCs w:val="0"/>
          <w:color w:val="1b1c1d"/>
          <w:sz w:val="24"/>
          <w:szCs w:val="24"/>
          <w:rtl w:val="0"/>
        </w:rPr>
        <w:t xml:space="preserve">。富邦人壽的投資策略側重於提升經常性收益、管理避險成本、強化自有通路以銷售高價值保單（CSM），並為接軌 IFRS 17 做準備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21</w:t>
      </w:r>
      <w:r w:rsidDel="00000000" w:rsidR="00000000" w:rsidRPr="00000000">
        <w:rPr>
          <w:rFonts w:ascii="Google Sans Text" w:cs="Google Sans Text" w:eastAsia="Google Sans Text" w:hAnsi="Google Sans Text"/>
          <w:i w:val="0"/>
          <w:iCs w:val="0"/>
          <w:color w:val="1b1c1d"/>
          <w:sz w:val="24"/>
          <w:szCs w:val="24"/>
          <w:rtl w:val="0"/>
        </w:rPr>
        <w:t xml:space="preserve">。與國泰相似，富邦人壽近年也在股票市場實現了可觀的資本利得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21</w:t>
      </w:r>
      <w:r w:rsidDel="00000000" w:rsidR="00000000" w:rsidRPr="00000000">
        <w:rPr>
          <w:rFonts w:ascii="Google Sans Text" w:cs="Google Sans Text" w:eastAsia="Google Sans Text" w:hAnsi="Google Sans Text"/>
          <w:i w:val="0"/>
          <w:iCs w:val="0"/>
          <w:color w:val="1b1c1d"/>
          <w:sz w:val="24"/>
          <w:szCs w:val="24"/>
          <w:rtl w:val="0"/>
        </w:rPr>
        <w:t xml:space="preserve">，顯示其債券部位可能更側重於穩定的息收貢獻。</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表 5：富邦人壽海外固定收益投資組合概況 (根據 2024 年第一季法說會資料)</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項目</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數據 / 描述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資料來源</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總金額 (NT$ 十億元)</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2,732.7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佔總投資資產比例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56.7%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區域分佈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北美洲</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55.2%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i w:val="0"/>
                <w:iCs w:val="0"/>
                <w:color w:val="1b1c1d"/>
                <w:sz w:val="20"/>
                <w:szCs w:val="20"/>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歐洲</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26.7%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i w:val="0"/>
                <w:iCs w:val="0"/>
                <w:color w:val="1b1c1d"/>
                <w:sz w:val="20"/>
                <w:szCs w:val="20"/>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亞洲及其他</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18.1%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i w:val="0"/>
                <w:iCs w:val="0"/>
                <w:color w:val="1b1c1d"/>
                <w:sz w:val="20"/>
                <w:szCs w:val="20"/>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資產類型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金融債</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i w:val="0"/>
                <w:iCs w:val="0"/>
                <w:color w:val="1b1c1d"/>
                <w:sz w:val="20"/>
                <w:szCs w:val="20"/>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公司債</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33.9%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i w:val="0"/>
                <w:iCs w:val="0"/>
                <w:color w:val="1b1c1d"/>
                <w:sz w:val="20"/>
                <w:szCs w:val="20"/>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公債</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i w:val="0"/>
                <w:iCs w:val="0"/>
                <w:color w:val="1b1c1d"/>
                <w:sz w:val="20"/>
                <w:szCs w:val="20"/>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其他</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i w:val="0"/>
                <w:iCs w:val="0"/>
                <w:color w:val="1b1c1d"/>
                <w:sz w:val="20"/>
                <w:szCs w:val="20"/>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信用評級分佈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未提供詳細分佈 (聲明以投資等級為主)</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避險前投資收益率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3.91%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主要策略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投資等級、北美為主、提升經常性收益、風險管理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21</w:t>
            </w:r>
          </w:p>
        </w:tc>
      </w:tr>
    </w:tbl>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5.3 比較分析</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比較兩大壽險公司的策略，可以發現高度的相似性。兩者均將超過半數的資產佈局於海外固定收益，且都高度集中於北美市場的投資等級金融債與公司債。這反映了台灣大型壽險業者在追求收益、分散風險及符合法規要求下面臨的共同市場環境與限制。國泰人壽在資訊揭露上（特別是信評分佈）相對更為透明。兩家公司近年都積極透過股票投資實現資本利得，這可能意味著其龐大的債券部位在策略上更側重於提供穩定的經常性收入，以匹配保單負債，並為即將到來的 IFRS 17/ICS 制度變革做準備。這種將債券視為長期持有以獲取息收（而非交易）的定位，也解釋了為何即使債券市場價格波動劇烈，對公司「實際」損益影響相對有限（主要影響帳面淨值）</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4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6. 策略要務：駕馭海外債券投資的挑戰</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台灣壽險業鉅額的海外債券投資，雖是因應國內市場限制、追求收益的必要之舉，但也伴隨著複雜的策略挑戰與風險。業者必須在多重目標與限制下審慎前行。</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6.1 核心驅動力</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驅動壽險業大舉投資海外債券的主要因素包括：</w:t>
      </w:r>
    </w:p>
    <w:p w:rsidR="00000000" w:rsidDel="00000000" w:rsidP="00000000" w:rsidRDefault="00000000" w:rsidRPr="00000000" w14:paraId="00000145">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收益增強 (Yield Enhancement)</w:t>
      </w:r>
      <w:r w:rsidDel="00000000" w:rsidR="00000000" w:rsidRPr="00000000">
        <w:rPr>
          <w:rFonts w:ascii="Google Sans Text" w:cs="Google Sans Text" w:eastAsia="Google Sans Text" w:hAnsi="Google Sans Text"/>
          <w:i w:val="0"/>
          <w:iCs w:val="0"/>
          <w:color w:val="1b1c1d"/>
          <w:sz w:val="24"/>
          <w:szCs w:val="24"/>
          <w:rtl w:val="0"/>
        </w:rPr>
        <w:t xml:space="preserve">：國內長期低利率環境使得本地固定收益工具的回報難以滿足壽險業需求，迫使業者轉向收益率相對較高的海外市場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4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分散風險 (Diversification)</w:t>
      </w:r>
      <w:r w:rsidDel="00000000" w:rsidR="00000000" w:rsidRPr="00000000">
        <w:rPr>
          <w:rFonts w:ascii="Google Sans Text" w:cs="Google Sans Text" w:eastAsia="Google Sans Text" w:hAnsi="Google Sans Text"/>
          <w:i w:val="0"/>
          <w:iCs w:val="0"/>
          <w:color w:val="1b1c1d"/>
          <w:sz w:val="24"/>
          <w:szCs w:val="24"/>
          <w:rtl w:val="0"/>
        </w:rPr>
        <w:t xml:space="preserve">：透過投資於不同國家、地區及產業的債券，理論上可以分散單一市場風險。</w:t>
      </w:r>
    </w:p>
    <w:p w:rsidR="00000000" w:rsidDel="00000000" w:rsidP="00000000" w:rsidRDefault="00000000" w:rsidRPr="00000000" w14:paraId="00000147">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資產負債匹配 (Asset-Liability Management, ALM)</w:t>
      </w:r>
      <w:r w:rsidDel="00000000" w:rsidR="00000000" w:rsidRPr="00000000">
        <w:rPr>
          <w:rFonts w:ascii="Google Sans Text" w:cs="Google Sans Text" w:eastAsia="Google Sans Text" w:hAnsi="Google Sans Text"/>
          <w:i w:val="0"/>
          <w:iCs w:val="0"/>
          <w:color w:val="1b1c1d"/>
          <w:sz w:val="24"/>
          <w:szCs w:val="24"/>
          <w:rtl w:val="0"/>
        </w:rPr>
        <w:t xml:space="preserve">：隨著美元保單銷售增加，持有相應的美元資產有助於降低貨幣錯配風險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6.2 面臨的主要挑戰</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然而，龐大的海外部位使壽險業暴露於多重風險之中：</w:t>
      </w:r>
    </w:p>
    <w:p w:rsidR="00000000" w:rsidDel="00000000" w:rsidP="00000000" w:rsidRDefault="00000000" w:rsidRPr="00000000" w14:paraId="0000014A">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匯率風險與避險成本 (FX Risk &amp; Hedging Costs)</w:t>
      </w:r>
      <w:r w:rsidDel="00000000" w:rsidR="00000000" w:rsidRPr="00000000">
        <w:rPr>
          <w:rFonts w:ascii="Google Sans Text" w:cs="Google Sans Text" w:eastAsia="Google Sans Text" w:hAnsi="Google Sans Text"/>
          <w:i w:val="0"/>
          <w:iCs w:val="0"/>
          <w:color w:val="1b1c1d"/>
          <w:sz w:val="24"/>
          <w:szCs w:val="24"/>
          <w:rtl w:val="0"/>
        </w:rPr>
        <w:t xml:space="preserve">：這是最核心的挑戰。持有高達 7,670 億美元的海外資產，意味著對美元兌新台幣匯率的巨大曝險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。新台幣的升值將直接侵蝕以新台幣計價的財報表現。雖然業者會進行匯率避險，但避險工具（如換匯交易 CS、無本金交割遠期外匯 NDF）成本高昂，尤其在台美利差縮小或市場預期新台幣升值時，避險成本可能大幅上升，嚴重影響淨投資收益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。據報導，避險成本甚至可達每百萬美元 45 萬台幣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19</w:t>
      </w:r>
      <w:r w:rsidDel="00000000" w:rsidR="00000000" w:rsidRPr="00000000">
        <w:rPr>
          <w:rFonts w:ascii="Google Sans Text" w:cs="Google Sans Text" w:eastAsia="Google Sans Text" w:hAnsi="Google Sans Text"/>
          <w:i w:val="0"/>
          <w:iCs w:val="0"/>
          <w:color w:val="1b1c1d"/>
          <w:sz w:val="24"/>
          <w:szCs w:val="24"/>
          <w:rtl w:val="0"/>
        </w:rPr>
        <w:t xml:space="preserve">。由於成本考量，業者往往無法或選擇不對所有海外部位進行完全避險，導致仍有相當部分的匯率風險敞口（2017 年時約有 26% 未避險）</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。這種巨大的未避險部位，甚至引發了市場對於台灣可能遭受類似英國、香港的「禿鷹」投機性攻擊的擔憂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。金管會設立的「外匯價格變動準備金」機制，允許業者在匯率有利時提存、不利時沖抵，以平滑損益波動，降低短期避險壓力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24"/>
          <w:szCs w:val="24"/>
          <w:rtl w:val="0"/>
        </w:rPr>
        <w:t xml:space="preserve">。然而，此準備金規模有限，僅能提供會計上的緩衝，無法消除潛在的經濟損失，若面臨長期、大幅度的新台幣升值，其效果將受到考驗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4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利率風險 (Interest Rate Risk)</w:t>
      </w:r>
      <w:r w:rsidDel="00000000" w:rsidR="00000000" w:rsidRPr="00000000">
        <w:rPr>
          <w:rFonts w:ascii="Google Sans Text" w:cs="Google Sans Text" w:eastAsia="Google Sans Text" w:hAnsi="Google Sans Text"/>
          <w:i w:val="0"/>
          <w:iCs w:val="0"/>
          <w:color w:val="1b1c1d"/>
          <w:sz w:val="24"/>
          <w:szCs w:val="24"/>
          <w:rtl w:val="0"/>
        </w:rPr>
        <w:t xml:space="preserve">：壽險業持有大量長天期固定收益債券，對利率變動極為敏感。美國利率上升會導致債券價格下跌，衝擊以公允價值衡量的資產價值及淨值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。反之，利率下降雖有利於債券價格，但會帶來「再投資風險」，即到期或贖回的本金難以找到收益率相當的新標的，影響未來的經常性收益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37</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4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信用風險 (Credit Risk)</w:t>
      </w:r>
      <w:r w:rsidDel="00000000" w:rsidR="00000000" w:rsidRPr="00000000">
        <w:rPr>
          <w:rFonts w:ascii="Google Sans Text" w:cs="Google Sans Text" w:eastAsia="Google Sans Text" w:hAnsi="Google Sans Text"/>
          <w:i w:val="0"/>
          <w:iCs w:val="0"/>
          <w:color w:val="1b1c1d"/>
          <w:sz w:val="24"/>
          <w:szCs w:val="24"/>
          <w:rtl w:val="0"/>
        </w:rPr>
        <w:t xml:space="preserve">：雖然壽險業主要投資於投資等級債券，但相較於政府公債，公司債與金融債仍具有較高的違約風險，尤其是在經濟下行週期。業者需持續監控持債企業的信用狀況。</w:t>
      </w:r>
    </w:p>
    <w:p w:rsidR="00000000" w:rsidDel="00000000" w:rsidP="00000000" w:rsidRDefault="00000000" w:rsidRPr="00000000" w14:paraId="0000014D">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監管環境 (Regulatory Environment)</w:t>
      </w:r>
      <w:r w:rsidDel="00000000" w:rsidR="00000000" w:rsidRPr="00000000">
        <w:rPr>
          <w:rFonts w:ascii="Google Sans Text" w:cs="Google Sans Text" w:eastAsia="Google Sans Text" w:hAnsi="Google Sans Text"/>
          <w:i w:val="0"/>
          <w:iCs w:val="0"/>
          <w:color w:val="1b1c1d"/>
          <w:sz w:val="24"/>
          <w:szCs w:val="24"/>
          <w:rtl w:val="0"/>
        </w:rPr>
        <w:t xml:space="preserve">：保險業的國外投資受到法定上限（目前為資金的 45%，符合特定條件可申請提高）的規範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24"/>
          <w:szCs w:val="24"/>
          <w:rtl w:val="0"/>
        </w:rPr>
        <w:t xml:space="preserve">。此外，資本適足率（RBC）的要求也限制了風險性資產的持有。近年主管機關亦鼓勵保險資金增加國內投資，支持基礎建設與重點產業發展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iCs w:val="0"/>
          <w:color w:val="1b1c1d"/>
          <w:sz w:val="24"/>
          <w:szCs w:val="24"/>
          <w:rtl w:val="0"/>
        </w:rPr>
        <w:t xml:space="preserve">，這可能在未來對業者的資產配置策略產生引導作用。</w:t>
      </w:r>
    </w:p>
    <w:p w:rsidR="00000000" w:rsidDel="00000000" w:rsidP="00000000" w:rsidRDefault="00000000" w:rsidRPr="00000000" w14:paraId="0000014E">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IFRS 17 與 ICS 接軌 (Transition to IFRS 17 &amp; ICS)</w:t>
      </w:r>
      <w:r w:rsidDel="00000000" w:rsidR="00000000" w:rsidRPr="00000000">
        <w:rPr>
          <w:rFonts w:ascii="Google Sans Text" w:cs="Google Sans Text" w:eastAsia="Google Sans Text" w:hAnsi="Google Sans Text"/>
          <w:i w:val="0"/>
          <w:iCs w:val="0"/>
          <w:color w:val="1b1c1d"/>
          <w:sz w:val="24"/>
          <w:szCs w:val="24"/>
          <w:rtl w:val="0"/>
        </w:rPr>
        <w:t xml:space="preserve">：預計於 2026 年實施的新會計準則與資本標準，將是近年來影響最深遠的變革。IFRS 17 要求負債以市場利率進行公允價值衡量，使得負債價值對利率變動的敏感度大增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24"/>
          <w:szCs w:val="24"/>
          <w:rtl w:val="0"/>
        </w:rPr>
        <w:t xml:space="preserve">。ICS 則是以風險為基礎的資本要求，不同資產類別和風險因子將有不同的資本計提標準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24"/>
          <w:szCs w:val="24"/>
          <w:rtl w:val="0"/>
        </w:rPr>
        <w:t xml:space="preserve">。這兩項變革將迫使壽險公司更精確地進行資產負債匹配（ALM），以管理淨值和損益的波動性，並可能影響其對長天期固定收益資產、風險性資產的偏好，以及避險策略的運用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6.3 風險管理實務</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面對上述挑戰，壽險業者已發展出一套風險管理機制：</w:t>
      </w:r>
    </w:p>
    <w:p w:rsidR="00000000" w:rsidDel="00000000" w:rsidP="00000000" w:rsidRDefault="00000000" w:rsidRPr="00000000" w14:paraId="00000151">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多元避險策略</w:t>
      </w:r>
      <w:r w:rsidDel="00000000" w:rsidR="00000000" w:rsidRPr="00000000">
        <w:rPr>
          <w:rFonts w:ascii="Google Sans Text" w:cs="Google Sans Text" w:eastAsia="Google Sans Text" w:hAnsi="Google Sans Text"/>
          <w:i w:val="0"/>
          <w:iCs w:val="0"/>
          <w:color w:val="1b1c1d"/>
          <w:sz w:val="24"/>
          <w:szCs w:val="24"/>
          <w:rtl w:val="0"/>
        </w:rPr>
        <w:t xml:space="preserve">：綜合運用遠期外匯、換匯交易、無本金交割遠期外匯（NDF）等傳統避險工具，搭配外匯價格變動準備金的彈性調節機制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24"/>
          <w:szCs w:val="24"/>
          <w:rtl w:val="0"/>
        </w:rPr>
        <w:t xml:space="preserve">。同時，增加發行外幣保單，從負債端進行自然避險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52">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資產品質控管</w:t>
      </w:r>
      <w:r w:rsidDel="00000000" w:rsidR="00000000" w:rsidRPr="00000000">
        <w:rPr>
          <w:rFonts w:ascii="Google Sans Text" w:cs="Google Sans Text" w:eastAsia="Google Sans Text" w:hAnsi="Google Sans Text"/>
          <w:i w:val="0"/>
          <w:iCs w:val="0"/>
          <w:color w:val="1b1c1d"/>
          <w:sz w:val="24"/>
          <w:szCs w:val="24"/>
          <w:rtl w:val="0"/>
        </w:rPr>
        <w:t xml:space="preserve">：專注於投資等級債券，並偏好長天期債券以匹配負債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53">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投資組合管理</w:t>
      </w:r>
      <w:r w:rsidDel="00000000" w:rsidR="00000000" w:rsidRPr="00000000">
        <w:rPr>
          <w:rFonts w:ascii="Google Sans Text" w:cs="Google Sans Text" w:eastAsia="Google Sans Text" w:hAnsi="Google Sans Text"/>
          <w:i w:val="0"/>
          <w:iCs w:val="0"/>
          <w:color w:val="1b1c1d"/>
          <w:sz w:val="24"/>
          <w:szCs w:val="24"/>
          <w:rtl w:val="0"/>
        </w:rPr>
        <w:t xml:space="preserve">：透過分散投資區域與產業來降低集中度風險（儘管實際效果有限，仍高度集中北美）</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27</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54">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流動性管理</w:t>
      </w:r>
      <w:r w:rsidDel="00000000" w:rsidR="00000000" w:rsidRPr="00000000">
        <w:rPr>
          <w:rFonts w:ascii="Google Sans Text" w:cs="Google Sans Text" w:eastAsia="Google Sans Text" w:hAnsi="Google Sans Text"/>
          <w:i w:val="0"/>
          <w:iCs w:val="0"/>
          <w:color w:val="1b1c1d"/>
          <w:sz w:val="24"/>
          <w:szCs w:val="24"/>
          <w:rtl w:val="0"/>
        </w:rPr>
        <w:t xml:space="preserve">：維持適度的現金或高流動性資產，以應對市場波動或突發的資金需求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37</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55">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利率風險管理</w:t>
      </w:r>
      <w:r w:rsidDel="00000000" w:rsidR="00000000" w:rsidRPr="00000000">
        <w:rPr>
          <w:rFonts w:ascii="Google Sans Text" w:cs="Google Sans Text" w:eastAsia="Google Sans Text" w:hAnsi="Google Sans Text"/>
          <w:i w:val="0"/>
          <w:iCs w:val="0"/>
          <w:color w:val="1b1c1d"/>
          <w:sz w:val="24"/>
          <w:szCs w:val="24"/>
          <w:rtl w:val="0"/>
        </w:rPr>
        <w:t xml:space="preserve">：部分業者可能開始運用利率交換（IRS）等衍生性商品，更主動地管理利率風險曝險，為接軌新制做準備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37</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總體而言，管理龐大的海外債券部位是一項極為複雜的任務，涉及對宏觀經濟、市場動態、匯率走勢、監管政策及會計準則變化的持續監控與應對。其中，匯率風險的有效管理以及如何平穩過渡至 IFRS 17/ICS 新制，將是未來幾年台灣壽險業經營策略的重中之重。</w:t>
      </w:r>
    </w:p>
    <w:p w:rsidR="00000000" w:rsidDel="00000000" w:rsidP="00000000" w:rsidRDefault="00000000" w:rsidRPr="00000000" w14:paraId="0000015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7. 結論與展望</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綜合來看，台灣金融業，特別是壽險業，在過去數年間（2022-2024）持續將大量資金佈局於債券市場，其中海外債券投資佔據了壽險業資產配置的核心地位。此一現象源於國內市場收益率偏低及規模限制的結構性因素，促使業者不得不向外尋求更高回報以履行對保戶的長期承諾。</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壽險業的海外債券組合呈現高度集中的特性：</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幣別上高度集中於美元，區域上高度集中於北美，券種上則明顯偏好投資等級的公司債與金融債，而非政府公債</w:t>
      </w:r>
      <w:r w:rsidDel="00000000" w:rsidR="00000000" w:rsidRPr="00000000">
        <w:rPr>
          <w:rFonts w:ascii="Google Sans Text" w:cs="Google Sans Text" w:eastAsia="Google Sans Text" w:hAnsi="Google Sans Text"/>
          <w:i w:val="0"/>
          <w:iCs w:val="0"/>
          <w:color w:val="1b1c1d"/>
          <w:sz w:val="24"/>
          <w:szCs w:val="24"/>
          <w:rtl w:val="0"/>
        </w:rPr>
        <w:t xml:space="preserve">。此策略旨在透過承擔適度的信用風險來換取較高的收益，以彌補國內低利環境及高昂匯率避險成本的影響。國泰人壽與富邦人壽兩大市場領導者的投資策略高度趨同，反映了行業面臨的共同挑戰與機會。</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然而，這種以海外投資為主的模式也帶來了嚴峻的挑戰。</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鉅額的美元資產使壽險業長期暴露於顯著的匯率風險之下</w:t>
      </w:r>
      <w:r w:rsidDel="00000000" w:rsidR="00000000" w:rsidRPr="00000000">
        <w:rPr>
          <w:rFonts w:ascii="Google Sans Text" w:cs="Google Sans Text" w:eastAsia="Google Sans Text" w:hAnsi="Google Sans Text"/>
          <w:i w:val="0"/>
          <w:iCs w:val="0"/>
          <w:color w:val="1b1c1d"/>
          <w:sz w:val="24"/>
          <w:szCs w:val="24"/>
          <w:rtl w:val="0"/>
        </w:rPr>
        <w:t xml:space="preserve">。儘管有外匯價格變動準備金等緩衝機制，高昂且波動的避險成本仍持續對業者獲利能力構成壓力。此外，全球利率環境的變化直接衝擊債券估值與再投資收益，對業者的資產負債管理帶來考驗。</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展望未來，</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IFRS 17 與 ICS 的導入將是影響行業格局的最關鍵因素</w:t>
      </w:r>
      <w:r w:rsidDel="00000000" w:rsidR="00000000" w:rsidRPr="00000000">
        <w:rPr>
          <w:rFonts w:ascii="Google Sans Text" w:cs="Google Sans Text" w:eastAsia="Google Sans Text" w:hAnsi="Google Sans Text"/>
          <w:i w:val="0"/>
          <w:iCs w:val="0"/>
          <w:color w:val="1b1c1d"/>
          <w:sz w:val="24"/>
          <w:szCs w:val="24"/>
          <w:rtl w:val="0"/>
        </w:rPr>
        <w:t xml:space="preserve">。新制度要求資產與負債更緊密地以公允價值衡量，勢必加劇淨值與損益的波動性，迫使壽險公司採取更為精密的資產負債管理策略。業者可能需要更積極地運用衍生性金融商品進行利率與匯率風險管理，並重新評估各類資產在風險與回報上的配置效率。這可能促使業者在維持現有海外債券核心部位的同時，更謹慎地探索其他能提供穩定現金流或具備不同風險特性的資產類別（如基礎設施、私募債權等），但任何調整都將在嚴格的風險控管與資本要求下進行。</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近期金融三業購債動能的趨緩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 或許預示著一個更為審慎的投資階段。面對全球經濟與政策的不確定性，預期壽險業者將持續強化風險管理框架，動態調整避險比例，並密切關注監管政策的發展，包括對海外投資的規範以及鼓勵國內投資的相關措施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總之，台灣壽險業的海外債券投資策略是在特定市場環境與監管框架下的理性選擇，但也使其營運與財務表現高度依賴國際金融市場的穩定與走向。未來數年，業者如何在追求收益、管理風險（特別是匯率風險）以及適應新會計與資本制度（IFRS 17/ICS）之間取得平衡，將是決定其長期競爭力與永續經營的關鍵。預期業者將在現有基礎上進行策略優化與風險精煉，而非大規模地逆轉其海外投資佈局。</w:t>
      </w:r>
    </w:p>
    <w:p w:rsidR="00000000" w:rsidDel="00000000" w:rsidP="00000000" w:rsidRDefault="00000000" w:rsidRPr="00000000" w14:paraId="0000015E">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15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台灣壽險業巨額美元資產曝風險央行示警禿鷹炒匯| Anue鉅亨- 美股雷達, 檢索日期：5月 6, 2025， </w:t>
      </w:r>
      <w:hyperlink r:id="rId6">
        <w:r w:rsidDel="00000000" w:rsidR="00000000" w:rsidRPr="00000000">
          <w:rPr>
            <w:rFonts w:ascii="Google Sans" w:cs="Google Sans" w:eastAsia="Google Sans" w:hAnsi="Google Sans"/>
            <w:color w:val="0000ee"/>
            <w:sz w:val="24"/>
            <w:szCs w:val="24"/>
            <w:u w:val="single"/>
            <w:rtl w:val="0"/>
          </w:rPr>
          <w:t xml:space="preserve">https://news.cnyes.com/news/id/5961701</w:t>
        </w:r>
      </w:hyperlink>
      <w:r w:rsidDel="00000000" w:rsidR="00000000" w:rsidRPr="00000000">
        <w:rPr>
          <w:rtl w:val="0"/>
        </w:rPr>
      </w:r>
    </w:p>
    <w:p w:rsidR="00000000" w:rsidDel="00000000" w:rsidP="00000000" w:rsidRDefault="00000000" w:rsidRPr="00000000" w14:paraId="0000016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Episode 1: 為何要學海外債券投資? - 方格子, 檢索日期：5月 6, 2025， </w:t>
      </w:r>
      <w:hyperlink r:id="rId7">
        <w:r w:rsidDel="00000000" w:rsidR="00000000" w:rsidRPr="00000000">
          <w:rPr>
            <w:rFonts w:ascii="Google Sans" w:cs="Google Sans" w:eastAsia="Google Sans" w:hAnsi="Google Sans"/>
            <w:color w:val="0000ee"/>
            <w:sz w:val="24"/>
            <w:szCs w:val="24"/>
            <w:u w:val="single"/>
            <w:rtl w:val="0"/>
          </w:rPr>
          <w:t xml:space="preserve">https://vocus.cc/article/640866bcfd8978000114efb0</w:t>
        </w:r>
      </w:hyperlink>
      <w:r w:rsidDel="00000000" w:rsidR="00000000" w:rsidRPr="00000000">
        <w:rPr>
          <w:rtl w:val="0"/>
        </w:rPr>
      </w:r>
    </w:p>
    <w:p w:rsidR="00000000" w:rsidDel="00000000" w:rsidP="00000000" w:rsidRDefault="00000000" w:rsidRPr="00000000" w14:paraId="0000016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www.tpefx.com.tw, 檢索日期：5月 6, 2025， </w:t>
      </w:r>
      <w:hyperlink r:id="rId8">
        <w:r w:rsidDel="00000000" w:rsidR="00000000" w:rsidRPr="00000000">
          <w:rPr>
            <w:rFonts w:ascii="Google Sans" w:cs="Google Sans" w:eastAsia="Google Sans" w:hAnsi="Google Sans"/>
            <w:color w:val="0000ee"/>
            <w:sz w:val="24"/>
            <w:szCs w:val="24"/>
            <w:u w:val="single"/>
            <w:rtl w:val="0"/>
          </w:rPr>
          <w:t xml:space="preserve">https://www.tpefx.com.tw/uploads/download/tw/A%20Study%20of%20the%20Impact%20of%20Foreign%20Investment%20Limits%20of.pdf</w:t>
        </w:r>
      </w:hyperlink>
      <w:r w:rsidDel="00000000" w:rsidR="00000000" w:rsidRPr="00000000">
        <w:rPr>
          <w:rtl w:val="0"/>
        </w:rPr>
      </w:r>
    </w:p>
    <w:p w:rsidR="00000000" w:rsidDel="00000000" w:rsidP="00000000" w:rsidRDefault="00000000" w:rsidRPr="00000000" w14:paraId="0000016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www.tpefx.com.tw, 檢索日期：5月 6, 2025， </w:t>
      </w:r>
      <w:hyperlink r:id="rId9">
        <w:r w:rsidDel="00000000" w:rsidR="00000000" w:rsidRPr="00000000">
          <w:rPr>
            <w:rFonts w:ascii="Google Sans" w:cs="Google Sans" w:eastAsia="Google Sans" w:hAnsi="Google Sans"/>
            <w:color w:val="0000ee"/>
            <w:sz w:val="24"/>
            <w:szCs w:val="24"/>
            <w:u w:val="single"/>
            <w:rtl w:val="0"/>
          </w:rPr>
          <w:t xml:space="preserve">https://www.tpefx.com.tw/uploads/download/tw/Insurance%20foreign%20currency%20investment%20analysis.pdf</w:t>
        </w:r>
      </w:hyperlink>
      <w:r w:rsidDel="00000000" w:rsidR="00000000" w:rsidRPr="00000000">
        <w:rPr>
          <w:rtl w:val="0"/>
        </w:rPr>
      </w:r>
    </w:p>
    <w:p w:rsidR="00000000" w:rsidDel="00000000" w:rsidP="00000000" w:rsidRDefault="00000000" w:rsidRPr="00000000" w14:paraId="0000016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債市退燒？金融三業首季買債年減六成全年動能保守 - 經濟日報, 檢索日期：5月 6, 2025， </w:t>
      </w:r>
      <w:hyperlink r:id="rId10">
        <w:r w:rsidDel="00000000" w:rsidR="00000000" w:rsidRPr="00000000">
          <w:rPr>
            <w:rFonts w:ascii="Google Sans" w:cs="Google Sans" w:eastAsia="Google Sans" w:hAnsi="Google Sans"/>
            <w:color w:val="0000ee"/>
            <w:sz w:val="24"/>
            <w:szCs w:val="24"/>
            <w:u w:val="single"/>
            <w:rtl w:val="0"/>
          </w:rPr>
          <w:t xml:space="preserve">https://money.udn.com/money/story/5613/8702477</w:t>
        </w:r>
      </w:hyperlink>
      <w:r w:rsidDel="00000000" w:rsidR="00000000" w:rsidRPr="00000000">
        <w:rPr>
          <w:rtl w:val="0"/>
        </w:rPr>
      </w:r>
    </w:p>
    <w:p w:rsidR="00000000" w:rsidDel="00000000" w:rsidP="00000000" w:rsidRDefault="00000000" w:rsidRPr="00000000" w14:paraId="0000016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壽險業面臨股債匯三殺？ 彭金隆火線回應 - Yahoo股市, 檢索日期：5月 6, 2025， </w:t>
      </w:r>
      <w:hyperlink r:id="rId11">
        <w:r w:rsidDel="00000000" w:rsidR="00000000" w:rsidRPr="00000000">
          <w:rPr>
            <w:rFonts w:ascii="Google Sans" w:cs="Google Sans" w:eastAsia="Google Sans" w:hAnsi="Google Sans"/>
            <w:color w:val="0000ee"/>
            <w:sz w:val="24"/>
            <w:szCs w:val="24"/>
            <w:u w:val="single"/>
            <w:rtl w:val="0"/>
          </w:rPr>
          <w:t xml:space="preserve">https://tw.stock.yahoo.com/news/%E5%A3%BD%E9%9A%AA%E6%A5%AD%E9%9D%A2%E8%87%A8%E8%82%A1%E5%82%B5%E5%8C%AF%E4%B8%89%E6%AE%BA-%E5%BD%AD%E9%87%91%E9%9A%86%E7%81%AB%E7%B7%9A%E5%9B%9E%E6%87%89-110459436.html</w:t>
        </w:r>
      </w:hyperlink>
      <w:r w:rsidDel="00000000" w:rsidR="00000000" w:rsidRPr="00000000">
        <w:rPr>
          <w:rtl w:val="0"/>
        </w:rPr>
      </w:r>
    </w:p>
    <w:p w:rsidR="00000000" w:rsidDel="00000000" w:rsidP="00000000" w:rsidRDefault="00000000" w:rsidRPr="00000000" w14:paraId="0000016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金融穩定報告概述 - 中央存款保險公司, 檢索日期：5月 6, 2025， </w:t>
      </w:r>
      <w:hyperlink r:id="rId12">
        <w:r w:rsidDel="00000000" w:rsidR="00000000" w:rsidRPr="00000000">
          <w:rPr>
            <w:rFonts w:ascii="Google Sans" w:cs="Google Sans" w:eastAsia="Google Sans" w:hAnsi="Google Sans"/>
            <w:color w:val="0000ee"/>
            <w:sz w:val="24"/>
            <w:szCs w:val="24"/>
            <w:u w:val="single"/>
            <w:rtl w:val="0"/>
          </w:rPr>
          <w:t xml:space="preserve">https://www.cdic.gov.tw/upload/cont_att/37-2-3.pdf</w:t>
        </w:r>
      </w:hyperlink>
      <w:r w:rsidDel="00000000" w:rsidR="00000000" w:rsidRPr="00000000">
        <w:rPr>
          <w:rtl w:val="0"/>
        </w:rPr>
      </w:r>
    </w:p>
    <w:p w:rsidR="00000000" w:rsidDel="00000000" w:rsidP="00000000" w:rsidRDefault="00000000" w:rsidRPr="00000000" w14:paraId="0000016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金融三業2月合計砍債195億 - 聯合報, 檢索日期：5月 6, 2025， </w:t>
      </w:r>
      <w:hyperlink r:id="rId13">
        <w:r w:rsidDel="00000000" w:rsidR="00000000" w:rsidRPr="00000000">
          <w:rPr>
            <w:rFonts w:ascii="Google Sans" w:cs="Google Sans" w:eastAsia="Google Sans" w:hAnsi="Google Sans"/>
            <w:color w:val="0000ee"/>
            <w:sz w:val="24"/>
            <w:szCs w:val="24"/>
            <w:u w:val="single"/>
            <w:rtl w:val="0"/>
          </w:rPr>
          <w:t xml:space="preserve">https://udn.com/news/story/7239/8656590</w:t>
        </w:r>
      </w:hyperlink>
      <w:r w:rsidDel="00000000" w:rsidR="00000000" w:rsidRPr="00000000">
        <w:rPr>
          <w:rtl w:val="0"/>
        </w:rPr>
      </w:r>
    </w:p>
    <w:p w:rsidR="00000000" w:rsidDel="00000000" w:rsidP="00000000" w:rsidRDefault="00000000" w:rsidRPr="00000000" w14:paraId="0000016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降息潮起！銀行業9月卻續砍債千億元不埋單原因是這個 - 財訊, 檢索日期：5月 6, 2025， </w:t>
      </w:r>
      <w:hyperlink r:id="rId14">
        <w:r w:rsidDel="00000000" w:rsidR="00000000" w:rsidRPr="00000000">
          <w:rPr>
            <w:rFonts w:ascii="Google Sans" w:cs="Google Sans" w:eastAsia="Google Sans" w:hAnsi="Google Sans"/>
            <w:color w:val="0000ee"/>
            <w:sz w:val="24"/>
            <w:szCs w:val="24"/>
            <w:u w:val="single"/>
            <w:rtl w:val="0"/>
          </w:rPr>
          <w:t xml:space="preserve">https://www.wealth.com.tw/articles/4722663a-bcc2-4c91-8a8f-a29bd5c3548b</w:t>
        </w:r>
      </w:hyperlink>
      <w:r w:rsidDel="00000000" w:rsidR="00000000" w:rsidRPr="00000000">
        <w:rPr>
          <w:rtl w:val="0"/>
        </w:rPr>
      </w:r>
    </w:p>
    <w:p w:rsidR="00000000" w:rsidDel="00000000" w:rsidP="00000000" w:rsidRDefault="00000000" w:rsidRPr="00000000" w14:paraId="0000016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2024臺灣銀行業報告, 檢索日期：5月 6, 2025， </w:t>
      </w:r>
      <w:hyperlink r:id="rId15">
        <w:r w:rsidDel="00000000" w:rsidR="00000000" w:rsidRPr="00000000">
          <w:rPr>
            <w:rFonts w:ascii="Google Sans" w:cs="Google Sans" w:eastAsia="Google Sans" w:hAnsi="Google Sans"/>
            <w:color w:val="0000ee"/>
            <w:sz w:val="24"/>
            <w:szCs w:val="24"/>
            <w:u w:val="single"/>
            <w:rtl w:val="0"/>
          </w:rPr>
          <w:t xml:space="preserve">https://assets.kpmg.com/content/dam/kpmg/tw/pdf/2024/07/taiwan-banking-report-2024.pdf</w:t>
        </w:r>
      </w:hyperlink>
      <w:r w:rsidDel="00000000" w:rsidR="00000000" w:rsidRPr="00000000">
        <w:rPr>
          <w:rtl w:val="0"/>
        </w:rPr>
      </w:r>
    </w:p>
    <w:p w:rsidR="00000000" w:rsidDel="00000000" w:rsidP="00000000" w:rsidRDefault="00000000" w:rsidRPr="00000000" w14:paraId="0000016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金融統計- 銀行局全球資訊網, 檢索日期：5月 6, 2025， </w:t>
      </w:r>
      <w:hyperlink r:id="rId16">
        <w:r w:rsidDel="00000000" w:rsidR="00000000" w:rsidRPr="00000000">
          <w:rPr>
            <w:rFonts w:ascii="Google Sans" w:cs="Google Sans" w:eastAsia="Google Sans" w:hAnsi="Google Sans"/>
            <w:color w:val="0000ee"/>
            <w:sz w:val="24"/>
            <w:szCs w:val="24"/>
            <w:u w:val="single"/>
            <w:rtl w:val="0"/>
          </w:rPr>
          <w:t xml:space="preserve">https://www.banking.gov.tw/ch/home.jsp?id=595&amp;parentpath=0,590</w:t>
        </w:r>
      </w:hyperlink>
      <w:r w:rsidDel="00000000" w:rsidR="00000000" w:rsidRPr="00000000">
        <w:rPr>
          <w:rtl w:val="0"/>
        </w:rPr>
      </w:r>
    </w:p>
    <w:p w:rsidR="00000000" w:rsidDel="00000000" w:rsidP="00000000" w:rsidRDefault="00000000" w:rsidRPr="00000000" w14:paraId="0000016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www.tii.org.tw, 檢索日期：5月 6, 2025， </w:t>
      </w:r>
      <w:hyperlink r:id="rId17">
        <w:r w:rsidDel="00000000" w:rsidR="00000000" w:rsidRPr="00000000">
          <w:rPr>
            <w:rFonts w:ascii="Google Sans" w:cs="Google Sans" w:eastAsia="Google Sans" w:hAnsi="Google Sans"/>
            <w:color w:val="0000ee"/>
            <w:sz w:val="24"/>
            <w:szCs w:val="24"/>
            <w:u w:val="single"/>
            <w:rtl w:val="0"/>
          </w:rPr>
          <w:t xml:space="preserve">https://www.tii.org.tw/export/sites/tii/information/files/17-1_202407.pdf</w:t>
        </w:r>
      </w:hyperlink>
      <w:r w:rsidDel="00000000" w:rsidR="00000000" w:rsidRPr="00000000">
        <w:rPr>
          <w:rtl w:val="0"/>
        </w:rPr>
      </w:r>
    </w:p>
    <w:p w:rsidR="00000000" w:rsidDel="00000000" w:rsidP="00000000" w:rsidRDefault="00000000" w:rsidRPr="00000000" w14:paraId="0000016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『保險業資產配置之決定及其影響』, 檢索日期：5月 6, 2025， </w:t>
      </w:r>
      <w:hyperlink r:id="rId18">
        <w:r w:rsidDel="00000000" w:rsidR="00000000" w:rsidRPr="00000000">
          <w:rPr>
            <w:rFonts w:ascii="Google Sans" w:cs="Google Sans" w:eastAsia="Google Sans" w:hAnsi="Google Sans"/>
            <w:color w:val="0000ee"/>
            <w:sz w:val="24"/>
            <w:szCs w:val="24"/>
            <w:u w:val="single"/>
            <w:rtl w:val="0"/>
          </w:rPr>
          <w:t xml:space="preserve">https://www.tigf.org.tw/files/file_pool/1/0m081581465219112214/%E4%BF%9D%E9%9A%AA%E6%A5%AD%E8%B3%87%E7%94%A2%E9%85%8D%E7%BD%AE%E7%A0%94%E7%A9%B6%E5%A0%B1%E5%91%8A.pdf</w:t>
        </w:r>
      </w:hyperlink>
      <w:r w:rsidDel="00000000" w:rsidR="00000000" w:rsidRPr="00000000">
        <w:rPr>
          <w:rtl w:val="0"/>
        </w:rPr>
      </w:r>
    </w:p>
    <w:p w:rsidR="00000000" w:rsidDel="00000000" w:rsidP="00000000" w:rsidRDefault="00000000" w:rsidRPr="00000000" w14:paraId="0000016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六、債券市場 - 中央銀行, 檢索日期：5月 6, 2025， </w:t>
      </w:r>
      <w:hyperlink r:id="rId19">
        <w:r w:rsidDel="00000000" w:rsidR="00000000" w:rsidRPr="00000000">
          <w:rPr>
            <w:rFonts w:ascii="Google Sans" w:cs="Google Sans" w:eastAsia="Google Sans" w:hAnsi="Google Sans"/>
            <w:color w:val="0000ee"/>
            <w:sz w:val="24"/>
            <w:szCs w:val="24"/>
            <w:u w:val="single"/>
            <w:rtl w:val="0"/>
          </w:rPr>
          <w:t xml:space="preserve">https://www.cbc.gov.tw/dl-204881-f0469a8b1add4744949bb27c604fb41d.html</w:t>
        </w:r>
      </w:hyperlink>
      <w:r w:rsidDel="00000000" w:rsidR="00000000" w:rsidRPr="00000000">
        <w:rPr>
          <w:rtl w:val="0"/>
        </w:rPr>
      </w:r>
    </w:p>
    <w:p w:rsidR="00000000" w:rsidDel="00000000" w:rsidP="00000000" w:rsidRDefault="00000000" w:rsidRPr="00000000" w14:paraId="0000016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保險財務業務統計-財團法人保險事業發展中心, 檢索日期：5月 6, 2025， </w:t>
      </w:r>
      <w:hyperlink r:id="rId20">
        <w:r w:rsidDel="00000000" w:rsidR="00000000" w:rsidRPr="00000000">
          <w:rPr>
            <w:rFonts w:ascii="Google Sans" w:cs="Google Sans" w:eastAsia="Google Sans" w:hAnsi="Google Sans"/>
            <w:color w:val="0000ee"/>
            <w:sz w:val="24"/>
            <w:szCs w:val="24"/>
            <w:u w:val="single"/>
            <w:rtl w:val="0"/>
          </w:rPr>
          <w:t xml:space="preserve">https://www.tii.org.tw/tii/information/information1/000005.html</w:t>
        </w:r>
      </w:hyperlink>
      <w:r w:rsidDel="00000000" w:rsidR="00000000" w:rsidRPr="00000000">
        <w:rPr>
          <w:rtl w:val="0"/>
        </w:rPr>
      </w:r>
    </w:p>
    <w:p w:rsidR="00000000" w:rsidDel="00000000" w:rsidP="00000000" w:rsidRDefault="00000000" w:rsidRPr="00000000" w14:paraId="0000016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保險財務業務統計-財團法人保險事業發展中心, 檢索日期：5月 6, 2025， </w:t>
      </w:r>
      <w:hyperlink r:id="rId21">
        <w:r w:rsidDel="00000000" w:rsidR="00000000" w:rsidRPr="00000000">
          <w:rPr>
            <w:rFonts w:ascii="Google Sans" w:cs="Google Sans" w:eastAsia="Google Sans" w:hAnsi="Google Sans"/>
            <w:color w:val="0000ee"/>
            <w:sz w:val="24"/>
            <w:szCs w:val="24"/>
            <w:u w:val="single"/>
            <w:rtl w:val="0"/>
          </w:rPr>
          <w:t xml:space="preserve">https://www.tii.org.tw/tii/information/information1/000001.html</w:t>
        </w:r>
      </w:hyperlink>
      <w:r w:rsidDel="00000000" w:rsidR="00000000" w:rsidRPr="00000000">
        <w:rPr>
          <w:rtl w:val="0"/>
        </w:rPr>
      </w:r>
    </w:p>
    <w:p w:rsidR="00000000" w:rsidDel="00000000" w:rsidP="00000000" w:rsidRDefault="00000000" w:rsidRPr="00000000" w14:paraId="0000016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美債風暴來襲壽險2招應對- 日報- 工商時報, 檢索日期：5月 6, 2025， </w:t>
      </w:r>
      <w:hyperlink r:id="rId22">
        <w:r w:rsidDel="00000000" w:rsidR="00000000" w:rsidRPr="00000000">
          <w:rPr>
            <w:rFonts w:ascii="Google Sans" w:cs="Google Sans" w:eastAsia="Google Sans" w:hAnsi="Google Sans"/>
            <w:color w:val="0000ee"/>
            <w:sz w:val="24"/>
            <w:szCs w:val="24"/>
            <w:u w:val="single"/>
            <w:rtl w:val="0"/>
          </w:rPr>
          <w:t xml:space="preserve">https://www.ctee.com.tw/news/20250423700061-439901</w:t>
        </w:r>
      </w:hyperlink>
      <w:r w:rsidDel="00000000" w:rsidR="00000000" w:rsidRPr="00000000">
        <w:rPr>
          <w:rtl w:val="0"/>
        </w:rPr>
      </w:r>
    </w:p>
    <w:p w:rsidR="00000000" w:rsidDel="00000000" w:rsidP="00000000" w:rsidRDefault="00000000" w:rsidRPr="00000000" w14:paraId="0000017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美債風暴來襲壽險2招應對 - Yahoo股市, 檢索日期：5月 6, 2025， </w:t>
      </w:r>
      <w:hyperlink r:id="rId23">
        <w:r w:rsidDel="00000000" w:rsidR="00000000" w:rsidRPr="00000000">
          <w:rPr>
            <w:rFonts w:ascii="Google Sans" w:cs="Google Sans" w:eastAsia="Google Sans" w:hAnsi="Google Sans"/>
            <w:color w:val="0000ee"/>
            <w:sz w:val="24"/>
            <w:szCs w:val="24"/>
            <w:u w:val="single"/>
            <w:rtl w:val="0"/>
          </w:rPr>
          <w:t xml:space="preserve">https://tw.stock.yahoo.com/news/%E7%BE%8E%E5%82%B5%E9%A2%A8%E6%9A%B4%E4%BE%86%E8%A5%B2-%E5%A3%BD%E9%9A%AA2%E6%8B%9B%E6%87%89%E5%B0%8D-201000333.html</w:t>
        </w:r>
      </w:hyperlink>
      <w:r w:rsidDel="00000000" w:rsidR="00000000" w:rsidRPr="00000000">
        <w:rPr>
          <w:rtl w:val="0"/>
        </w:rPr>
      </w:r>
    </w:p>
    <w:p w:rsidR="00000000" w:rsidDel="00000000" w:rsidP="00000000" w:rsidRDefault="00000000" w:rsidRPr="00000000" w14:paraId="0000017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台幣狂升恐釀風暴！金管會緊盯壽險業美元曝險 - 鏈新聞, 檢索日期：5月 6, 2025， </w:t>
      </w:r>
      <w:hyperlink r:id="rId24">
        <w:r w:rsidDel="00000000" w:rsidR="00000000" w:rsidRPr="00000000">
          <w:rPr>
            <w:rFonts w:ascii="Google Sans" w:cs="Google Sans" w:eastAsia="Google Sans" w:hAnsi="Google Sans"/>
            <w:color w:val="0000ee"/>
            <w:sz w:val="24"/>
            <w:szCs w:val="24"/>
            <w:u w:val="single"/>
            <w:rtl w:val="0"/>
          </w:rPr>
          <w:t xml:space="preserve">https://abmedia.io/taiwan-regulator-summons-life-insurers-as-twd-sharp-appreciation</w:t>
        </w:r>
      </w:hyperlink>
      <w:r w:rsidDel="00000000" w:rsidR="00000000" w:rsidRPr="00000000">
        <w:rPr>
          <w:rtl w:val="0"/>
        </w:rPr>
      </w:r>
    </w:p>
    <w:p w:rsidR="00000000" w:rsidDel="00000000" w:rsidP="00000000" w:rsidRDefault="00000000" w:rsidRPr="00000000" w14:paraId="0000017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www.cathayholdings.com, 檢索日期：5月 6, 2025， </w:t>
      </w:r>
      <w:hyperlink r:id="rId25">
        <w:r w:rsidDel="00000000" w:rsidR="00000000" w:rsidRPr="00000000">
          <w:rPr>
            <w:rFonts w:ascii="Google Sans" w:cs="Google Sans" w:eastAsia="Google Sans" w:hAnsi="Google Sans"/>
            <w:color w:val="0000ee"/>
            <w:sz w:val="24"/>
            <w:szCs w:val="24"/>
            <w:u w:val="single"/>
            <w:rtl w:val="0"/>
          </w:rPr>
          <w:t xml:space="preserve">https://www.cathayholdings.com/holdings/-/media/0cf87f33aa49423da5851855d4194e09.pdf?sc_lang=zh-tw</w:t>
        </w:r>
      </w:hyperlink>
      <w:r w:rsidDel="00000000" w:rsidR="00000000" w:rsidRPr="00000000">
        <w:rPr>
          <w:rtl w:val="0"/>
        </w:rPr>
      </w:r>
    </w:p>
    <w:p w:rsidR="00000000" w:rsidDel="00000000" w:rsidP="00000000" w:rsidRDefault="00000000" w:rsidRPr="00000000" w14:paraId="0000017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www.irpro.co, 檢索日期：5月 6, 2025， </w:t>
      </w:r>
      <w:hyperlink r:id="rId26">
        <w:r w:rsidDel="00000000" w:rsidR="00000000" w:rsidRPr="00000000">
          <w:rPr>
            <w:rFonts w:ascii="Google Sans" w:cs="Google Sans" w:eastAsia="Google Sans" w:hAnsi="Google Sans"/>
            <w:color w:val="0000ee"/>
            <w:sz w:val="24"/>
            <w:szCs w:val="24"/>
            <w:u w:val="single"/>
            <w:rtl w:val="0"/>
          </w:rPr>
          <w:t xml:space="preserve">https://www.irpro.co/2881/events/454/EN/20240523185045-1.pdf</w:t>
        </w:r>
      </w:hyperlink>
      <w:r w:rsidDel="00000000" w:rsidR="00000000" w:rsidRPr="00000000">
        <w:rPr>
          <w:rtl w:val="0"/>
        </w:rPr>
      </w:r>
    </w:p>
    <w:p w:rsidR="00000000" w:rsidDel="00000000" w:rsidP="00000000" w:rsidRDefault="00000000" w:rsidRPr="00000000" w14:paraId="0000017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www.irpro.co, 檢索日期：5月 6, 2025， </w:t>
      </w:r>
      <w:hyperlink r:id="rId27">
        <w:r w:rsidDel="00000000" w:rsidR="00000000" w:rsidRPr="00000000">
          <w:rPr>
            <w:rFonts w:ascii="Google Sans" w:cs="Google Sans" w:eastAsia="Google Sans" w:hAnsi="Google Sans"/>
            <w:color w:val="0000ee"/>
            <w:sz w:val="24"/>
            <w:szCs w:val="24"/>
            <w:u w:val="single"/>
            <w:rtl w:val="0"/>
          </w:rPr>
          <w:t xml:space="preserve">https://www.irpro.co/2881/events/471/CH/20240829133446-1.pdf</w:t>
        </w:r>
      </w:hyperlink>
      <w:r w:rsidDel="00000000" w:rsidR="00000000" w:rsidRPr="00000000">
        <w:rPr>
          <w:rtl w:val="0"/>
        </w:rPr>
      </w:r>
    </w:p>
    <w:p w:rsidR="00000000" w:rsidDel="00000000" w:rsidP="00000000" w:rsidRDefault="00000000" w:rsidRPr="00000000" w14:paraId="0000017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拿美債當關稅談判籌碼？台灣持有部位續創歷史新高還擠入前十大| 金融脈動 - 經濟日報, 檢索日期：5月 6, 2025， </w:t>
      </w:r>
      <w:hyperlink r:id="rId28">
        <w:r w:rsidDel="00000000" w:rsidR="00000000" w:rsidRPr="00000000">
          <w:rPr>
            <w:rFonts w:ascii="Google Sans" w:cs="Google Sans" w:eastAsia="Google Sans" w:hAnsi="Google Sans"/>
            <w:color w:val="0000ee"/>
            <w:sz w:val="24"/>
            <w:szCs w:val="24"/>
            <w:u w:val="single"/>
            <w:rtl w:val="0"/>
          </w:rPr>
          <w:t xml:space="preserve">https://money.udn.com/money/story/5613/8715380</w:t>
        </w:r>
      </w:hyperlink>
      <w:r w:rsidDel="00000000" w:rsidR="00000000" w:rsidRPr="00000000">
        <w:rPr>
          <w:rtl w:val="0"/>
        </w:rPr>
      </w:r>
    </w:p>
    <w:p w:rsidR="00000000" w:rsidDel="00000000" w:rsidP="00000000" w:rsidRDefault="00000000" w:rsidRPr="00000000" w14:paraId="0000017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壽險業對美債抗震性？金管會：壽險業持有5750億美國政府公債| 金融 ..., 檢索日期：5月 6, 2025， </w:t>
      </w:r>
      <w:hyperlink r:id="rId29">
        <w:r w:rsidDel="00000000" w:rsidR="00000000" w:rsidRPr="00000000">
          <w:rPr>
            <w:rFonts w:ascii="Google Sans" w:cs="Google Sans" w:eastAsia="Google Sans" w:hAnsi="Google Sans"/>
            <w:color w:val="0000ee"/>
            <w:sz w:val="24"/>
            <w:szCs w:val="24"/>
            <w:u w:val="single"/>
            <w:rtl w:val="0"/>
          </w:rPr>
          <w:t xml:space="preserve">https://money.udn.com/money/story/5613/8708154?from=edn_newestlist_rank</w:t>
        </w:r>
      </w:hyperlink>
      <w:r w:rsidDel="00000000" w:rsidR="00000000" w:rsidRPr="00000000">
        <w:rPr>
          <w:rtl w:val="0"/>
        </w:rPr>
      </w:r>
    </w:p>
    <w:p w:rsidR="00000000" w:rsidDel="00000000" w:rsidP="00000000" w:rsidRDefault="00000000" w:rsidRPr="00000000" w14:paraId="0000017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最新法令函釋- 金融監督管理委員會保險局全球資訊網, 檢索日期：5月 6, 2025， </w:t>
      </w:r>
      <w:hyperlink r:id="rId30">
        <w:r w:rsidDel="00000000" w:rsidR="00000000" w:rsidRPr="00000000">
          <w:rPr>
            <w:rFonts w:ascii="Google Sans" w:cs="Google Sans" w:eastAsia="Google Sans" w:hAnsi="Google Sans"/>
            <w:color w:val="0000ee"/>
            <w:sz w:val="24"/>
            <w:szCs w:val="24"/>
            <w:u w:val="single"/>
            <w:rtl w:val="0"/>
          </w:rPr>
          <w:t xml:space="preserve">https://www.ib.gov.tw/ch/home.jsp?id=3&amp;parentpath=0&amp;mcustomize=lawnew_view.jsp&amp;dataserno=202303240002&amp;dtable=NewsLaw</w:t>
        </w:r>
      </w:hyperlink>
      <w:r w:rsidDel="00000000" w:rsidR="00000000" w:rsidRPr="00000000">
        <w:rPr>
          <w:rtl w:val="0"/>
        </w:rPr>
      </w:r>
    </w:p>
    <w:p w:rsidR="00000000" w:rsidDel="00000000" w:rsidP="00000000" w:rsidRDefault="00000000" w:rsidRPr="00000000" w14:paraId="0000017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〈富邦金法說〉富壽2024股海大賺1546億元投資聚焦AI及趨勢類股, 檢索日期：5月 6, 2025， </w:t>
      </w:r>
      <w:hyperlink r:id="rId31">
        <w:r w:rsidDel="00000000" w:rsidR="00000000" w:rsidRPr="00000000">
          <w:rPr>
            <w:rFonts w:ascii="Google Sans" w:cs="Google Sans" w:eastAsia="Google Sans" w:hAnsi="Google Sans"/>
            <w:color w:val="0000ee"/>
            <w:sz w:val="24"/>
            <w:szCs w:val="24"/>
            <w:u w:val="single"/>
            <w:rtl w:val="0"/>
          </w:rPr>
          <w:t xml:space="preserve">https://news.cnyes.com/news/id/5903348</w:t>
        </w:r>
      </w:hyperlink>
      <w:r w:rsidDel="00000000" w:rsidR="00000000" w:rsidRPr="00000000">
        <w:rPr>
          <w:rtl w:val="0"/>
        </w:rPr>
      </w:r>
    </w:p>
    <w:p w:rsidR="00000000" w:rsidDel="00000000" w:rsidP="00000000" w:rsidRDefault="00000000" w:rsidRPr="00000000" w14:paraId="0000017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www.cathayholdings.com, 檢索日期：5月 6, 2025， </w:t>
      </w:r>
      <w:hyperlink r:id="rId32">
        <w:r w:rsidDel="00000000" w:rsidR="00000000" w:rsidRPr="00000000">
          <w:rPr>
            <w:rFonts w:ascii="Google Sans" w:cs="Google Sans" w:eastAsia="Google Sans" w:hAnsi="Google Sans"/>
            <w:color w:val="0000ee"/>
            <w:sz w:val="24"/>
            <w:szCs w:val="24"/>
            <w:u w:val="single"/>
            <w:rtl w:val="0"/>
          </w:rPr>
          <w:t xml:space="preserve">https://www.cathayholdings.com/holdings/-/media/558dc3668e7d47adb69d4d2571d0f42c.pdf?sc_lang=zh-tw</w:t>
        </w:r>
      </w:hyperlink>
      <w:r w:rsidDel="00000000" w:rsidR="00000000" w:rsidRPr="00000000">
        <w:rPr>
          <w:rtl w:val="0"/>
        </w:rPr>
      </w:r>
    </w:p>
    <w:p w:rsidR="00000000" w:rsidDel="00000000" w:rsidP="00000000" w:rsidRDefault="00000000" w:rsidRPr="00000000" w14:paraId="0000017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保險業辦理國外投資範圍及內容準則修正條文對照表, 檢索日期：5月 6, 2025， </w:t>
      </w:r>
      <w:hyperlink r:id="rId33">
        <w:r w:rsidDel="00000000" w:rsidR="00000000" w:rsidRPr="00000000">
          <w:rPr>
            <w:rFonts w:ascii="Google Sans" w:cs="Google Sans" w:eastAsia="Google Sans" w:hAnsi="Google Sans"/>
            <w:color w:val="0000ee"/>
            <w:sz w:val="24"/>
            <w:szCs w:val="24"/>
            <w:u w:val="single"/>
            <w:rtl w:val="0"/>
          </w:rPr>
          <w:t xml:space="preserve">https://law.lia-roc.org.tw/Law/GetFile/0000052574</w:t>
        </w:r>
      </w:hyperlink>
      <w:r w:rsidDel="00000000" w:rsidR="00000000" w:rsidRPr="00000000">
        <w:rPr>
          <w:rtl w:val="0"/>
        </w:rPr>
      </w:r>
    </w:p>
    <w:p w:rsidR="00000000" w:rsidDel="00000000" w:rsidP="00000000" w:rsidRDefault="00000000" w:rsidRPr="00000000" w14:paraId="0000017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www.fubon.com, 檢索日期：5月 6, 2025， </w:t>
      </w:r>
      <w:hyperlink r:id="rId34">
        <w:r w:rsidDel="00000000" w:rsidR="00000000" w:rsidRPr="00000000">
          <w:rPr>
            <w:rFonts w:ascii="Google Sans" w:cs="Google Sans" w:eastAsia="Google Sans" w:hAnsi="Google Sans"/>
            <w:color w:val="0000ee"/>
            <w:sz w:val="24"/>
            <w:szCs w:val="24"/>
            <w:u w:val="single"/>
            <w:rtl w:val="0"/>
          </w:rPr>
          <w:t xml:space="preserve">https://www.fubon.com/life/cms/44774F2F0F0843F98CC080EFD3C1B6DB/2024-05/202405161409129571485612.pdf</w:t>
        </w:r>
      </w:hyperlink>
      <w:r w:rsidDel="00000000" w:rsidR="00000000" w:rsidRPr="00000000">
        <w:rPr>
          <w:rtl w:val="0"/>
        </w:rPr>
      </w:r>
    </w:p>
    <w:p w:rsidR="00000000" w:rsidDel="00000000" w:rsidP="00000000" w:rsidRDefault="00000000" w:rsidRPr="00000000" w14:paraId="0000017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【國泰金法說2】國壽2024年股海大賺1142億元看後市「等不確定消除再加碼」 - Yahoo股市, 檢索日期：5月 6, 2025， </w:t>
      </w:r>
      <w:hyperlink r:id="rId35">
        <w:r w:rsidDel="00000000" w:rsidR="00000000" w:rsidRPr="00000000">
          <w:rPr>
            <w:rFonts w:ascii="Google Sans" w:cs="Google Sans" w:eastAsia="Google Sans" w:hAnsi="Google Sans"/>
            <w:color w:val="0000ee"/>
            <w:sz w:val="24"/>
            <w:szCs w:val="24"/>
            <w:u w:val="single"/>
            <w:rtl w:val="0"/>
          </w:rPr>
          <w:t xml:space="preserve">https://tw.stock.yahoo.com/news/%E3%80%90%E5%9C%8B%E6%B3%B0%E9%87%91%E6%B3%95%E8%AA%AA2%E3%80%91%E5%9C%8B%E5%A3%BD2024%E5%B9%B4%E8%82%A1%E6%B5%B7%E5%A4%A7%E8%B3%BA1142%E5%84%84%E5%85%83-%E7%9C%8B%E5%BE%8C%E5%B8%82%E3%80%8C%E7%AD%89%E4%B8%8D%E7%A2%BA%E5%AE%9A%E6%B6%88%E9%99%A4%E5%86%8D%E5%8A%A0%E7%A2%BC%E3%80%8D-072514482.html</w:t>
        </w:r>
      </w:hyperlink>
      <w:r w:rsidDel="00000000" w:rsidR="00000000" w:rsidRPr="00000000">
        <w:rPr>
          <w:rtl w:val="0"/>
        </w:rPr>
      </w:r>
    </w:p>
    <w:p w:rsidR="00000000" w:rsidDel="00000000" w:rsidP="00000000" w:rsidRDefault="00000000" w:rsidRPr="00000000" w14:paraId="0000017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一一一年度年報 - 國泰人壽, 檢索日期：5月 6, 2025， </w:t>
      </w:r>
      <w:hyperlink r:id="rId36">
        <w:r w:rsidDel="00000000" w:rsidR="00000000" w:rsidRPr="00000000">
          <w:rPr>
            <w:rFonts w:ascii="Google Sans" w:cs="Google Sans" w:eastAsia="Google Sans" w:hAnsi="Google Sans"/>
            <w:color w:val="0000ee"/>
            <w:sz w:val="24"/>
            <w:szCs w:val="24"/>
            <w:u w:val="single"/>
            <w:rtl w:val="0"/>
          </w:rPr>
          <w:t xml:space="preserve">https://www.cathaylife.com.tw/cathaylife/-/media/66981d51431f4b3d83ee487813bce95d.pdf?sc_lang=zh-tw</w:t>
        </w:r>
      </w:hyperlink>
      <w:r w:rsidDel="00000000" w:rsidR="00000000" w:rsidRPr="00000000">
        <w:rPr>
          <w:rtl w:val="0"/>
        </w:rPr>
      </w:r>
    </w:p>
    <w:p w:rsidR="00000000" w:rsidDel="00000000" w:rsidP="00000000" w:rsidRDefault="00000000" w:rsidRPr="00000000" w14:paraId="0000017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一一一年度年報, 檢索日期：5月 6, 2025， </w:t>
      </w:r>
      <w:hyperlink r:id="rId37">
        <w:r w:rsidDel="00000000" w:rsidR="00000000" w:rsidRPr="00000000">
          <w:rPr>
            <w:rFonts w:ascii="Google Sans" w:cs="Google Sans" w:eastAsia="Google Sans" w:hAnsi="Google Sans"/>
            <w:color w:val="0000ee"/>
            <w:sz w:val="24"/>
            <w:szCs w:val="24"/>
            <w:u w:val="single"/>
            <w:rtl w:val="0"/>
          </w:rPr>
          <w:t xml:space="preserve">https://www.ir-cloud.com/taiwan/2882/annual/2022/CH/2022_5846_20230427F04_20230510_114856_JYARBjJN2bMR.pdf</w:t>
        </w:r>
      </w:hyperlink>
      <w:r w:rsidDel="00000000" w:rsidR="00000000" w:rsidRPr="00000000">
        <w:rPr>
          <w:rtl w:val="0"/>
        </w:rPr>
      </w:r>
    </w:p>
    <w:p w:rsidR="00000000" w:rsidDel="00000000" w:rsidP="00000000" w:rsidRDefault="00000000" w:rsidRPr="00000000" w14:paraId="0000017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【國泰金法說】國壽股票大賺938億元看明年「波動一定大」 - Yahoo股市, 檢索日期：5月 6, 2025， </w:t>
      </w:r>
      <w:hyperlink r:id="rId38">
        <w:r w:rsidDel="00000000" w:rsidR="00000000" w:rsidRPr="00000000">
          <w:rPr>
            <w:rFonts w:ascii="Google Sans" w:cs="Google Sans" w:eastAsia="Google Sans" w:hAnsi="Google Sans"/>
            <w:color w:val="0000ee"/>
            <w:sz w:val="24"/>
            <w:szCs w:val="24"/>
            <w:u w:val="single"/>
            <w:rtl w:val="0"/>
          </w:rPr>
          <w:t xml:space="preserve">https://tw.stock.yahoo.com/news/%E3%80%90%E5%9C%8B%E6%B3%B0%E9%87%91%E6%B3%95%E8%AA%AA%E3%80%91%E5%9C%8B%E5%A3%BD%E8%82%A1%E7%A5%A8%E5%A4%A7%E8%B3%BA938%E5%84%84%E5%85%83-%E7%9C%8B%E6%98%8E%E5%B9%B4%E3%80%8C%E6%B3%A2%E5%8B%95%E4%B8%80%E5%AE%9A%E5%A4%A7%E3%80%8D-065844322.html</w:t>
        </w:r>
      </w:hyperlink>
      <w:r w:rsidDel="00000000" w:rsidR="00000000" w:rsidRPr="00000000">
        <w:rPr>
          <w:rtl w:val="0"/>
        </w:rPr>
      </w:r>
    </w:p>
    <w:p w:rsidR="00000000" w:rsidDel="00000000" w:rsidP="00000000" w:rsidRDefault="00000000" w:rsidRPr="00000000" w14:paraId="0000018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一一 年度年報 - 國泰人壽, 檢索日期：5月 6, 2025， </w:t>
      </w:r>
      <w:hyperlink r:id="rId39">
        <w:r w:rsidDel="00000000" w:rsidR="00000000" w:rsidRPr="00000000">
          <w:rPr>
            <w:rFonts w:ascii="Google Sans" w:cs="Google Sans" w:eastAsia="Google Sans" w:hAnsi="Google Sans"/>
            <w:color w:val="0000ee"/>
            <w:sz w:val="24"/>
            <w:szCs w:val="24"/>
            <w:u w:val="single"/>
            <w:rtl w:val="0"/>
          </w:rPr>
          <w:t xml:space="preserve">https://www.cathaylife.com.tw/cathaylife/-/media/3db0ff75b10a4f00ae760ca96ec5da45.pdf?sc_lang=zh-tw</w:t>
        </w:r>
      </w:hyperlink>
      <w:r w:rsidDel="00000000" w:rsidR="00000000" w:rsidRPr="00000000">
        <w:rPr>
          <w:rtl w:val="0"/>
        </w:rPr>
      </w:r>
    </w:p>
    <w:p w:rsidR="00000000" w:rsidDel="00000000" w:rsidP="00000000" w:rsidRDefault="00000000" w:rsidRPr="00000000" w14:paraId="0000018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2024年全年法說會新聞稿| 富邦金控Fubon Financial, 檢索日期：5月 6, 2025， </w:t>
      </w:r>
      <w:hyperlink r:id="rId40">
        <w:r w:rsidDel="00000000" w:rsidR="00000000" w:rsidRPr="00000000">
          <w:rPr>
            <w:rFonts w:ascii="Google Sans" w:cs="Google Sans" w:eastAsia="Google Sans" w:hAnsi="Google Sans"/>
            <w:color w:val="0000ee"/>
            <w:sz w:val="24"/>
            <w:szCs w:val="24"/>
            <w:u w:val="single"/>
            <w:rtl w:val="0"/>
          </w:rPr>
          <w:t xml:space="preserve">https://www.fubon.com/financialholdings/news/news_1250317_206988.htm</w:t>
        </w:r>
      </w:hyperlink>
      <w:r w:rsidDel="00000000" w:rsidR="00000000" w:rsidRPr="00000000">
        <w:rPr>
          <w:rtl w:val="0"/>
        </w:rPr>
      </w:r>
    </w:p>
    <w:p w:rsidR="00000000" w:rsidDel="00000000" w:rsidP="00000000" w:rsidRDefault="00000000" w:rsidRPr="00000000" w14:paraId="0000018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富邦金融控股股份有限公司, 檢索日期：5月 6, 2025， </w:t>
      </w:r>
      <w:hyperlink r:id="rId41">
        <w:r w:rsidDel="00000000" w:rsidR="00000000" w:rsidRPr="00000000">
          <w:rPr>
            <w:rFonts w:ascii="Google Sans" w:cs="Google Sans" w:eastAsia="Google Sans" w:hAnsi="Google Sans"/>
            <w:color w:val="0000ee"/>
            <w:sz w:val="24"/>
            <w:szCs w:val="24"/>
            <w:u w:val="single"/>
            <w:rtl w:val="0"/>
          </w:rPr>
          <w:t xml:space="preserve">https://www.irpro.co/2881/annual/2023/CH/20240520155054-7.pdf</w:t>
        </w:r>
      </w:hyperlink>
      <w:r w:rsidDel="00000000" w:rsidR="00000000" w:rsidRPr="00000000">
        <w:rPr>
          <w:rtl w:val="0"/>
        </w:rPr>
      </w:r>
    </w:p>
    <w:p w:rsidR="00000000" w:rsidDel="00000000" w:rsidP="00000000" w:rsidRDefault="00000000" w:rsidRPr="00000000" w14:paraId="0000018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壽險業5大策略因應變局—美大選後雙率皆降？,時事直擊,智勝文化:跨 ..., 檢索日期：5月 6, 2025， </w:t>
      </w:r>
      <w:hyperlink r:id="rId42">
        <w:r w:rsidDel="00000000" w:rsidR="00000000" w:rsidRPr="00000000">
          <w:rPr>
            <w:rFonts w:ascii="Google Sans" w:cs="Google Sans" w:eastAsia="Google Sans" w:hAnsi="Google Sans"/>
            <w:color w:val="0000ee"/>
            <w:sz w:val="24"/>
            <w:szCs w:val="24"/>
            <w:u w:val="single"/>
            <w:rtl w:val="0"/>
          </w:rPr>
          <w:t xml:space="preserve">https://www.bestwise.com.tw/current/post.aspx?ipost=8748</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fubon.com/financialholdings/news/news_1250317_206988.htm" TargetMode="External"/><Relationship Id="rId20" Type="http://schemas.openxmlformats.org/officeDocument/2006/relationships/hyperlink" Target="https://www.tii.org.tw/tii/information/information1/000005.html" TargetMode="External"/><Relationship Id="rId42" Type="http://schemas.openxmlformats.org/officeDocument/2006/relationships/hyperlink" Target="https://www.bestwise.com.tw/current/post.aspx?ipost=8748" TargetMode="External"/><Relationship Id="rId41" Type="http://schemas.openxmlformats.org/officeDocument/2006/relationships/hyperlink" Target="https://www.irpro.co/2881/annual/2023/CH/20240520155054-7.pdf" TargetMode="External"/><Relationship Id="rId22" Type="http://schemas.openxmlformats.org/officeDocument/2006/relationships/hyperlink" Target="https://www.ctee.com.tw/news/20250423700061-439901" TargetMode="External"/><Relationship Id="rId21" Type="http://schemas.openxmlformats.org/officeDocument/2006/relationships/hyperlink" Target="https://www.tii.org.tw/tii/information/information1/000001.html" TargetMode="External"/><Relationship Id="rId24" Type="http://schemas.openxmlformats.org/officeDocument/2006/relationships/hyperlink" Target="https://abmedia.io/taiwan-regulator-summons-life-insurers-as-twd-sharp-appreciation" TargetMode="External"/><Relationship Id="rId23" Type="http://schemas.openxmlformats.org/officeDocument/2006/relationships/hyperlink" Target="https://tw.stock.yahoo.com/news/%E7%BE%8E%E5%82%B5%E9%A2%A8%E6%9A%B4%E4%BE%86%E8%A5%B2-%E5%A3%BD%E9%9A%AA2%E6%8B%9B%E6%87%89%E5%B0%8D-201000333.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pefx.com.tw/uploads/download/tw/Insurance%20foreign%20currency%20investment%20analysis.pdf" TargetMode="External"/><Relationship Id="rId26" Type="http://schemas.openxmlformats.org/officeDocument/2006/relationships/hyperlink" Target="https://www.irpro.co/2881/events/454/EN/20240523185045-1.pdf" TargetMode="External"/><Relationship Id="rId25" Type="http://schemas.openxmlformats.org/officeDocument/2006/relationships/hyperlink" Target="https://www.cathayholdings.com/holdings/-/media/0cf87f33aa49423da5851855d4194e09.pdf?sc_lang=zh-tw" TargetMode="External"/><Relationship Id="rId28" Type="http://schemas.openxmlformats.org/officeDocument/2006/relationships/hyperlink" Target="https://money.udn.com/money/story/5613/8715380" TargetMode="External"/><Relationship Id="rId27" Type="http://schemas.openxmlformats.org/officeDocument/2006/relationships/hyperlink" Target="https://www.irpro.co/2881/events/471/CH/20240829133446-1.pdf" TargetMode="External"/><Relationship Id="rId5" Type="http://schemas.openxmlformats.org/officeDocument/2006/relationships/styles" Target="styles.xml"/><Relationship Id="rId6" Type="http://schemas.openxmlformats.org/officeDocument/2006/relationships/hyperlink" Target="https://news.cnyes.com/news/id/5961701" TargetMode="External"/><Relationship Id="rId29" Type="http://schemas.openxmlformats.org/officeDocument/2006/relationships/hyperlink" Target="https://money.udn.com/money/story/5613/8708154?from=edn_newestlist_rank" TargetMode="External"/><Relationship Id="rId7" Type="http://schemas.openxmlformats.org/officeDocument/2006/relationships/hyperlink" Target="https://vocus.cc/article/640866bcfd8978000114efb0" TargetMode="External"/><Relationship Id="rId8" Type="http://schemas.openxmlformats.org/officeDocument/2006/relationships/hyperlink" Target="https://www.tpefx.com.tw/uploads/download/tw/A%20Study%20of%20the%20Impact%20of%20Foreign%20Investment%20Limits%20of.pdf" TargetMode="External"/><Relationship Id="rId31" Type="http://schemas.openxmlformats.org/officeDocument/2006/relationships/hyperlink" Target="https://news.cnyes.com/news/id/5903348" TargetMode="External"/><Relationship Id="rId30" Type="http://schemas.openxmlformats.org/officeDocument/2006/relationships/hyperlink" Target="https://www.ib.gov.tw/ch/home.jsp?id=3&amp;parentpath=0&amp;mcustomize=lawnew_view.jsp&amp;dataserno=202303240002&amp;dtable=NewsLaw" TargetMode="External"/><Relationship Id="rId11" Type="http://schemas.openxmlformats.org/officeDocument/2006/relationships/hyperlink" Target="https://tw.stock.yahoo.com/news/%E5%A3%BD%E9%9A%AA%E6%A5%AD%E9%9D%A2%E8%87%A8%E8%82%A1%E5%82%B5%E5%8C%AF%E4%B8%89%E6%AE%BA-%E5%BD%AD%E9%87%91%E9%9A%86%E7%81%AB%E7%B7%9A%E5%9B%9E%E6%87%89-110459436.html" TargetMode="External"/><Relationship Id="rId33" Type="http://schemas.openxmlformats.org/officeDocument/2006/relationships/hyperlink" Target="https://law.lia-roc.org.tw/Law/GetFile/0000052574" TargetMode="External"/><Relationship Id="rId10" Type="http://schemas.openxmlformats.org/officeDocument/2006/relationships/hyperlink" Target="https://money.udn.com/money/story/5613/8702477" TargetMode="External"/><Relationship Id="rId32" Type="http://schemas.openxmlformats.org/officeDocument/2006/relationships/hyperlink" Target="https://www.cathayholdings.com/holdings/-/media/558dc3668e7d47adb69d4d2571d0f42c.pdf?sc_lang=zh-tw" TargetMode="External"/><Relationship Id="rId13" Type="http://schemas.openxmlformats.org/officeDocument/2006/relationships/hyperlink" Target="https://udn.com/news/story/7239/8656590" TargetMode="External"/><Relationship Id="rId35" Type="http://schemas.openxmlformats.org/officeDocument/2006/relationships/hyperlink" Target="https://tw.stock.yahoo.com/news/%E3%80%90%E5%9C%8B%E6%B3%B0%E9%87%91%E6%B3%95%E8%AA%AA2%E3%80%91%E5%9C%8B%E5%A3%BD2024%E5%B9%B4%E8%82%A1%E6%B5%B7%E5%A4%A7%E8%B3%BA1142%E5%84%84%E5%85%83-%E7%9C%8B%E5%BE%8C%E5%B8%82%E3%80%8C%E7%AD%89%E4%B8%8D%E7%A2%BA%E5%AE%9A%E6%B6%88%E9%99%A4%E5%86%8D%E5%8A%A0%E7%A2%BC%E3%80%8D-072514482.html" TargetMode="External"/><Relationship Id="rId12" Type="http://schemas.openxmlformats.org/officeDocument/2006/relationships/hyperlink" Target="https://www.cdic.gov.tw/upload/cont_att/37-2-3.pdf" TargetMode="External"/><Relationship Id="rId34" Type="http://schemas.openxmlformats.org/officeDocument/2006/relationships/hyperlink" Target="https://www.fubon.com/life/cms/44774F2F0F0843F98CC080EFD3C1B6DB/2024-05/202405161409129571485612.pdf" TargetMode="External"/><Relationship Id="rId15" Type="http://schemas.openxmlformats.org/officeDocument/2006/relationships/hyperlink" Target="https://assets.kpmg.com/content/dam/kpmg/tw/pdf/2024/07/taiwan-banking-report-2024.pdf" TargetMode="External"/><Relationship Id="rId37" Type="http://schemas.openxmlformats.org/officeDocument/2006/relationships/hyperlink" Target="https://www.ir-cloud.com/taiwan/2882/annual/2022/CH/2022_5846_20230427F04_20230510_114856_JYARBjJN2bMR.pdf" TargetMode="External"/><Relationship Id="rId14" Type="http://schemas.openxmlformats.org/officeDocument/2006/relationships/hyperlink" Target="https://www.wealth.com.tw/articles/4722663a-bcc2-4c91-8a8f-a29bd5c3548b" TargetMode="External"/><Relationship Id="rId36" Type="http://schemas.openxmlformats.org/officeDocument/2006/relationships/hyperlink" Target="https://www.cathaylife.com.tw/cathaylife/-/media/66981d51431f4b3d83ee487813bce95d.pdf?sc_lang=zh-tw" TargetMode="External"/><Relationship Id="rId17" Type="http://schemas.openxmlformats.org/officeDocument/2006/relationships/hyperlink" Target="https://www.tii.org.tw/export/sites/tii/information/files/17-1_202407.pdf" TargetMode="External"/><Relationship Id="rId39" Type="http://schemas.openxmlformats.org/officeDocument/2006/relationships/hyperlink" Target="https://www.cathaylife.com.tw/cathaylife/-/media/3db0ff75b10a4f00ae760ca96ec5da45.pdf?sc_lang=zh-tw" TargetMode="External"/><Relationship Id="rId16" Type="http://schemas.openxmlformats.org/officeDocument/2006/relationships/hyperlink" Target="https://www.banking.gov.tw/ch/home.jsp?id=595&amp;parentpath=0,590" TargetMode="External"/><Relationship Id="rId38" Type="http://schemas.openxmlformats.org/officeDocument/2006/relationships/hyperlink" Target="https://tw.stock.yahoo.com/news/%E3%80%90%E5%9C%8B%E6%B3%B0%E9%87%91%E6%B3%95%E8%AA%AA%E3%80%91%E5%9C%8B%E5%A3%BD%E8%82%A1%E7%A5%A8%E5%A4%A7%E8%B3%BA938%E5%84%84%E5%85%83-%E7%9C%8B%E6%98%8E%E5%B9%B4%E3%80%8C%E6%B3%A2%E5%8B%95%E4%B8%80%E5%AE%9A%E5%A4%A7%E3%80%8D-065844322.html" TargetMode="External"/><Relationship Id="rId19" Type="http://schemas.openxmlformats.org/officeDocument/2006/relationships/hyperlink" Target="https://www.cbc.gov.tw/dl-204881-f0469a8b1add4744949bb27c604fb41d.html" TargetMode="External"/><Relationship Id="rId18" Type="http://schemas.openxmlformats.org/officeDocument/2006/relationships/hyperlink" Target="https://www.tigf.org.tw/files/file_pool/1/0m081581465219112214/%E4%BF%9D%E9%9A%AA%E6%A5%AD%E8%B3%87%E7%94%A2%E9%85%8D%E7%BD%AE%E7%A0%94%E7%A9%B6%E5%A0%B1%E5%91%8A.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