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台灣金融機構債券曝險、市場風險與避險策略綜合評估</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I. 台灣金融機構債券曝險概覽</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本章節旨在全面檢視台灣金融機構於債券市場的曝險規模與特性，為後續深入探討相關風險奠定基礎。分析將涵蓋不同類型機構、投資地域及資產類別，並特別關注壽險業在此領域扮演的關鍵角色。</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整體債券持有狀況與趨勢（銀行、保險、證券業）</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金融機構持有龐大的債券部位，反映了債券在機構投資組合中作為收益來源、流動性管理及風險分散工具的重要性。根據最新數據，截至2024年5月，銀行、保險及證券三大金融產業合計持有的債券部位已達到新台幣31.26兆元之鉅額 。此龐大規模凸顯了債券市場波動對整體金融體系穩定性的潛在影響。值得注意的是，該月份整體債券持有量的月增長率僅為0.15% ，顯示在當前市場環境下，金融機構對債券的增持速度有所趨緩。此趨緩現象可能與多重因素相關，例如國內公債標售量減少，以及在美國降息預期減弱的背景下，海外債券殖利率吸引力相對下降等 。這種對市場供給與相對價值的敏感性，暗示機構的債券配置策略並非靜態，而是會根據市場狀況積極調整。若此趨緩態勢持續，可能意味著機構在進行更廣泛的風險調整，或是在債券市場條件（如殖利率、風險）持續不利的情況下，轉向尋求其他資產類別。</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金融監督管理委員會（金管會）銀行局亦定期公布本國金控集團的國內外曝險統計，為分析整體趨勢提供了官方數據來源 。這些季度報告（目前可得資料至2025年第一季，並已規劃更新至2026年第一季）是追蹤曝險變化的重要參考。此外，金管會銀行局提供的「金融機構財務統計」等資料，亦有助於理解金融機構總體資產配置的背景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近年來，台灣金融機構的海外曝險顯著增長，進一步凸顯了國際金融市場對國內金融體系的影響。截至近期統計（年份未明確，但上下文暗示為近期數據），台灣金控集團的海外總曝險金額首次突破新台幣29.1兆元，其中對美國的曝險金額在2024年第一季已達新台幣10.35兆元 。此龐大的海外曝險中，債券投資佔據了相當比重。這種海外投資的國際化趨勢，雖然有助於分散單一市場風險並尋求較佳收益，但也使台灣金融體系高度暴露於國際經濟政策（尤其是美國）、利率變動及匯率波動的風險之下。特定市場（如美國）的高度集中，更可能帶來獨特的脆弱性，這與使用者對於外匯風險及避險需求的關切緊密相關。</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表1.1：台灣金融機構各業別債券總持有量 (最近八季趨勢)</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季度</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銀行業 (新台幣兆元)</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保險業 (新台幣兆元)</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證券業 (新台幣兆元)</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總計 (新台幣兆元)</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總資產佔比 (保險業)</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國內/國外 (保險業)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2022 Q2</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2022 Q3</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2022 Q4</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 Q1</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 Q2</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 Q3</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 Q4</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Q1</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Q2</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31.26 (5月底)</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註：詳細數據需參考金管會銀行局 、保險局、證期局及保發中心 、央行等機構發布之最新統計數據。 提供2024年5月底金融三業總計數據。保險業資金運用表為主要參考。</w:t>
            </w:r>
          </w:p>
        </w:tc>
        <w:tc>
          <w:tcPr>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表格旨在量化金融機構的債券曝險，追蹤最近八個季度的趨勢將有助於揭示投資策略的轉變、風險偏好的變化以及對市場狀況（如利率上升）的反應。國內與國外債券的劃分對於理解外匯風險曝險至關重要。比較各行業債券佔總資產的百分比，則能突顯哪些機構對債券市場的波動最為敏感。</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B. 焦點分析：壽險業之國內外債券投資組合</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壽險業因其負債長天期的特性，以及追求穩定收益以匹配保單負債的需求，成為債券市場最主要的投資者之一，其投資規模，特別是在海外債券市場的佈局，對整體金融穩定具有舉足輕重的影響。</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台灣壽險公司持有約7670億美元的海外資產，其中絕大部分是以美元計價的債券，涵蓋美國公債、公司債及機構債 。此一龐大數字不僅突顯了壽險業的系統重要性，也使其直接暴露於美元資產的各類風險之中。台灣亦是美國公債的第十大持有者，截至近期（年份暗示為2024年或2025年初）2月，持有規模約2950億美元 。由於國內市場的投資報酬率相對較低，難以滿足保險公司因負債成本所產生的需求，壽險公司長期以來積極尋求海外投資機會以獲取更高的報酬 。例如在2015年，壽險業海外投資金額已達新台幣9.73兆元，佔可運用資金的55.7% 。雖然此為早期數據，但確立了壽險業倚重海外投資的長期趨勢。根據KPMG於2024年發布的台灣保險業報告，2023年整體保險業總資產已超過新台幣35兆元，其中壽險業保費收入約為新台幣2.19兆元 。這些數據為理解壽險業的龐大規模提供了最新的背景。</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欲取得壽險業國內外債券投資組合的最新詳細分類，主要需參考保險事業發展中心（保發中心）提供的壽險業「資金運用表」 。截至2024年6月17日的資料應已可供查閱。金管會的開放資料平台亦提及可取得保險業資金運用相關統計，包含政府公債、公司債、金融債券等細項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壽險業的投資組合並非一成不變。市場狀況的變化會促使其進行積極管理。例如，在2024年11月（年份由上下文推斷），壽險業大舉減持海外債券約新台幣860億元，同時增加了對國內債券及債券ETF的投資 。此舉顯示壽險公司會根據市場預期（如匯率走勢、利率變動）及避險成本等因素，動態調整其資產配置。</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這種對海外固定收益的結構性依賴，源於國內長期低利率的環境（歷史數據顯示台灣30年期公債殖利率曾低至1.063%，20年期亦曾跌破1% ）以及壽險公司匹配其長期負債的需求。為追求必要的投資回報，壽險業不得不將大量資金投向海外，尤其是過去能提供較佳收益的美元債券市場 。然而，這也造成了根本性的貨幣錯配問題（資產主要為美元，負債主要為新台幣），使得外匯避險成為其營運中至關重要的一環，同時也帶來了高昂的避險成本，此點與使用者提出的核心關切相符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壽險公司在其龐大投資組合的驅動下，其投資決策本身就可能對市場產生顯著影響。無論是國內或國際市場，壽險業的大規模買賣行為都可能影響特定債券種類的價格和流動性。其作為美國公債的重要持有者 ，使其在該市場亦扮演了不容忽視的角色。若壽險資金大規模班師回朝，轉向新台幣債券，則可能進一步壓低國內市場殖利率，或吸納大部分新增供給。</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表1.2：壽險業債券投資組合分析 (最近一季，新台幣十億元及佔總投資資產百分比)</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投資類別</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金額 (新台幣十億元)</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佔總投資資產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國內債券</w:t>
            </w:r>
          </w:p>
        </w:tc>
        <w:tc>
          <w:tcPr>
            <w:shd w:fill="auto" w:val="clear"/>
            <w:tcMar>
              <w:top w:w="0.0" w:type="dxa"/>
              <w:left w:w="0.0" w:type="dxa"/>
              <w:bottom w:w="0.0" w:type="dxa"/>
              <w:right w:w="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政府公債</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公司債</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金融債券</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國外債券</w:t>
            </w:r>
          </w:p>
        </w:tc>
        <w:tc>
          <w:tcPr>
            <w:shd w:fill="auto" w:val="clear"/>
            <w:tcMar>
              <w:top w:w="0.0" w:type="dxa"/>
              <w:left w:w="0.0" w:type="dxa"/>
              <w:bottom w:w="0.0" w:type="dxa"/>
              <w:right w:w="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美元計價 (總計)</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美國政府公債</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美國機構債</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美國公司債</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其他美元債</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其他外幣計價</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總計</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註：詳細數據需參考保險事業發展中心最新「資金運用表」 。 提供相關背景資訊。</w:t>
            </w:r>
          </w:p>
        </w:tc>
        <w:tc>
          <w:tcPr>
            <w:shd w:fill="auto" w:val="clear"/>
            <w:tcMar>
              <w:top w:w="0.0" w:type="dxa"/>
              <w:left w:w="0.0" w:type="dxa"/>
              <w:bottom w:w="0.0" w:type="dxa"/>
              <w:right w:w="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表格將直接呈現壽險業的債券曝險狀況。國外與國內部位的劃分，對於理解外匯風險的規模至關重要。國外債券按幣別（主要是美元）及債券類型（政府、公司）的細分，則有助於評估信用風險的集中度。這些數據是理解第三章所討論的避險挑戰幅度的基礎。</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C. 海外債券投資之地域與信用品質分佈解析 (以銀行及保險業為主)</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深入分析台灣金融機構海外債券投資的地域分佈與信用品質，有助於更清晰地掌握其風險特徵。</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銀行業海外曝險分析：</w:t>
      </w:r>
      <w:r w:rsidDel="00000000" w:rsidR="00000000" w:rsidRPr="00000000">
        <w:rPr>
          <w:rFonts w:ascii="Arial Unicode MS" w:cs="Arial Unicode MS" w:eastAsia="Arial Unicode MS" w:hAnsi="Arial Unicode MS"/>
          <w:rtl w:val="0"/>
        </w:rPr>
        <w:t xml:space="preserve"> 根據央行及金管會的資料，台灣銀行業的海外曝險呈現地域多元但亦有集中的特性。2021年第二季的數據顯示，國銀前十大曝險國家及地區佔海外債權直接風險餘額約73.85%，其中美國以1132.8億美元位居首位，且連續24季居冠，反映台美貿易關係的持續熱絡。其他主要曝險國依序為盧森堡、香港、日本、澳大利亞、開曼群島、新加坡、英國及越南 。近期（日期未明確，但應晚於2021年）的央行資料則顯示，銀行業前十大曝險國家（地區）調整為美國、中國大陸、盧森堡、日本、澳大利亞、香港、韓國、法國、英國及開曼群島，合計曝險4461億美元，佔保證人基礎外國債權淨額的74.40%。曝險對象以非銀行之私人部門為主，佔54.02%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值得注意的是銀行業對中國大陸的曝險變化。該曝險比重（含授信、投資及同業拆借）自2014年第四季的68%高峰後，受美中貿易戰、疫情等因素影響，呈現逐季下滑趨勢，至2021年第一季已降至淨值的39%，為歷史低點 。金管會規定銀行對中國大陸曝險佔淨值比不得超過100%，超過80%將列入警示。截至2021年第一季，僅凱基銀行（71%）超過70% 。此趨勢反映了銀行業在監管引導及風險考量下，對中國大陸曝險的審慎態度。金管會亦曾修正規定，納入大陸地區中央政府債券及符合特定信用條件之金融機構定存單為合格擔保品 ，並訂有詳細的大陸地區曝險計算及風險移轉規範 ，顯示對此類曝險的嚴格控管。</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保險業海外投資分析 (債券特性推斷)：</w:t>
      </w:r>
      <w:r w:rsidDel="00000000" w:rsidR="00000000" w:rsidRPr="00000000">
        <w:rPr>
          <w:rFonts w:ascii="Arial Unicode MS" w:cs="Arial Unicode MS" w:eastAsia="Arial Unicode MS" w:hAnsi="Arial Unicode MS"/>
          <w:rtl w:val="0"/>
        </w:rPr>
        <w:t xml:space="preserve"> 壽險業約7670億美元的海外資產，主要集中於美元計價的債券，包括美國公債、公司債與機構債 。這明確指向其投資組合在地域上高度集中於美國市場，幣別上則以美元為主。富邦人壽的海外固定收益投資組合亦顯示，其資產配置以投資等級公司債與金融債為主，地域分佈上北美為最大宗，其次為歐洲及亞洲 。此單一大型壽險公司的案例，進一步印證了整體壽險業對美國市場及投資等級債券的偏好。外匯風險方面，美元和人民幣兌台幣的波動度相對較小，而日圓、歐元和英鎊的波動度相近 ，此特性可能影響壽險公司在進行未避險部位配置或選擇避險工具時的考量。</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證券業海外債券參與：</w:t>
      </w:r>
      <w:r w:rsidDel="00000000" w:rsidR="00000000" w:rsidRPr="00000000">
        <w:rPr>
          <w:rFonts w:ascii="Arial Unicode MS" w:cs="Arial Unicode MS" w:eastAsia="Arial Unicode MS" w:hAnsi="Arial Unicode MS"/>
          <w:rtl w:val="0"/>
        </w:rPr>
        <w:t xml:space="preserve"> 證券自營商亦參與海外債券市場。自2017年12月起，證券自營商需向櫃買中心按月申報「外幣債券庫存月報表」，內容包含外幣債券部位、損益及利率風險指標等項目 。此外，金管會於2025年1月宣布研議開放證券自營商辦理「自行買賣特定外國債券業務」，允許其提供不足面額之特定外國債券予投資人，此舉旨在擴大證券商業務範疇，並降低一般投資人參與債券投資的門檻 。這顯示證券業在海外債券市場的角色可能進一步擴展，其投資組合的風險特性也將隨之演變。</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從上述分析可見，台灣金融機構的海外債券投資呈現一些顯著特徵。首先，壽險業的海外投資高度集中於美元資產，特別是美國市場的債券。銀行業的海外曝險則相對多元，但美國仍是其最主要的曝險國。其次，銀行業對中國大陸的曝險已受到嚴格控管並降至歷史低位，反映了風險意識的提升及監管的要求。再者，從壽險業的投資偏好（如富邦人壽的案例）來看，投資等級債券是其海外固定收益配置的主流，這有助於控制信用風險，但即便如此，投資等級公司債仍帶有利差風險，且在市場壓力下可能與利率風險及匯率風險產生連動。這些地理上和信用質量上的集中性，使得台灣金融體系，尤其是壽險業，對美國的利率政策、美元匯率以及美國債券市場的表現高度敏感，也使其對美元兌新台幣的避險工具需求巨大且迫切。</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表1.3：指標性大型壽險公司海外債券投資組合範例 (截至最近可得季度)</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項目</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百分比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按地區分類</w:t>
            </w:r>
          </w:p>
        </w:tc>
        <w:tc>
          <w:tcPr>
            <w:shd w:fill="auto" w:val="clear"/>
            <w:tcMar>
              <w:top w:w="0.0" w:type="dxa"/>
              <w:left w:w="0.0" w:type="dxa"/>
              <w:bottom w:w="0.0" w:type="dxa"/>
              <w:right w:w="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北美</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(例如60-70%)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歐洲</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(例如15-25%)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亞洲 (不含日本)</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(例如5-10%)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其他</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按信用評級分類</w:t>
            </w:r>
          </w:p>
        </w:tc>
        <w:tc>
          <w:tcPr>
            <w:shd w:fill="auto" w:val="clear"/>
            <w:tcMar>
              <w:top w:w="0.0" w:type="dxa"/>
              <w:left w:w="0.0" w:type="dxa"/>
              <w:bottom w:w="0.0" w:type="dxa"/>
              <w:right w:w="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AAA</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BBB</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非投資等級</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按資產類別分類</w:t>
            </w:r>
          </w:p>
        </w:tc>
        <w:tc>
          <w:tcPr>
            <w:shd w:fill="auto" w:val="clear"/>
            <w:tcMar>
              <w:top w:w="0.0" w:type="dxa"/>
              <w:left w:w="0.0" w:type="dxa"/>
              <w:bottom w:w="0.0" w:type="dxa"/>
              <w:right w:w="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主權債</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超國家及機構債</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公司債 (金融)</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公司債 (非金融)</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註：此表格為示意，實際數據需參考個別公司如富邦人壽 或國泰人壽 、南山人壽 等公司發布之最新財務報告或法人說明會資料。此處百分比為根據一般市場情況推估之範例。</w:t>
            </w:r>
          </w:p>
        </w:tc>
        <w:tc>
          <w:tcPr>
            <w:shd w:fill="auto" w:val="clear"/>
            <w:tcMar>
              <w:top w:w="0.0" w:type="dxa"/>
              <w:left w:w="0.0" w:type="dxa"/>
              <w:bottom w:w="0.0" w:type="dxa"/>
              <w:right w:w="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表格旨在提供一個具體的海外債券投資組合地域與信用風險分佈圖像，使「海外債券曝險」這一抽象概念更為清晰。它能突顯風險集中度（例如，對北美投資等級公司債的高度依賴），並為理解利率風險（不同債券類型/評級的存續期影響不同）和信用風險的具體驅動因素提供基礎。這些詳細資訊對於後續討論避險策略及其成本至關重要，因為基礎資產的特性會直接影響避險工具的選擇與效益。</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D. 債券曝險之監理框架與資本適足影響</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台灣金融主管機關對金融機構的債券投資及其相關風險，訂有相應的監理規範與資本適足要求，旨在維持金融體系的穩健。</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市場風險資本計提：</w:t>
      </w:r>
      <w:r w:rsidDel="00000000" w:rsidR="00000000" w:rsidRPr="00000000">
        <w:rPr>
          <w:rFonts w:ascii="Arial Unicode MS" w:cs="Arial Unicode MS" w:eastAsia="Arial Unicode MS" w:hAnsi="Arial Unicode MS"/>
          <w:rtl w:val="0"/>
        </w:rPr>
        <w:t xml:space="preserve"> 金管會銀行局針對銀行交易簿內的市場風險訂有明確的資本計提規範，涵蓋利率風險、權益證券風險、外匯風險及商品風險等四大類別 。就利率風險而言，其範圍包括債券、信用衍生性商品、利率交換、債券期貨等。資本計提需考量個別風險（Specific Risk，源於發行人特定因素）及一般市場風險（General Market Risk，源於整體市場利率變動）。計算一般市場風險時，廣泛採用「到期期間法」（Maturity Method），將不同到期日及票面利率的長短部位歸入特定的時間帶（Time Bands） 。值得注意的是，利率及權益證券僅需就交易簿部位計提市場風險資本，而外匯及商品則需就所有部位計提 。此交易簿與銀行簿的劃分，對資本計提方式有著根本性的影響。</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保險業資本適足性 (RBC)：</w:t>
      </w:r>
      <w:r w:rsidDel="00000000" w:rsidR="00000000" w:rsidRPr="00000000">
        <w:rPr>
          <w:rFonts w:ascii="Arial Unicode MS" w:cs="Arial Unicode MS" w:eastAsia="Arial Unicode MS" w:hAnsi="Arial Unicode MS"/>
          <w:rtl w:val="0"/>
        </w:rPr>
        <w:t xml:space="preserve"> 保險業的資本適足性主要透過風險基礎資本（RBC）制度進行衡量。台灣金融研究發展基金會（TIGF）的報告曾建議改革現行RBC制度中對匯率風險資本的計算方式，例如針對不同幣別給予不同的風險係數，並考量幣別間的相關性 。這反映出現行RBC框架在捕捉複雜外匯風險方面可能尚有優化空間。儘管如此，保險業的資本狀況在近年有所改善。KPMG的報告指出，2023年壽險業淨值大幅增長41.2%至新台幣2.25兆元，產險業淨值更巨幅增長108.1%至新台幣1278億元，逐步擺脫先前疫情相關理賠的衝擊 。此一資本基礎的增強，對於吸收來自債券市場和外匯市場的潛在衝擊至關重要。</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特定曝險規範 (如中國大陸地區)：</w:t>
      </w:r>
      <w:r w:rsidDel="00000000" w:rsidR="00000000" w:rsidRPr="00000000">
        <w:rPr>
          <w:rFonts w:ascii="Arial Unicode MS" w:cs="Arial Unicode MS" w:eastAsia="Arial Unicode MS" w:hAnsi="Arial Unicode MS"/>
          <w:rtl w:val="0"/>
        </w:rPr>
        <w:t xml:space="preserve"> 針對特定地區的曝險，主管機關亦設有明確上限。例如，金管會規定本國銀行對中國大陸的總曝險（含授信、投資及同業拆借）不得超過其淨值的100%，若超過80%即會被列為警示名單 。此規定直接將資本與特定地域曝險掛鉤，以控制潛在風險。</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證券業資本適足規範：</w:t>
      </w:r>
      <w:r w:rsidDel="00000000" w:rsidR="00000000" w:rsidRPr="00000000">
        <w:rPr>
          <w:rFonts w:ascii="Arial Unicode MS" w:cs="Arial Unicode MS" w:eastAsia="Arial Unicode MS" w:hAnsi="Arial Unicode MS"/>
          <w:rtl w:val="0"/>
        </w:rPr>
        <w:t xml:space="preserve"> 證券商的業務開展與其自有資本適足率密切相關。例如，從事特定衍生性金融商品交易的能力，往往取決於其資本適足率是否達到一定水平（如200%以上），而更高的資本適足率（如300%以上）則允許其持有相對於合格自有資本淨額更大比例的部位 。此外，證券商發行次順位債券作為第二類資本，亦需符合特定條件，這關係到其整體承擔風險的能力，包括持有債券投資部位的風險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銀行體系中，交易簿的債券部位直接適用市場風險資本規定，而銀行簿的債券部位主要受信用風險資本規範，其利率風險（Interest Rate Risk in the Banking Book, IRRBB）則通常透過內部模型及第二支柱監理進行管理。儘管銀行簿中因利率上升導致的大量未實現損失可能不會立即衝擊第一支柱的法定資本適足率，但無疑會侵蝕其經濟價值，並對未來盈餘及流動性構成壓力。</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對於壽險業而言，儘管2023年淨值得以回升 ，但其龐大的海外債券部位 所伴隨的匯率及利率風險規模亦十分巨大。即便資本基礎雄厚，若市場發生劇烈不利變動，尤其在避險不足或成本過高的情況下，淨值仍可能迅速受到侵蝕。這突顯了有效的風險管理、充足的避險以及使用者所關心的「避險工具不足」問題的高度關聯性。</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主管機關透過資本要求、曝險上限等方式積極維護金融穩定。然而，金融市場的快速發展與創新，有時可能領先於法規調整的步伐。例如，針對保險業外匯風險RBC計提的改革建議 ，即反映了此種情況。主管機關在平衡金融穩定、業者營運彈性及國際競爭力之間，持續面臨挑戰。</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II. 台灣債券與匯率風險升溫評估</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本章節將深入探討當前影響台灣金融機構的利率風險、匯率風險及信用風險，並分析這些風險如何交織作用，對金融機構的資產負債表及損益表現構成挑戰。</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台灣債券市場利率風險深度剖析</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當前全球及台灣本地的利率環境，對金融機構持有的大量債券部位估值構成了顯著的利率風險。</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根據中央銀行第18期金融穩定報告（資料截至2024年4月），2023年台灣債券市場殖利率在經歷初期緩跌後呈現逐漸回升態勢，進入2024年初以來，殖利率更進一步走高，顯示市場利率存在上行風險 。存款保險公司（CDIC）的金融穩定報告概述亦指出，中央銀行於2023年3月調升政策利率後，儘管後續金融業隔夜拆款利率持穩，但考量地緣政治風險升溫可能推升通膨，全球債券殖利率的上升壓力依然存在，這將進一步牽動台灣債券殖利率走勢，金融機構持有的債券投資因此面臨顯著的利率風險 。歷史數據曾顯示台灣債券殖利率處於極低水平，例如30年期公債殖利率1.063%，20年期0.988%，10年期亦僅0.70% 。相較於此等歷史低位，近期10年期公債殖利率曾於2023年10月升抵1.34% ，此等轉變對既有債券組合的價值影響甚鉅。</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利率風險的核心機制在於，當市場利率上升時，既有、票面利率較低的債券價格通常會下跌；反之，利率下降則債券價格上揚 。債券的存續期間（Duration）越長，其價格對利率變動的敏感度越高。在先前長時間的低利率環境下，金融機構為了追求收益，可能在其投資組合中配置了相當數量的長天期債券。如今利率反轉向上，這些部位的市場價值便首當其衝。PIMCO的分析強調，低利率環境本身即會提高利率上升時的風險 。施羅德的觀點亦指出，不同的利率與成長情境將直接影響公債殖利率及信用利差，進而決定債券的總體報酬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對銀行而言，利率風險不僅影響債券投資組合的價值，更直接衝擊其核心的淨利息收入，因為銀行的主要資產（放款、債券）與負債（存款）均對利率敏感 。金管會銀行局為此訂定了詳細的利率風險資本計提規則，要求銀行針對交易簿中的利率敏感部位，依其發行人特性（個別風險）及市場利率波動（一般市場風險）提列資本，並採用「到期期間法」將不同期限的債券歸入相應的風險權重級距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從先前極低的殖利率環境（如所述）轉變至當前利率上升的趨勢（如所述），使得金融機構原先持有的債券部位對估值損失的敏感性顯著提高。特別是壽險公司，由於其負債的長天期特性，往往傾向持有長存續期資產以進行匹配，這使其在利率上升週期中面臨更大的債券價格下跌風險。此類未實現損失雖未必立即影響法定資本適足率（尤其對銀行簿部位），但會侵蝕淨值（如提及銀行在2024年5月仍有新台幣2000億元的債券未實現損失），若因流動性需求或其他原因被迫實現損失，則將直接衝擊當期損益。</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台灣的利率風險深受全球因素影響，特別是美國的貨幣政策及影響全球通膨的地緣政治事件 。中央銀行的金融穩定報告明確指出，未來風險取決於主要央行的政策調整及地緣政治發展 。這意味著台灣的金融機構在評估及管理利率風險時，不能僅著眼於國內經濟狀況，而必須將全球動態納入考量，這也增加了避險策略的複雜性。雖然主管機關已透過資本要求（如所述的交易簿規範）試圖緩衝利率風險，但銀行簿利率風險（IRRBB）的龐大規模及其對經濟價值的影響，仍需銀行內部更為精密的風險管理模型及監理機關的持續關注。</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表2.1：台灣主要利率指標趨勢分析</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指標月份/項目</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央行重貼現率 (%)</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10年期公債殖利率 (月平均, %)</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金融業隔夜拆款利率 (月平均, %)</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美國10年期公債殖利率 (月平均,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(最近24個月數據回溯)</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2024年4月</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2024年5月</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註：數據來源主要為中央銀行網站、金管會及財經資訊平台。 提供相關趨勢描述。</w:t>
            </w:r>
          </w:p>
        </w:tc>
        <w:tc>
          <w:tcPr>
            <w:shd w:fill="auto" w:val="clear"/>
            <w:tcMar>
              <w:top w:w="0.0" w:type="dxa"/>
              <w:left w:w="0.0" w:type="dxa"/>
              <w:bottom w:w="0.0" w:type="dxa"/>
              <w:right w:w="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表格旨在清晰呈現使用者查詢中「債券...風險上升」的利率面向。透過追蹤國內關鍵利率指標，並與美國等國際指標進行比較，可以直觀地了解國內債券估值所面臨的壓力，以及國內外投資相對吸引力的變化。這些數據對於理解金融機構持有債券的利率風險背景至關重要。</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B. 新台幣匯率波動及其相關風險評估</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新台幣匯率的波動，對於持有大量海外資產（尤其是美元資產）的台灣金融機構而言，構成了顯著的經營風險。</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存款保險公司（CDIC）的金融穩定報告概述，2023年（民國112年）新台幣對美元匯率大致呈現貶值走勢，但波動幅度相對穩定，全年平均波動率為3.60%。進入2024年初（民國113年），由於美國聯準會維持緊縮貨幣政策及地緣政治風險升溫帶動美元走強，新台幣對美元匯率轉為進一步貶值 。中央銀行的第18期金融穩定報告亦有類似描述，指出2023年新台幣對美元大致貶值，但外匯市場維持動態穩定；2024年初持續走貶，波動幅度亦相對穩定 。報告同時警示，地緣政治風險及氣候變遷為通膨與經貿發展增添不確定性，可能影響新台幣匯率走勢 。壽險公司因其龐大的國外投資部位，在美國貨幣政策走向不明及地緣政治風險影響下，其未避險的外匯部位面臨較高的匯率風險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除了官方報告所描述的溫和貶值趨勢外，市場亦曾出現或預期新台幣大幅升值的狀況，對金融機構（特別是壽險業）造成巨大壓力。部分市場分析指出，新台幣的急遽升值可能源於投機行為，甚至引發央行對類如過去攻擊英鎊、港幣的「禿鷹」行為提出警告 。在這些情境下（可能是假設或近期歷史事件），新台幣曾在兩日內暴升6%，導致金管會緊急約見大型壽險公司，了解其對壽險業者清償能力與流動性的衝擊 。鉅亨網的一篇分析更將新台幣單日飆升4%（自1988年以來最大單日漲幅）歸因於出口商拋售美元、壽險業約4600億美元未避險部位的資產負債錯配，以及央行在當時選擇「少做多看」的「三角擠壓」效應 。MoneyDJ的報導亦曾記錄新台幣盤中一度升逾4%，觸及29.59元兌一美元的價位，並將此與壽險業龐大的海外資產（報導中提及1.7兆美元，此數字與的7670億美元有所出入，需注意數據來源差異）連結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種匯率風險的雙重性——即官方報告描述的2023年至2024年初期的溫和貶值與相對穩定波動，以及新聞分析所揭示的潛在或偶發性急劇升值壓力——構成了複雜的挑戰。前者可能讓未避險的美元資產受益，但後者則可能對壽險業等機構造成嚴重衝擊。這顯示雖然平均波動率可能受控，但新台幣市場面對尾部風險或特定時期單向預期壓力時，仍具脆弱性。使用者所關心的「匯率風險上升」，應同時包含一般波動性及此類急遽不利變動的風險。</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壽險業在此匯率波動中扮演了特殊角色，其龐大的未避險或動態避險美元資產，使其在市場預期轉向時的避險行為可能放大匯率的波動。當新台幣出現急升預期時，壽險公司若爭相買入新台幣（賣出美元）以進行避險，將進一步推升新台幣匯價，形成一種「順流放大」的循環 。這種類似「擁擠出場」的問題，直接關聯到使用者對於壽險業避險工具是否充足的疑慮。</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中央銀行在此間則需權衡維護匯率動態穩定與市場機制運作的兩難。面對投機壓力或結構性的大額資金流動，央行的干預措施雖能穩定市場，但亦消耗外匯存底，且可能引發國際關注 。央行「少做多看」的態度，則可能被市場解讀為對匯率某方向移動的默許，進而影響市場預期及避險行為。</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表2.2：新台幣兌美元匯率動態</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指標月份/項目</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新台幣/美元 月平均匯率</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30日歷史波動率 (年化, %)</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90日歷史波動率 (年化, %)</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期間影響匯率之重大事件摘要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(最近24個月數據回溯)</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2024年4月</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2024年5月</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註：數據來源主要為中央銀行網站。 提供趨勢及波動率描述。重大事件需結合新聞分析。</w:t>
            </w:r>
          </w:p>
        </w:tc>
        <w:tc>
          <w:tcPr>
            <w:shd w:fill="auto" w:val="clear"/>
            <w:tcMar>
              <w:top w:w="0.0" w:type="dxa"/>
              <w:left w:w="0.0" w:type="dxa"/>
              <w:bottom w:w="0.0" w:type="dxa"/>
              <w:right w:w="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表格旨在直接闡釋查詢中「匯率風險上升」的面向。它將同時呈現匯率水平及其波動性這兩個相關但不同的風險維度。將匯率變動與重大事件聯繫起來，有助於理解其驅動因素及未來可能的敏感點。這些數據對於理解第三章討論的避險挑戰至關重要。</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C. 現行總體環境下信用風險動態檢視</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在當前的宏觀經濟環境下，評估債券發行人的信用質量變化，對於持有大量固定收益資產的金融機構至關重要。</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根據存款保險公司（CDIC）的金融穩定報告概述，2023年（民國112年）國內公司債的發行主要由台電及中油等國營事業帶動，次級市場的整體交易量雖保持穩定，但買賣斷交易量則較前一年度縮減3.26% 。此現象可能暗示市場對公司債的交易趨於謹慎，或流動性有所下降。PIMCO的分析指出，信用風險即發行人違約的風險，信用評級機構對此進行評估，高評級發行人通常支付較低的利率，而非投資等級債券對經濟狀況及違約風險尤為敏感 。施羅德亦將信用風險列為信用投資人面臨的兩大主要風險之一，並指出在經濟衰退的不利情境下，違約率通常會上升，此時由下而上的個券研究至關重要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中華信評對台灣金融業的信用狀況進行了評估。在其2025年4月的報告中指出，儘管外部經濟壓力可能導致銀行業信用損失增加，但憑藉其健全的資本緩衝與穩健的授信控管能力，應能應對全球不確定性 。針對房地產市場風險，中華信評認為，即使不動產逾期放款壓力升高（例如房貸壞帳率升至2%，土建融壞帳率升至6%），台灣銀行業仍有能力吸收潛在風險，整體風險仍屬可控 。這顯示對銀行體系信用質量的信心。然而，中央銀行的金融穩定報告則提醒需關注中國大陸經濟下行風險，這可能對曝險於中國大陸的實體產生信用影響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值得注意的是，國內公司債市場的發行結構中，國營事業（如台電、中油）佔有重要地位 。這類發行人的債務通常被市場視為具有較低的信用風險，因其隱含政府支持。然而，若市場新增供給過度依賴國營事業，可能掩蓋私營部門真實的信用趨勢，或導致投資過度集中於準主權風險。此外，中華信評曾強調，應關注個別債務（issue-specific）的信用評等，而非僅看發行人評等，尤其是對於次順位或無擔保債券，前者更能反映實際風險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綜合來看，儘管中華信評等機構對台灣銀行業應對信用壓力的能力抱持相對樂觀的看法，特別是在房地產領域 ，但整體宏觀環境（全球利率上升、經濟增長放緩的潛在可能、以及特定區域如中國大陸的經濟問題 ）仍可能對更廣泛的公司信用質量構成壓力。這不僅影響非金融企業發行人，也可能波及金融機構本身發行的次級債務。公司債次級市場買賣斷交易量的萎縮 ，或許是市場參與者對信用風險更為審慎的一個早期信號。金融機構持有的龐大債券組合中，除了主權債外，公司債佔有重要份額，因此任何信用利差的擴大或違約事件的增加，都將對其資產價值和盈利能力產生負面影響。信用風險也可能隱藏於複雜的結構性商品、衍生性金融商品的交易對手風險 ，或是對信用評估更具挑戰性、經濟狀況差異較大的海外債券投資組合中。</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表2.3：信用風險指標</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指標項目</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最新數據/趨勢</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資料來源註解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國內公司債違約率</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(通常極低)</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(需專門數據庫)</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台灣公司債與公債之信用利差趨勢</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(需財經數據平台分析)</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銀行業整體不良放款率 (NPL)</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金管會銀行局</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銀行業企業貸款不良放款率</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(數據待補)</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金管會銀行局</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主要債券發行人/產業信用評級變動</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(趨勢描述)</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中華信評等信評機構報告</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註：此表格旨在呈現關鍵信用風險指標。部分數據（如違約率、即時利差）可能需要專業財經數據服務商提供。NPL數據及信評變動可參考主管機關及信評機構發布。</w:t>
            </w:r>
          </w:p>
        </w:tc>
        <w:tc>
          <w:tcPr>
            <w:shd w:fill="auto" w:val="clear"/>
            <w:tcMar>
              <w:top w:w="0.0" w:type="dxa"/>
              <w:left w:w="0.0" w:type="dxa"/>
              <w:bottom w:w="0.0" w:type="dxa"/>
              <w:right w:w="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表格旨在量化「信用風險」的狀況。信用利差是市場對信用風險定價的關鍵指標，利差擴大通常意味著市場對信用風險的擔憂加劇。銀行不良放款率是衡量銀行放款品質的重要指標，亦常被視為整體企業信用狀況的領先或同步指標。信用評級的變化則提供了信評機構對發行人信用狀況演變的專業判斷。</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D. 債券與匯率風險交織對金融機構之衝擊</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債券市場的利率風險與外匯市場的匯率風險並非孤立存在，兩者可能相互作用，甚至在特定情況下同時對金融機構產生負面衝擊，形成風險疊加效應。</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NYES一篇分析文章明確指出，對台灣壽險業者而言，當美元走弱時，可能同時引爆「匯率風險和利率風險」，導致「二次方虧損」。該文描述了一個情境：「關稅推高美債殖利率（導致債券價格下跌），同時美元對新台幣在三日內重貶7%。利率與匯率的同步衝擊，點燃了平方級數的損失。」。此情境完美詮釋了風險的疊加：壽險公司持有的美元債券，一方面因美國利率上升導致其美元計價的價值縮水，另一方面，每一美元資產換回新台幣時又因美元貶值而進一步減少。這種雙重打擊對資產價值的侵蝕遠甚於單一風險的影響。</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鉅亨網的報導亦提及，壽險公司大量未避險的美元資產，在新台幣升值（匯率風險）而美國債券價格因利率上升而下跌（利率風險）時，其新台幣計價的資產價值將遭受雙重損失 。聯合報更曾描述市場出現「股債匯三殺」的局面，對壽險業構成嚴峻壓力測試，甚至可能引發增資需求 ，這暗示了多重市場風險同時惡化的可能性。</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存款保險公司的金融穩定報告概述雖然未直接將利率風險與匯率風險的影響串聯分析，但也分別指出了全球債券殖利率上升的壓力以及新台幣貶值的趨勢 。若此二者反向同時發生（即全球利率上升而新台幣大幅升值），對持有大量海外債券的台灣金融機構將極為不利。該報告亦強調，由於美國貨幣政策（驅動利率）走向不確定及地緣政治風險（可能同時影響利率和匯率），壽險公司的龐大海外投資部位面臨較高的匯率風險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這種「錯誤方向風險」（Wrong-Way Risk）的放大效應，是金融機構在管理海外資產時面臨的嚴峻挑戰。如所述，當美國利率上升導致美國債券價格下跌，</w:t>
      </w:r>
      <w:r w:rsidDel="00000000" w:rsidR="00000000" w:rsidRPr="00000000">
        <w:rPr>
          <w:rFonts w:ascii="Arial Unicode MS" w:cs="Arial Unicode MS" w:eastAsia="Arial Unicode MS" w:hAnsi="Arial Unicode MS"/>
          <w:i w:val="1"/>
          <w:iCs w:val="1"/>
          <w:rtl w:val="0"/>
        </w:rPr>
        <w:t xml:space="preserve">同時</w:t>
      </w:r>
      <w:r w:rsidDel="00000000" w:rsidR="00000000" w:rsidRPr="00000000">
        <w:rPr>
          <w:rFonts w:ascii="Arial Unicode MS" w:cs="Arial Unicode MS" w:eastAsia="Arial Unicode MS" w:hAnsi="Arial Unicode MS"/>
          <w:rtl w:val="0"/>
        </w:rPr>
        <w:t xml:space="preserve">美元兌新台幣走弱（即新台幣升值）時，台灣的美元債券持有者便面臨此種風險。兩個主要的風險因子同時朝不利於投資者的方向移動，其造成的損失遠大於個別風險的簡單加總。</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正常的市場條件下，美國利率和美元匯率之間可能存在某種特定的相關性。然而，在市場壓力時期（例如由地緣政治事件或重大政策轉變所引發，如提及的關稅影響），這些相關性可能發生不可預測的改變，甚至逆轉，往往對投資者不利。傳統的風險模型常依賴歷史相關性進行估算，若這些相關性在危機中失效，那麼基於歷史數據建立的多元化配置或避險策略便可能失靈。「三殺」情境 即暗示了多個資產類別同時出現負向變動的市場環境，足以壓垮傳統的風險分散效果。</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交織風險的可能性也使得避險決策更為複雜，並可能推高避險成本。若市場預期匯率與利率風險將朝特定方向（如所述的不利情境）聯動，則同時對沖此二種風險的成本可能會上升，因為市場參與者會在定價中反映此聯合風險。壽險公司或許會嘗試動態調整避險策略，但在相關性不穩定或市場流動性於壓力時期枯竭的情況下，此舉將極為困難。新台幣無本金交割遠期外匯（NDF）的高昂價格 ，部分原因可能即是市場參與者對劇烈且相關聯的市場波動風險進行了定價。</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III. 台灣外匯市場避險挑戰</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本章節將深入探討台灣金融機構，尤其是壽險業，在管理其龐大外匯曝險時所面臨的困境，包括現行避險實務、高昂的避險成本、交易對手稀缺以及現有避險機制（如外匯價格變動準備金）的效能與局限。</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壽險業現行外匯避險實務及工具運用</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面對龐大的海外資產，台灣壽險業採用多種工具與策略進行外匯風險管理，但其避險行為常受制於成本效益考量及市場工具的限制。</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一個普遍的現象是，壽險公司並未對其所有海外資產進行完全的匯率避險，主要原因是避險成本過高 。近期（如2025年5月新台幣急升的假設情境中）的市場反應顯示，即便面臨匯率大幅波動，三大壽險公司亦未表達要大幅增加避險部位的意願，認為當時約62%至64%的整體行業避險比率尚屬適當 。這顯示壽險業普遍採取部分避險策略，在可承受的風險範圍內，透過保留部分未避險部位以節省成本。</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常用的避險工具包括：</w:t>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傳統遠期外匯 (FX Forward) 及換匯交易 (FX Swap)：</w:t>
      </w:r>
      <w:r w:rsidDel="00000000" w:rsidR="00000000" w:rsidRPr="00000000">
        <w:rPr>
          <w:rFonts w:ascii="Arial Unicode MS" w:cs="Arial Unicode MS" w:eastAsia="Arial Unicode MS" w:hAnsi="Arial Unicode MS"/>
          <w:rtl w:val="0"/>
        </w:rPr>
        <w:t xml:space="preserve"> 換匯交易是管理資金流動性及匯率避險的主要工具之一 。亞洲（含日本）的壽險業者常利用短天期換匯交易為其持有的美元債券部位進行避險 。</w:t>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無本金交割遠期外匯 (NDF)：</w:t>
      </w:r>
      <w:r w:rsidDel="00000000" w:rsidR="00000000" w:rsidRPr="00000000">
        <w:rPr>
          <w:rFonts w:ascii="Arial Unicode MS" w:cs="Arial Unicode MS" w:eastAsia="Arial Unicode MS" w:hAnsi="Arial Unicode MS"/>
          <w:rtl w:val="0"/>
        </w:rPr>
        <w:t xml:space="preserve"> 在岸市場工具不足或成本過高時，業者可能轉向NDF市場。然而，NDF的價格，尤其是在市場對特定方向有強烈預期時（例如預期新台幣將大幅升值），可能變得非常昂貴 。</w:t>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貨幣交換 (Currency Swap, CS)：</w:t>
      </w:r>
      <w:r w:rsidDel="00000000" w:rsidR="00000000" w:rsidRPr="00000000">
        <w:rPr>
          <w:rFonts w:ascii="Arial Unicode MS" w:cs="Arial Unicode MS" w:eastAsia="Arial Unicode MS" w:hAnsi="Arial Unicode MS"/>
          <w:rtl w:val="0"/>
        </w:rPr>
        <w:t xml:space="preserve"> 亦為避險工具之一，但市場傳出其承作額度已趨飽和 。</w:t>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一籃子貨幣避險 (Basket Hedge) 及替代性避險：</w:t>
      </w:r>
      <w:r w:rsidDel="00000000" w:rsidR="00000000" w:rsidRPr="00000000">
        <w:rPr>
          <w:rFonts w:ascii="Arial Unicode MS" w:cs="Arial Unicode MS" w:eastAsia="Arial Unicode MS" w:hAnsi="Arial Unicode MS"/>
          <w:rtl w:val="0"/>
        </w:rPr>
        <w:t xml:space="preserve"> 為應對新台幣升值壓力，壽險業者除了提高避險比重外，亦會將部分新資金轉向新台幣計價的債券ETF，或提高海外現金部位以降低需避險的資產規模 。此外，業者也會透過如韓元、星幣、日圓、歐元、英鎊等不同幣別的遠期外匯進行配置，作為替代性的避險工具，以對沖部分新台幣升值帶來的負面影響 。台灣金融研究發展基金會（TIGF）的報告亦提及，一籃子貨幣可作為間接避險工具 。</w:t>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換匯換利交易 (Cross-Currency Interest Rate Swap, CCIRS)：</w:t>
      </w:r>
      <w:r w:rsidDel="00000000" w:rsidR="00000000" w:rsidRPr="00000000">
        <w:rPr>
          <w:rFonts w:ascii="Arial Unicode MS" w:cs="Arial Unicode MS" w:eastAsia="Arial Unicode MS" w:hAnsi="Arial Unicode MS"/>
          <w:rtl w:val="0"/>
        </w:rPr>
        <w:t xml:space="preserve"> TIGF報告亦將其列為直接避險工具之一 。</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壽險業在進行外匯避險交易前，需評估市場風險及交易對手的信用風險 。金管會銀行局的市場風險資本計提規範中，亦將為交易簿部位進行避險目的而持有的部位納入交易簿定義 ，顯示監管機構對避險活動的關注。</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壽險業採取部分避險而非完全避險，本質上是一種成本與風險之間的權衡。完全且持續地對沖其龐大的外匯曝險（壽險業海外資產達7670億美元 ），若依賴傳統的遠期外匯或NDF，將產生極高的避險成本 。因此，業者似乎選擇承受一定程度的外匯風險，以換取避險成本的節省，寄望新台幣的波動在可控範圍內，或海外投資的較高收益能彌補潛在的匯兌損失。此策略在匯率波動不大或新台幣呈現貶值趨勢時或可奏效，但在新台幣大幅升值時，則將使其面臨巨大的匯兌損失風險 。</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尋求成本較低的替代性避險方案，如運用非美元貨幣的遠期外匯 或一籃子貨幣組合 ，雖可降低直接以新台幣/美元避險的成本，但也引入了基差風險（Basis Risk），即替代性避險工具的匯率走勢與新台幣/美元的實際曝險部位走勢可能不完全一致，導致避險效果打折。此類策略的成功與否，高度依賴對不同貨幣間相關性的準確預測。</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此外，壽險業常以滾動短天期避險工具（如1至3個月的遠期外匯或換匯交易）來對沖其長天期的資產曝險，主要是因為長天期的外匯避險工具流動性較差且價格昂貴 。這種操作方式雖然在平時提供了彈性，但也帶來了滾動續作風險（Rollover Risk）：每次續作時，避險成本可能發生顯著變化。若市場避險成本突然飆升，壽險公司將面臨支付更高成本或降低避險比例（從而提高外匯曝險）的兩難。</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B. 避險成本高昂與未避險曝險之兩難</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台灣壽險業在外匯風險管理上，長期面臨著避險成本高昂與維持龐大未避險部位風險之間的艱困抉擇。</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直接的證據指出，「大多未進行匯率避險，主要是因為避險成本過高」，這句話精準地概括了壽險業的困境。當市場強烈預期新台幣升值時，「NDF（海外無本金交割遠期外匯）非常貴」，使得透過此類工具避險的代價極為沉重。而不進行避險或避險不足的後果，則可能是在新台幣急升時蒙受巨額損失，例如市場曾預估「台幣匯價暴衝逾半數壽險公司4、5月恐怕連續二月大虧損」。</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TIGF的研究報告曾估計，外匯價格變動準備金制度的實施，有助於降低市場對NDF的需求，從而使NDF的年化避險成本降幅達到1.5%以上 。這從一個側面反映了原先NDF等避險工具的成本壓力。CNYES的分析更點出，台灣壽險業約有4600億美元的未避險美元資產，是影響外匯市場動態的關鍵因素之一。在「利率與匯率同步衝擊」下，可能「引爆“二次方”虧損」，突顯了未避險或避險不足的嚴重潛在後果。</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換匯交易中的「基差」（Basis），即實際交易價格與拋補利率平價理論價格的偏離，亦反映了避險成本。許多貨幣對美元的換匯交易持續呈現負基差，意味著非美元投資者為其美元資產進行避險的成本相對較高。造成此現象的原因包括避險需求增加以及銀行（作為主要市場中介）資產負債表成本上升等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避險成本對壽險業的投資回報構成了直接的侵蝕。假設壽險公司投資於美元債券的毛報酬率為4%，但每年需支付2%至3%的匯率避險成本，則其淨新台幣報酬將大幅縮水。若完全避險後的淨報酬率降至與國內投資相近甚至更低，則海外投資的吸引力便大打折扣，除非壽險公司願意承擔顯著的未避險外匯風險。這種壓力可能促使壽險公司在其海外投資組合中追求更高的信用風險或存續期風險，以彌補避險成本的支出，或者，更常見的是，維持相當程度的未避險部位。</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避險成本的變動亦呈現順週期性。通常在市場最需要避險工具時——即外匯市場波動加劇或市場對某一貨幣有強烈單向預期時（例如預期新台幣將大幅升值，導致NDF價格高昂 ）——避險成本反而會飆升。當新台幣升值預期強烈時，壽險公司等美元資產持有者對新台幣遠期或NDF的需求增加，而願意承作反向交易（賣出新台幣/買入美元遠期）的交易對手供給可能有限，從而推高避險價格。這意味著壽險公司恰恰在面臨最大匯損風險時，也必須承擔最高的避險成本。此種情況可能導致業者即使在風險上升時也猶豫是否增加避險，或者被迫以極不利的匯率鎖定避險，從而實現損失或大幅降低預期報酬。</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最終，壽險公司在避險比率上的決策，將直接影響其盈餘的波動性及資本適足狀況。較高的未避險曝險意味著公司淨利及淨值對匯率變動更為敏感 。鉅額的匯兌損失可能侵蝕資本緩衝，甚至迫使壽險公司需要籌集額外資本或在其他方面縮減風險承擔 。雖然外匯價格變動準備金制度 旨在平穩此類盈餘波動，但其功能與容量均有其限制。</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C. 外匯交易對手稀缺與市場流動性問題調查</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使用者提出的「外匯沒有交易對手」疑慮，反映了台灣金融機構在尋求外匯避險時，確實可能面臨交易對手難尋或市場容量不足的困境，尤其是在特定市場狀況下。</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聯合報的報導直接印證了此點，指出在市場預期新台幣將大幅升值時，不僅NDF價格高昂，「承作CS（貨幣交換）也滿了」。報導進一步解釋：「當壽險業要拿手上台幣換美元去海外投資時，需要大量美元，這時候壽險的交易對手也得做避險，但当台幣升值預期強烈，海外交易對手沒有人要去買美元，自然無法交易。」最終，「因交易對手無法拋補，壽險無法提高避險比率」。這清晰地描繪了在單邊市場預期下，避險市場供需失衡導致的交易困難。</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TPEFX（台北外匯市場發展基金會）的研究報告亦從更宏觀的層面分析了影響換匯交易市場流動性與定價（即「基差」）的因素 。其中提到：</w:t>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銀行資產負債表成本增加：</w:t>
      </w:r>
      <w:r w:rsidDel="00000000" w:rsidR="00000000" w:rsidRPr="00000000">
        <w:rPr>
          <w:rFonts w:ascii="Arial Unicode MS" w:cs="Arial Unicode MS" w:eastAsia="Arial Unicode MS" w:hAnsi="Arial Unicode MS"/>
          <w:rtl w:val="0"/>
        </w:rPr>
        <w:t xml:space="preserve"> 全球金融危機後，更嚴格的金融監管（如槓桿比率要求）使得銀行（作為外匯市場主要的造市者和交易對手）使用其資產負債表的成本增加。這降低了銀行在市場中承擔外匯風險或進行能縮小基差的套利交易的意願與能力，實質上減少了其在特定價格下提供流動性或作為交易對手的容量。</w:t>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美元供給減少：</w:t>
      </w:r>
      <w:r w:rsidDel="00000000" w:rsidR="00000000" w:rsidRPr="00000000">
        <w:rPr>
          <w:rFonts w:ascii="Arial Unicode MS" w:cs="Arial Unicode MS" w:eastAsia="Arial Unicode MS" w:hAnsi="Arial Unicode MS"/>
          <w:rtl w:val="0"/>
        </w:rPr>
        <w:t xml:space="preserve"> 部分長期投資者，如外匯資產管理人或主權財富基金，在換匯市場中提供美元資金的意願可能下降。</w:t>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危機時期的流動性枯竭：</w:t>
      </w:r>
      <w:r w:rsidDel="00000000" w:rsidR="00000000" w:rsidRPr="00000000">
        <w:rPr>
          <w:rFonts w:ascii="Arial Unicode MS" w:cs="Arial Unicode MS" w:eastAsia="Arial Unicode MS" w:hAnsi="Arial Unicode MS"/>
          <w:rtl w:val="0"/>
        </w:rPr>
        <w:t xml:space="preserve"> 在市場發生危機時，投資者通常會湧向美元等避險貨幣，導致美元需求急劇增加，而金融中介機構出於自身風險考量，可能減少美元供給，進一步加劇市場流動性緊張。</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TIGF的報告則提及，壽險公司在進行交易前會評估交易對手的信用風險，通常依賴信用評級 。這意味著交易對手的信用質量及其承擔風險的能力，也是影響交易能否達成的重要因素。</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綜合來看，交易對手不足的問題並非絕對的「沒有」，而更常表現為在特定市場條件下（尤其是市場預期高度一致，例如強烈預期新台幣升值時），願意承作反向交易的對手稀少，或者願意承作的價格極不划算，以及市場總體容量無法滿足龐大的避險需求。</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當市場預期新台幣將大幅升值時，很少有市場參與者願意賣出新台幣、買入美元的遠期合約，這使得壽險公司難以找到對手方來對沖其美元多頭部位 。作為主要外匯市場中介的銀行，自身也面臨資產負債表成本和風險限額的考量 。即便銀行理論上可以承作交易，其為彌補自身風險和成本所報出的價格，對壽險公司而言可能過於高昂而無法接受。「CS也滿了」 的說法，則直接點出了特定避險工具的市場容量已達上限。</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種現象也與風險轉移的極限有關。避險的本質是將風險轉移給交易對手。若台灣壽險業試圖將其巨額且集中的外匯風險（主要是美元兌新台幣的貶值風險）轉移出去，全球市場需要有足夠的參與者願意且能夠吸收此特定風險。若全球性銀行是主要的交易對手，它們自身也會對這些部位進行避險，最終仍需尋找自然的抵銷性資金流，或以一定成本將風險納入自身的資產負債表。這暗示了市場在有效中介新台幣/美元此類特定風險方面，可能存在結構性的容量限制，尤其對長天期合約而言。</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外，若多家大型壽險公司具有相似的外匯曝險和避險需求，它們往往會在相似的時間點湧向市場尋求避險，從而加劇流動性問題並推高避險成本。這種集中的避險需求可能超出市場在短時間內的吸收能力，導致類似「CS也滿了」的局面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表3.1：外匯避險市場狀況質性摘要</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市場問題面向</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報導/分析摘要</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相關文獻</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NDF 成本</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市場預期新台幣升值時，NDF「非常貴」。</w:t>
            </w:r>
          </w:p>
        </w:tc>
        <w:tc>
          <w:tcPr>
            <w:shd w:fill="auto" w:val="clear"/>
            <w:tcMar>
              <w:top w:w="0.0" w:type="dxa"/>
              <w:left w:w="0.0" w:type="dxa"/>
              <w:bottom w:w="0.0" w:type="dxa"/>
              <w:right w:w="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CS (貨幣交換) 容量</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曾出現「CS也滿了」的情況，顯示市場容量不足。</w:t>
            </w:r>
          </w:p>
        </w:tc>
        <w:tc>
          <w:tcPr>
            <w:shd w:fill="auto" w:val="clear"/>
            <w:tcMar>
              <w:top w:w="0.0" w:type="dxa"/>
              <w:left w:w="0.0" w:type="dxa"/>
              <w:bottom w:w="0.0" w:type="dxa"/>
              <w:right w:w="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交易對手意願 (單邊市場)</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新台幣升值預期強烈時，海外交易對手不願買美元（即不願作壽險公司避險交易的對手方），導致「無法交易」。</w:t>
            </w:r>
          </w:p>
        </w:tc>
        <w:tc>
          <w:tcPr>
            <w:shd w:fill="auto" w:val="clear"/>
            <w:tcMar>
              <w:top w:w="0.0" w:type="dxa"/>
              <w:left w:w="0.0" w:type="dxa"/>
              <w:bottom w:w="0.0" w:type="dxa"/>
              <w:right w:w="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銀行中介成本/容量</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銀行資產負債表成本增加，降低其提供流動性及作為交易對手的意願/能力。</w:t>
            </w:r>
          </w:p>
        </w:tc>
        <w:tc>
          <w:tcPr>
            <w:shd w:fill="auto" w:val="clear"/>
            <w:tcMar>
              <w:top w:w="0.0" w:type="dxa"/>
              <w:left w:w="0.0" w:type="dxa"/>
              <w:bottom w:w="0.0" w:type="dxa"/>
              <w:right w:w="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危機時期流動性</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市場動盪時，美元需求急增，美元供給減少，導致市場流動性緊張。</w:t>
            </w:r>
          </w:p>
        </w:tc>
        <w:tc>
          <w:tcPr>
            <w:shd w:fill="auto" w:val="clear"/>
            <w:tcMar>
              <w:top w:w="0.0" w:type="dxa"/>
              <w:left w:w="0.0" w:type="dxa"/>
              <w:bottom w:w="0.0" w:type="dxa"/>
              <w:right w:w="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替代性避險工具使用</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因主要工具成本高或容量不足，業者轉向一籃子貨幣或非美元貨幣遠匯等替代方案。</w:t>
            </w:r>
          </w:p>
        </w:tc>
        <w:tc>
          <w:tcPr>
            <w:shd w:fill="auto" w:val="clear"/>
            <w:tcMar>
              <w:top w:w="0.0" w:type="dxa"/>
              <w:left w:w="0.0" w:type="dxa"/>
              <w:bottom w:w="0.0" w:type="dxa"/>
              <w:right w:w="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表格旨在直接回應使用者關於「外匯沒有交易對手」及「避險工具不足」的關切。它整合了來自不同來源的報導與分析，呈現了避險市場所面臨的挑戰。這些質性描述為理解避險困境的嚴重性及其對策的必要性提供了基礎。</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D. 外匯價格變動準備金 (FEVR) 機制之效能與限制</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為協助保險業應對匯率波動風險，台灣自民國101年起實施外匯價格變動準備金（Foreign Exchange Volatility Reserve, FEVR）制度。此機制允許壽險業提列準備金，以平穩匯率波動對其損益的影響。</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根據TIGF的研究報告 ，FEVR的主要功能在於平滑壽險公司的盈餘，而非提供真正意義上的經濟風險對沖。其運作機制為：當壽險公司因持有未避險外幣資產而產生兌換利益時，需依規定提存一定比例至FEVR；反之，若產生兌換損失，則可從FEVR中沖抵。此外，亦需依國外投資總額的曝險比率提存。報告指出，FEVR的實施被認為有助於降低市場對NDF的需求，進而可能節省了約1.5%的年化避險成本，並降低了NDF市場的波動性近4.7成。</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FEVR制度亦存在其局限性與潛在問題。首先，該報告分析認為，FEVR雖然在帳面上平穩了盈餘，但由於其並未真正轉移經濟風險，反而可能降低了壽險公司進行「真實」避險的誘因。因為盈餘波動性降低後，管理層可能傾向於降低成本高昂的避險操作比率，從而實際上可能增加了公司整體的未避險外匯風險 。其次，FEVR的累積速度可能無法跟上壽險公司海外投資的增長速度。若海外投資持續擴大，而FEVR的提存率或匯兌收益不足以使其同步增長，則準備金相對於總曝險部位的覆蓋能力將會下降。TIGF的報告即指出，根據其風險值（VaR）估算，FEVR的規模約可覆蓋1天的外匯風險，但無法有效覆蓋長達一週的持續性風險 ，這突顯了其在應對重大或持續性匯率衝擊時的容量限制。</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為此，該研究報告提出多項改革建議，包括：設定FEVR佔國外投資金額的目標比率，並根據是否達標採取差異化的提存要求；提高當月國外投資總額中曝險部分的提存比率；以及設立最低準備金標準等 。這些建議旨在強化FEVR作為風險緩衝機制的功能，確保其能更有效地應對壽險業龐大的外匯風險。</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E. 主管機關立場及避險基礎設施潛在強化方向</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面對壽險業龐大的外匯曝險及其避險挑戰，台灣金融主管機關（金管會與中央銀行）持續關注並採取相應措施，同時市場專家亦提出多項強化避險基礎設施的建議。</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央銀行在外匯市場出現劇烈波動或投機行為時，會採取行動並對外溝通。例如，在市場傳出新台幣因投機導致急升時，央行曾出面警告投機者，並澄清央行並未受美國財政部要求讓新台幣升值，亦無操縱匯率之意圖 。金管會方面，在市場出現可能對壽險業造成重大衝擊的匯率波動時（如假設的新台幣兩日內暴升6%），亦會立即約見主要壽險公司高層，了解其對公司清償能力、流動性的影響及應對措施 。這些舉動顯示主管機關對匯率風險及其對金融機構影響的密切監控與積極介入。</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TIGF的研究報告 為強化保險業外匯風險管理與監理機制，提出了一系列具體的法規政策建議，這些建議若獲採納，將對現行避險基礎設施產生深遠影響：</w:t>
      </w:r>
    </w:p>
    <w:p w:rsidR="00000000" w:rsidDel="00000000" w:rsidP="00000000" w:rsidRDefault="00000000" w:rsidRPr="00000000" w14:paraId="000001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風險定義與劃分：</w:t>
      </w:r>
      <w:r w:rsidDel="00000000" w:rsidR="00000000" w:rsidRPr="00000000">
        <w:rPr>
          <w:rFonts w:ascii="Arial Unicode MS" w:cs="Arial Unicode MS" w:eastAsia="Arial Unicode MS" w:hAnsi="Arial Unicode MS"/>
          <w:rtl w:val="0"/>
        </w:rPr>
        <w:t xml:space="preserve"> 明確區分地域風險與外匯風險，避免混淆。</w:t>
      </w:r>
    </w:p>
    <w:p w:rsidR="00000000" w:rsidDel="00000000" w:rsidP="00000000" w:rsidRDefault="00000000" w:rsidRPr="00000000" w14:paraId="000001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衍生性商品限額：</w:t>
      </w:r>
      <w:r w:rsidDel="00000000" w:rsidR="00000000" w:rsidRPr="00000000">
        <w:rPr>
          <w:rFonts w:ascii="Arial Unicode MS" w:cs="Arial Unicode MS" w:eastAsia="Arial Unicode MS" w:hAnsi="Arial Unicode MS"/>
          <w:rtl w:val="0"/>
        </w:rPr>
        <w:t xml:space="preserve"> 根據衍生性商品的實質風險屬性，分別計入國外投資限額或外匯風險限額。</w:t>
      </w:r>
    </w:p>
    <w:p w:rsidR="00000000" w:rsidDel="00000000" w:rsidP="00000000" w:rsidRDefault="00000000" w:rsidRPr="00000000" w14:paraId="000001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法規結構優化：</w:t>
      </w:r>
      <w:r w:rsidDel="00000000" w:rsidR="00000000" w:rsidRPr="00000000">
        <w:rPr>
          <w:rFonts w:ascii="Arial Unicode MS" w:cs="Arial Unicode MS" w:eastAsia="Arial Unicode MS" w:hAnsi="Arial Unicode MS"/>
          <w:rtl w:val="0"/>
        </w:rPr>
        <w:t xml:space="preserve"> 調整相關法規條文的編排，使其更具邏輯性。</w:t>
      </w:r>
    </w:p>
    <w:p w:rsidR="00000000" w:rsidDel="00000000" w:rsidP="00000000" w:rsidRDefault="00000000" w:rsidRPr="00000000" w14:paraId="000001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FEVR制度改革：</w:t>
      </w:r>
      <w:r w:rsidDel="00000000" w:rsidR="00000000" w:rsidRPr="00000000">
        <w:rPr>
          <w:rFonts w:ascii="Arial Unicode MS" w:cs="Arial Unicode MS" w:eastAsia="Arial Unicode MS" w:hAnsi="Arial Unicode MS"/>
          <w:rtl w:val="0"/>
        </w:rPr>
        <w:t xml:space="preserve"> 如前節所述，建議設立目標比率、差異化提存及最低標準等。</w:t>
      </w:r>
    </w:p>
    <w:p w:rsidR="00000000" w:rsidDel="00000000" w:rsidP="00000000" w:rsidRDefault="00000000" w:rsidRPr="00000000" w14:paraId="000001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RBC制度中匯率風險資本計提改革：</w:t>
      </w:r>
      <w:r w:rsidDel="00000000" w:rsidR="00000000" w:rsidRPr="00000000">
        <w:rPr>
          <w:rFonts w:ascii="Arial Unicode MS" w:cs="Arial Unicode MS" w:eastAsia="Arial Unicode MS" w:hAnsi="Arial Unicode MS"/>
          <w:rtl w:val="0"/>
        </w:rPr>
        <w:t xml:space="preserve"> 引入更精細的風險衡量方法，如依不同幣別設定不同風險係數、考量幣別間相關性，甚至採用如過濾歷史模擬法（Filtered Historical Simulation, FHS）等更先進的風險值估算模型。</w:t>
      </w:r>
    </w:p>
    <w:p w:rsidR="00000000" w:rsidDel="00000000" w:rsidP="00000000" w:rsidRDefault="00000000" w:rsidRPr="00000000" w14:paraId="000001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擴大避險有效性承認範圍：</w:t>
      </w:r>
      <w:r w:rsidDel="00000000" w:rsidR="00000000" w:rsidRPr="00000000">
        <w:rPr>
          <w:rFonts w:ascii="Arial Unicode MS" w:cs="Arial Unicode MS" w:eastAsia="Arial Unicode MS" w:hAnsi="Arial Unicode MS"/>
          <w:rtl w:val="0"/>
        </w:rPr>
        <w:t xml:space="preserve"> 在符合一定條件下，承認部分避險（Partial Hedge）及交叉避險（Cross Hedge）的風險抵減效果。</w:t>
      </w:r>
    </w:p>
    <w:p w:rsidR="00000000" w:rsidDel="00000000" w:rsidP="00000000" w:rsidRDefault="00000000" w:rsidRPr="00000000" w14:paraId="000001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避險工具使用規範：</w:t>
      </w:r>
      <w:r w:rsidDel="00000000" w:rsidR="00000000" w:rsidRPr="00000000">
        <w:rPr>
          <w:rFonts w:ascii="Arial Unicode MS" w:cs="Arial Unicode MS" w:eastAsia="Arial Unicode MS" w:hAnsi="Arial Unicode MS"/>
          <w:rtl w:val="0"/>
        </w:rPr>
        <w:t xml:space="preserve"> 對於選擇權等複雜避險工具的使用，建議加以規範，例如限定使用買入陽春型選擇權（Long Plain Vanilla Options）進行標準避NAB險。</w:t>
      </w:r>
    </w:p>
    <w:p w:rsidR="00000000" w:rsidDel="00000000" w:rsidP="00000000" w:rsidRDefault="00000000" w:rsidRPr="00000000" w14:paraId="000001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強化監理申報：</w:t>
      </w:r>
      <w:r w:rsidDel="00000000" w:rsidR="00000000" w:rsidRPr="00000000">
        <w:rPr>
          <w:rFonts w:ascii="Arial Unicode MS" w:cs="Arial Unicode MS" w:eastAsia="Arial Unicode MS" w:hAnsi="Arial Unicode MS"/>
          <w:rtl w:val="0"/>
        </w:rPr>
        <w:t xml:space="preserve"> 要求在RBC報告中增加關於一籃子貨幣避險的詳細資訊，並在壽險月報中更細化避險相關科目的分類。</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管機關在制定政策時，常需在多重目標間取得平衡，包括金融穩定、保險業者的清償能力、市場發展的活力以及法規遵循的成本等。強制壽險業進行完全避險，雖能降低匯率風險，但可能因成本過高而嚴重侵蝕其投資收益，甚至影響其國際競爭力或迫使其為彌補成本而承擔其他更高風險。反之，若允許過高的未避險部位，則可能在不利的匯率變動下引發系統性風險。TIGF報告中的諸多建議，正反映了專家學者對現行制度在應對此複雜權衡時仍有不足之處的看法。</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針對「交易對手稀缺」及「避險工具不足」等市場結構性問題，主管機關未來或可考慮推動相關市場發展計畫，以深化國內避險市場的廣度與深度，或協助業者開拓更多元、更具成本效益的避險管道。例如，鼓勵更多合格的市場參與者投入、研議開發更長天期的在岸避險工具，或提升市場透明度等。TIGF報告中關於承認更多類型避險有效性的建議，若能審慎實施，或可在一定程度上增加業者的避險彈性，但同時也需確保這些工具能真正達到風險轉移或降低的效果。此外，強化對外匯風險的數據收集與模型分析能力，如所建議，將有助於主管機關更精準地掌握保險業面臨的真實風險狀況，從而制定更為有效的監理政策。金管會近期在擴大保險業資金投資國內公共建設及私募股權基金範圍的舉措 ，亦顯示其在引導保險資金運用方面持開放態度，未來若認為有必要，也可能在避險相關規範上進行調整。</w:t>
      </w:r>
    </w:p>
    <w:p w:rsidR="00000000" w:rsidDel="00000000" w:rsidP="00000000" w:rsidRDefault="00000000" w:rsidRPr="00000000" w14:paraId="000001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IV. 配對交易策略可行性分析：台灣債券與個股期貨</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本章節將探討在台灣市場運用債券與個股期貨進行配對交易策略的合理性與可行性，分析其理論基礎、市場條件、潛在挑戰及策略價值。</w:t>
      </w:r>
    </w:p>
    <w:p w:rsidR="00000000" w:rsidDel="00000000" w:rsidP="00000000" w:rsidRDefault="00000000" w:rsidRPr="00000000" w14:paraId="000001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配對交易策略之理論基礎與運作機制</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配對交易（Pairs Trading），亦有稱之為價差交易（Spread Trading），其核心概念是識別兩個具有相關性的金融商品，當它們之間的相對強弱關係出現暫時性失衡或偏離歷史常態時，透過同時建立一多一空部位來獲取價差收斂或擴散的利潤 。此策略因其多空對沖的特性，通常被歸類為市場中性策略（Market Neutral Strategy），旨在降低整體市場波動（即系統性風險）的影響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配對交易的獲利方式主要有兩種：</w:t>
      </w:r>
    </w:p>
    <w:p w:rsidR="00000000" w:rsidDel="00000000" w:rsidP="00000000" w:rsidRDefault="00000000" w:rsidRPr="00000000" w14:paraId="000001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價差收斂型：</w:t>
      </w:r>
      <w:r w:rsidDel="00000000" w:rsidR="00000000" w:rsidRPr="00000000">
        <w:rPr>
          <w:rFonts w:ascii="Arial Unicode MS" w:cs="Arial Unicode MS" w:eastAsia="Arial Unicode MS" w:hAnsi="Arial Unicode MS"/>
          <w:rtl w:val="0"/>
        </w:rPr>
        <w:t xml:space="preserve"> 當研判兩個相關性較高的標的物之間的價差異常擴大時，預期此價差將回歸均值（Mean Reversion）。此時，策略為買入相對弱勢（價格偏低）的標的，同時賣出相對強勢（價格偏高）的標的。當價差如預期收斂時，即可獲利了結 。例如，電子期貨與金融期貨的價差交易，若判斷電子股漲多而金融股相對滯後，可買進金融期貨、放空電子期貨，賭其價差縮小。</w:t>
      </w:r>
    </w:p>
    <w:p w:rsidR="00000000" w:rsidDel="00000000" w:rsidP="00000000" w:rsidRDefault="00000000" w:rsidRPr="00000000" w14:paraId="000001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價差發散型（趨勢追蹤）：</w:t>
      </w:r>
      <w:r w:rsidDel="00000000" w:rsidR="00000000" w:rsidRPr="00000000">
        <w:rPr>
          <w:rFonts w:ascii="Arial Unicode MS" w:cs="Arial Unicode MS" w:eastAsia="Arial Unicode MS" w:hAnsi="Arial Unicode MS"/>
          <w:rtl w:val="0"/>
        </w:rPr>
        <w:t xml:space="preserve"> 當研判強者恆強、弱者恆弱的趨勢將持續時，策略為買入強勢標的，同時賣出弱勢標的，期望兩者間的價差進一步擴大 。例如，買進產業龍頭股，同時放空同產業的二線廠商個股。</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學術界對配對交易、收斂交易及共整合（Cointegration）等相關概念已有廣泛研究 ，例如Gatev等人（2006）發表的《Pairs trading: Performance of a relative-value arbitrage rule》即為此領域的代表性文獻。</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配對交易的核心假設，尤其對價差收斂型策略而言，是兩個標的資產間的價格關係具有均值回歸的特性。亦即，若兩個資產的價格在歷史上呈現高度相關（例如，透過共整合檢定確認其存在長期均衡關係），當其價差因短期市場噪音或非理性因素而暫時偏離此均衡水平時，策略即押注此偏離是暫時的，未來將會修正。此策略的成功高度依賴於這種均值回歸現象的穩定性。若資產間的根本關係發生永久性改變，則價差可能持續擴大或不再收斂，導致策略虧損。因此，在實施此類策略前，進行嚴謹的統計分析（如共整合檢定、歷史價差分佈研究）至關重要。</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雖然配對交易透過多空對沖，旨在實現市場中性，從而對沖掉大盤的系統性風險 ，但這並不意味著該策略完全沒有風險。它仍然暴露於「價差風險」（Spread Risk）——即兩個標的間的價差未能如預期收斂或反而進一步擴大。此外，還可能面臨個別標的特有風險（Idiosyncratic Risk）、模型風險（若對價差關係的假設錯誤）、執行風險、流動性風險以及展期風險（若涉及期貨合約）等。</w:t>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B. 台灣個股期貨市場之特性與流動性</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個股期貨（Single Stock Futures, SSFs）作為一種衍生性金融商品，為投資者提供了針對單一股票進行投機、避險及價差交易的工具。台灣期貨交易所（TAIFEX）早在2005年即委託台灣大學進行「台灣發展個股期貨可行性之研究」，該研究指出個股期貨具備多重功能：在投機方面，可放大個股趨勢判斷的獲利機會；在避險方面，由於與標的個股的連動性高於股價指數期貨，因此能更有效地減少追蹤誤差（Tracking Error）；在成本方面，期貨採保證金交易，無需支付權利金，可節省操作成本 。</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期貨市場近年來持續發展，並推出不同規模的契約以滿足多元需求。例如，微型台指期貨（微臺）的推出，其契約乘數僅為每點新台幣10元，契約價值分別為台股期貨（大台）的1/20及小型台指期貨（小台）的1/5，旨在降低交易門檻，方便資金規模較小的投資者參與，或供法人機構進行更精細的部位調整 。雖然此例為指數期貨，但其契約設計理念亦可能延伸至個股期貨，以提升市場參與度。期貨交易的成本主要包括手續費、交易稅、買賣價差及交易滑價等 。</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就個股期貨的市場參與熱度而言，似乎存在一定的集中性。一本關於期貨與選擇權的教科書廣告中提及「股票期貨電子族群最受寵」，這暗示了台灣個股期貨市場的流動性可能主要集中在大型權值股，特別是科技股等熱門產業的相關合約上。</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個股期貨市場的流動性對於配對交易策略至關重要。若某一支個股期貨合約的交易不活躍，買賣價差過大，或市場深度不足，則在建立或平倉該期貨部位時，可能面臨較大的滑價成本，從而侵蝕配對交易的潛在利潤。因此，在考慮將個股期貨納入配對交易的一環時，其可供選擇的標的範圍，可能受限於那些具備充足流動性的合約。</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個股期貨的契約規格（如契約乘數、最小變動單位、保證金要求）及交易成本（手續費、交易稅、價差、滑價）亦是影響配對交易可行性的重要因素。契約乘數決定了每口合約所代表的股票名目價值，進而影響在配對交易中為達到特定曝險規模所需交易的合約口數。交易成本則直接關係到策略的損益平衡點，尤其對於交易頻率較高或期望捕捉微小價差的策略而言，即使是看似微不足道的成本，累積起來也可能對整體績效產生顯著影響。</w:t>
      </w:r>
    </w:p>
    <w:p w:rsidR="00000000" w:rsidDel="00000000" w:rsidP="00000000" w:rsidRDefault="00000000" w:rsidRPr="00000000" w14:paraId="000001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C. 評估相關性與共整合：台灣債券（或其代理變數）vs. 個股期貨</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探討債券與個股期貨之間是否存在穩定且可供套利的相關性或共整合關係，是判斷此類配對交易可行性的核心分析環節。然而，現有研究資料中並未直接提供針對</w:t>
      </w:r>
      <w:r w:rsidDel="00000000" w:rsidR="00000000" w:rsidRPr="00000000">
        <w:rPr>
          <w:rFonts w:ascii="Arial Unicode MS" w:cs="Arial Unicode MS" w:eastAsia="Arial Unicode MS" w:hAnsi="Arial Unicode MS"/>
          <w:i w:val="1"/>
          <w:iCs w:val="1"/>
          <w:rtl w:val="0"/>
        </w:rPr>
        <w:t xml:space="preserve">特定台灣債券（或債券期貨、債券ETF等代理變數）與特定台灣個股期貨</w:t>
      </w:r>
      <w:r w:rsidDel="00000000" w:rsidR="00000000" w:rsidRPr="00000000">
        <w:rPr>
          <w:rFonts w:ascii="Arial Unicode MS" w:cs="Arial Unicode MS" w:eastAsia="Arial Unicode MS" w:hAnsi="Arial Unicode MS"/>
          <w:rtl w:val="0"/>
        </w:rPr>
        <w:t xml:space="preserve">之間相關性或共整合關係的實證分析結果。此類分析通常需要運用計量方法對歷史價格數據進行檢驗。</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FCF的報告強調，在選定配對交易標的後，首要步驟是取得歷史資料並定義價差的計算方式（例如，A商品價格減B商品價格，或A價格除以B價格，常搭配取對數處理）。進而可利用價差的平均值及標準差，甚至布林通道等技術指標，來識別基於均值回歸假設的交易機會 。一份2013年的碩士論文曾對台灣50與中型100成分股的</w:t>
      </w:r>
      <w:r w:rsidDel="00000000" w:rsidR="00000000" w:rsidRPr="00000000">
        <w:rPr>
          <w:rFonts w:ascii="Arial Unicode MS" w:cs="Arial Unicode MS" w:eastAsia="Arial Unicode MS" w:hAnsi="Arial Unicode MS"/>
          <w:i w:val="1"/>
          <w:iCs w:val="1"/>
          <w:rtl w:val="0"/>
        </w:rPr>
        <w:t xml:space="preserve">個股期貨之間</w:t>
      </w:r>
      <w:r w:rsidDel="00000000" w:rsidR="00000000" w:rsidRPr="00000000">
        <w:rPr>
          <w:rFonts w:ascii="Arial Unicode MS" w:cs="Arial Unicode MS" w:eastAsia="Arial Unicode MS" w:hAnsi="Arial Unicode MS"/>
          <w:rtl w:val="0"/>
        </w:rPr>
        <w:t xml:space="preserve">的配對交易進行實證研究，發現除了第三季（可能受除權息因素影響）外，其餘時間均有不錯的報酬 。此研究雖未涉及債券，但顯示了在台灣市場運用個股期貨進行配對交易具有一定的實證基礎，惟需留意季節性等特殊因素的影響。iTrader的文章則提及「利率與債券價差」（Yield Spread）交易，但這通常指的是債券與債券之間的配對（如不同天期公債，或公司債與公債之間的利差），而非債券與權益類商品的配對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從一般市場行為來看，債券與股票之間的相關性並非恆定。傳統上，在「避險模式」（Flight to Safety）下，債券與股票可能呈現負相關（即股市下跌時，資金流入債市推升債券價格）。然而，此相關性會隨經濟環境而改變，例如在通膨預期高漲的時期，債券與股票可能同時下跌。特定公司的股票（及其期貨）對利率變動的反應，則可能因其融資成本、估值模型中的折現率，或所屬產業的利率敏感度（如金融、地產、高成長科技股）而有所不同。</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要在一般性的債券（或其指數代理變數）與單一公司的個股期貨之間，找到一個直接、穩定且具有經濟直觀意義的共整合關係，挑戰性相對較高。相較於同一資產類別內部（如兩支高度相關的股票，或同一發行人的不同債券），或具有明確基本面連結的資產（如母公司股價與子公司股價），債券與個股期貨的主要驅動因素差異較大。債券價格主要受利率、通膨預期及信用風險影響；而個股期貨價格則主要取決於該特定公司的營運前景、產業趨勢、管理能力以及整體股市情緒。儘管宏觀經濟因素會同時影響兩者，但其主要驅動因子不盡相同，這使得一個可供高頻配對交易所利用的、長期穩定的共整合關係可能較為罕見或不穩定。一個更具可能性的連結，或許存在於對利率變動較為敏感的特定產業股票（如金融股、公用事業股、不動產投資信託REITs）與債券之間，但這仍需透過嚴謹的實證檢驗來確認。</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另一種可能的連結方式，並非基於直接的價格共整合，而是利用不同資產對特定經濟因子或事件反應的差異。例如，當中央銀行釋出明確的貨幣政策轉向信號時，債券市場通常會立即反應，而某些股票或產業的反應可能相對過度或不足，從而產生暫時性的價差交易機會。或者，當一家公司的信用狀況發生重大變化時，其股價及公司債的信用利差（若其發行的債券具備足夠流動性）可能會偏離常態。然而，此類策略比單純的價格比例均值回歸更為複雜，需要對經濟傳導機制有更深刻的理解。</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由於個別債券（尤其是公司債或交易量較小的政府公債）的流動性可能不足，任何實際可操作的債券-個股期貨配對交易策略，很可能需要採用流動性較佳的債券代理變數，例如政府公債期貨（TAIFEX曾推出十年期公債期貨GBF ，但其相對於個股期貨的流動性需進一步評估）或債券ETF。債券ETF雖然提供了便利性，但其本身亦存在追蹤誤差及自身的流動性特徵。債券代理變數的選擇至關重要，將直接影響觀察到的相關性或共整合關係的強度與穩定性。</w:t>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D. 實務執行挑戰：交易成本、基差風險與法規細節</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將理論上的配對交易策略付諸實踐，常會面臨諸多現實層面的挑戰，這些挑戰可能大幅影響策略的實際績效。</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PFCF的報告 列舉了多項配對交易的實務問題：</w:t>
      </w:r>
    </w:p>
    <w:p w:rsidR="00000000" w:rsidDel="00000000" w:rsidP="00000000" w:rsidRDefault="00000000" w:rsidRPr="00000000" w14:paraId="000001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交易時間不一致：</w:t>
      </w:r>
      <w:r w:rsidDel="00000000" w:rsidR="00000000" w:rsidRPr="00000000">
        <w:rPr>
          <w:rFonts w:ascii="Arial Unicode MS" w:cs="Arial Unicode MS" w:eastAsia="Arial Unicode MS" w:hAnsi="Arial Unicode MS"/>
          <w:rtl w:val="0"/>
        </w:rPr>
        <w:t xml:space="preserve"> 兩個配對標的物的交易時間甚至開盤日可能存在差異。</w:t>
      </w:r>
    </w:p>
    <w:p w:rsidR="00000000" w:rsidDel="00000000" w:rsidP="00000000" w:rsidRDefault="00000000" w:rsidRPr="00000000" w14:paraId="000001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結算日期不同：</w:t>
      </w:r>
      <w:r w:rsidDel="00000000" w:rsidR="00000000" w:rsidRPr="00000000">
        <w:rPr>
          <w:rFonts w:ascii="Arial Unicode MS" w:cs="Arial Unicode MS" w:eastAsia="Arial Unicode MS" w:hAnsi="Arial Unicode MS"/>
          <w:rtl w:val="0"/>
        </w:rPr>
        <w:t xml:space="preserve"> 若涉及期貨合約，不同月份合約的結算日期不同，可能需要進行轉倉（Roll Over），這會產生額外的轉倉成本及潛在的價差風險。</w:t>
      </w:r>
    </w:p>
    <w:p w:rsidR="00000000" w:rsidDel="00000000" w:rsidP="00000000" w:rsidRDefault="00000000" w:rsidRPr="00000000" w14:paraId="000001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部位市值匹配困難：</w:t>
      </w:r>
      <w:r w:rsidDel="00000000" w:rsidR="00000000" w:rsidRPr="00000000">
        <w:rPr>
          <w:rFonts w:ascii="Arial Unicode MS" w:cs="Arial Unicode MS" w:eastAsia="Arial Unicode MS" w:hAnsi="Arial Unicode MS"/>
          <w:rtl w:val="0"/>
        </w:rPr>
        <w:t xml:space="preserve"> 由於各合約的規格不一（例如，債券的面額、期貨的契約乘數），在資金有限的情況下，要精確建立市值相等的雙邊部位（一多一空）可能存在困難。</w:t>
      </w:r>
    </w:p>
    <w:p w:rsidR="00000000" w:rsidDel="00000000" w:rsidP="00000000" w:rsidRDefault="00000000" w:rsidRPr="00000000" w14:paraId="000001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期貨自身基差影響：</w:t>
      </w:r>
      <w:r w:rsidDel="00000000" w:rsidR="00000000" w:rsidRPr="00000000">
        <w:rPr>
          <w:rFonts w:ascii="Arial Unicode MS" w:cs="Arial Unicode MS" w:eastAsia="Arial Unicode MS" w:hAnsi="Arial Unicode MS"/>
          <w:rtl w:val="0"/>
        </w:rPr>
        <w:t xml:space="preserve"> 期貨合約本身相對於現貨價格可能存在正價差（Contango）或逆價差（Backwardation），此基差狀況在策略建立及平倉時，均可能影響預期績效。</w:t>
      </w:r>
    </w:p>
    <w:p w:rsidR="00000000" w:rsidDel="00000000" w:rsidP="00000000" w:rsidRDefault="00000000" w:rsidRPr="00000000" w14:paraId="000001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匯率波動：</w:t>
      </w:r>
      <w:r w:rsidDel="00000000" w:rsidR="00000000" w:rsidRPr="00000000">
        <w:rPr>
          <w:rFonts w:ascii="Arial Unicode MS" w:cs="Arial Unicode MS" w:eastAsia="Arial Unicode MS" w:hAnsi="Arial Unicode MS"/>
          <w:rtl w:val="0"/>
        </w:rPr>
        <w:t xml:space="preserve"> 若配對交易的其中一腳涉及外幣計價資產，則需額外考慮匯率波動的風險。</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TAIFEX的月刊亦強調，期貨交易成本包括手續費、交易稅、買賣價差及滑價等，且這些成本可能因期貨商、合約種類及契約規模而異，例如小型合約的成本佔比可能相對較高 。這對於依賴捕捉微小價差的配對交易策略而言，是必須審慎評估的因素。iTrader的文章也提醒，執行配對交易時，必須留意兩個標的物的到期日、合約規格及流動性，且事前需要進行大量的數據分析 。</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就債券與個股期貨的配對而言，</w:t>
      </w:r>
      <w:r w:rsidDel="00000000" w:rsidR="00000000" w:rsidRPr="00000000">
        <w:rPr>
          <w:rFonts w:ascii="Arial Unicode MS" w:cs="Arial Unicode MS" w:eastAsia="Arial Unicode MS" w:hAnsi="Arial Unicode MS"/>
          <w:b w:val="1"/>
          <w:bCs w:val="1"/>
          <w:rtl w:val="0"/>
        </w:rPr>
        <w:t xml:space="preserve">流動性不匹配</w:t>
      </w:r>
      <w:r w:rsidDel="00000000" w:rsidR="00000000" w:rsidRPr="00000000">
        <w:rPr>
          <w:rFonts w:ascii="Arial Unicode MS" w:cs="Arial Unicode MS" w:eastAsia="Arial Unicode MS" w:hAnsi="Arial Unicode MS"/>
          <w:rtl w:val="0"/>
        </w:rPr>
        <w:t xml:space="preserve">可能是一大主要障礙。一般而言，債券（尤其是公司債或交易量較小的政府公債）的流動性遠低於交易活躍的個股期貨。這種非同步的流動性使得在理想價格下同時執行配對交易的兩腳變得非常困難。若其中一腳（例如債券端）流動性不足，嘗試交易該部位時可能導致顯著的價格衝擊（滑價），從而侵蝕甚至完全抵銷預期的價差利潤。即便採用流動性較佳的債券期貨或債券ETF作為代理變數，其流動性也需要與個股期貨端相匹配，尤其是在策略涉及頻繁交易的情況下。</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「持有成本」（Cost of Carry）及期限結構效應也是需要考量的因素。對於債券-個股期貨的配對，債券本身帶有殖利率（相對於融資成本而言，可能是正或負的持有成本），而個股期貨的價格則反映了持有標的股票至到期日的成本（主要包括資金成本及預期股利）。這些內含的成本因素若未在價差定義中得到適當處理，或其變動不一致，可能導致看似異常的價差實際上是合理的，或使得價差的動態不穩定。個股期貨合約的展期 也會引入額外的成本及新舊合約基差變動的風險。</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外，執行市場中性配對交易策略仍需投入資本。期貨端需要繳納保證金，而債券端若為實物持有則需佔用資金，若為債券期貨亦需保證金。策略的資本回報率必須足以彌補這些資金成本及所承擔的殘餘風險（如價差風險），尤其是在預期價差利潤空間本已不大的情況下。</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雖然目前文獻未詳細闡述專門針對債券-個股期貨配對交易的特定法規細節，但一般的證券及期貨交易法規（如部位限制、保證金規定、禁止不當交易行為等）均適用。金管會曾針對證券自營商因應各種交易需求（包括衍生性商品避險、套利等）進行未持有價證券賣出（即融券或借券賣出）的行為訂有相關規範 ，若配對交易中的債券端涉及賣空實際債券，則需遵循此類規定。</w:t>
      </w:r>
    </w:p>
    <w:p w:rsidR="00000000" w:rsidDel="00000000" w:rsidP="00000000" w:rsidRDefault="00000000" w:rsidRPr="00000000" w14:paraId="000001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E. 潛在風險回報特性與策略可行性評估</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綜合考量理論基礎、市場條件及實務挑戰後，可對台灣市場債券-個股期貨配對交易的潛在風險回報特性及整體策略可行性進行評估。</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PFCF的報告指出，配對交易因其多空對沖特性，風險相對較低，主要對沖了系統性風險，利潤則來自於價差的收斂或發散 。iTrader的文章亦列舉了配對交易的多項優點，包括不受系統風險影響、收益曲線相對平滑、以及在良好統計或基本面分析基礎上勝率較高等；但其缺點則在於事前需投入大量時間進行數據準備與分析，且執行時需密切注意合約細節與流動性 。一份針對</w:t>
      </w:r>
      <w:r w:rsidDel="00000000" w:rsidR="00000000" w:rsidRPr="00000000">
        <w:rPr>
          <w:rFonts w:ascii="Arial Unicode MS" w:cs="Arial Unicode MS" w:eastAsia="Arial Unicode MS" w:hAnsi="Arial Unicode MS"/>
          <w:i w:val="1"/>
          <w:iCs w:val="1"/>
          <w:rtl w:val="0"/>
        </w:rPr>
        <w:t xml:space="preserve">個股期貨之間</w:t>
      </w:r>
      <w:r w:rsidDel="00000000" w:rsidR="00000000" w:rsidRPr="00000000">
        <w:rPr>
          <w:rFonts w:ascii="Arial Unicode MS" w:cs="Arial Unicode MS" w:eastAsia="Arial Unicode MS" w:hAnsi="Arial Unicode MS"/>
          <w:rtl w:val="0"/>
        </w:rPr>
        <w:t xml:space="preserve">配對交易的實證研究顯示，若能找到穩定的關係並有效管理交易成本，此類策略在台灣市場具有獲利潛力，但需留意如除權息等特殊事件的影響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核心的挑戰依然在於，能否在台灣的債券（或其流動性良好的代理變數）與特定的個股期貨之間，找到一個足夠穩定、可預測且經濟上合理的關聯性，使其產生的交易機會足以覆蓋交易成本及其他實務操作上的困難。現有的研究資料並未提供針對此特定組合（債券-個股期貨）在台灣市場的直接實證證據。</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鑒於前述挑戰，例如尋找穩定價差關係的難度、潛在的流動性不匹配問題、以及持有成本與基差風險的複雜影響，直接的、基於嚴格共整合關係的債券-個股期貨配對交易，在台灣市場更可能是一種利基型或高度專業化的策略，而非廣泛適用的主流方法。最成功的配對交易策略通常發生在具有極強內在聯繫且歷史關係穩固的資產之間（例如，兩地上市股票、同一公司的不同類別股份、或關聯度極高的商品）。一般債券曝險與特定公司個股期貨之間的連結，往往較為間接，且易受宏觀經濟環境變化的影響。高昂的交易成本或其中一腳的流動性問題，都可能迅速使理論上存在的微小價差變得無利可圖。</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若此類策略確實可行，則更可能適用於具備先進量化分析能力（以識別和驗證價差關係）及高效交易執行平台（以控制成本和滑價）的機構投資者。一般散戶或缺乏專業工具的投資者，在有效實施此類複雜策略方面將面臨較大困難。</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相較於嚴格定義的、基於共整合的債券-個股期貨配對交易，金融機構更可能從事廣義上的「相對價值」（Relative Value）評估。例如，機構可能會根據對整體利率前景的判斷，認為債券相對於股票整體而言估值偏高或偏低，或者認為特定產業（可透過一籃子個股期貨或指數期貨代表）比固定收益資產更具吸引力。這種操作更多是基於宏觀市場觀點的戰術性資產配置，而非利用短期價差偏離進行的高頻交易，但亦是機構投資者常見的投資活動。</w:t>
      </w:r>
    </w:p>
    <w:p w:rsidR="00000000" w:rsidDel="00000000" w:rsidP="00000000" w:rsidRDefault="00000000" w:rsidRPr="00000000" w14:paraId="000001A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V. 綜合評估與策略建議</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本報告旨在深入調查台灣金融機構的債券曝險狀況、當前面臨的債券與匯率風險、外匯市場的避險挑戰，以及債券與個股期貨配對交易的合理性。綜合前述各章節的分析，可歸納以下觀點並提出相應建議。</w:t>
      </w:r>
    </w:p>
    <w:p w:rsidR="00000000" w:rsidDel="00000000" w:rsidP="00000000" w:rsidRDefault="00000000" w:rsidRPr="00000000" w14:paraId="000001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關聯性金融風險之綜合觀點</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台灣金融機構，特別是壽險業，持有龐大的債券部位，其中海外（尤其是美元計價）債券佔比較高 。此結構性特徵使其在當前全球利率普遍走升 及新台幣匯率波動加劇（兼具貶值壓力與偶發性急升風險） 的環境下，面臨顯著的市場風險。更為嚴峻的是，利率風險與匯率風險可能產生疊加效應，對未充分避險的海外資產造成「二次方」的衝擊 。</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與此同時，外匯避險市場本身亦存在諸多挑戰，包括避險工具成本高昂（尤其是NDF）、特定工具（如CS）市場容量有限，以及在單邊市場預期下交易對手難尋等問題 。這使得金融機構在管理其龐大外匯曝險時，陷入維持高避險比率導致成本過高，或降低避險比率承受巨大市場波動風險的兩難。現有的外匯價格變動準備金制度雖有助於平滑短期損益，但其作為真實風險緩衝的功能與容量均有其限制，甚至可能在一定程度上降低了業者進行真實避險的誘因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至於利用債券與個股期貨進行配對交易的策略，雖然理論上具有市場中性的優勢，但在台灣市場的實際應用面臨較大挑戰，主要包括：難以在兩類資產間找到穩定且經濟意義顯著的共整合關係、債券（或其代理變數）與個股期貨之間可能存在的流動性不匹配、以及交易成本和基差風險等實務操作問題。因此，此類配對交易更可能屬於利基型策略，而非應對當前主要市場風險的主流工具。</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整體而言，台灣金融體系（尤其是壽險業）因其對海外（美元）固定收益資產的結構性依賴，以及外匯避險市場的固有局限性，使其在利率與匯率風險上升的環境中，暴露出一定的脆弱性。當這些風險因素不利地交織作用時，可能對個別機構的償付能力、盈利能力乃至整體金融穩定構成潛在威脅。</w:t>
      </w:r>
    </w:p>
    <w:p w:rsidR="00000000" w:rsidDel="00000000" w:rsidP="00000000" w:rsidRDefault="00000000" w:rsidRPr="00000000" w14:paraId="000001B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B. 對金融機構之行動建議（風險緩釋、避險優化）</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面對複雜且聯動的市場風險，金融機構應採取更為主動和精細化的風險管理措施：</w:t>
      </w:r>
    </w:p>
    <w:p w:rsidR="00000000" w:rsidDel="00000000" w:rsidP="00000000" w:rsidRDefault="00000000" w:rsidRPr="00000000" w14:paraId="000001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海外資產配置多元化：</w:t>
      </w:r>
      <w:r w:rsidDel="00000000" w:rsidR="00000000" w:rsidRPr="00000000">
        <w:rPr>
          <w:rFonts w:ascii="Arial Unicode MS" w:cs="Arial Unicode MS" w:eastAsia="Arial Unicode MS" w:hAnsi="Arial Unicode MS"/>
          <w:rtl w:val="0"/>
        </w:rPr>
        <w:t xml:space="preserve"> 雖然美元資產因其市場深度與廣度仍具吸引力，但應審慎評估逐步將部分海外投資分散至其他主要貨幣區的可能性（如提及運用多幣別遠期外匯進行替代性避險的思路），前提是能獲得具競爭力的淨避險後報酬且市場流動性充足，以降低對單一貨幣（美元）及其避險市場的過度依賴。</w:t>
      </w:r>
    </w:p>
    <w:p w:rsidR="00000000" w:rsidDel="00000000" w:rsidP="00000000" w:rsidRDefault="00000000" w:rsidRPr="00000000" w14:paraId="000001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強化動態避險策略：</w:t>
      </w:r>
      <w:r w:rsidDel="00000000" w:rsidR="00000000" w:rsidRPr="00000000">
        <w:rPr>
          <w:rFonts w:ascii="Arial Unicode MS" w:cs="Arial Unicode MS" w:eastAsia="Arial Unicode MS" w:hAnsi="Arial Unicode MS"/>
          <w:rtl w:val="0"/>
        </w:rPr>
        <w:t xml:space="preserve"> 投入資源發展更為精密的計量模型，以優化部分避險策略的執行。應綜合考量市場波動率、跨資產相關性、避險成本等多重因素，動態調整避險比率。在成本效益允許且風險可控的前提下，可審慎研究更為先進的選擇權組合策略（惟建議初期或應限制於買入陽春型選擇權）。</w:t>
      </w:r>
    </w:p>
    <w:p w:rsidR="00000000" w:rsidDel="00000000" w:rsidP="00000000" w:rsidRDefault="00000000" w:rsidRPr="00000000" w14:paraId="000001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提升交易對手風險管理：</w:t>
      </w:r>
      <w:r w:rsidDel="00000000" w:rsidR="00000000" w:rsidRPr="00000000">
        <w:rPr>
          <w:rFonts w:ascii="Arial Unicode MS" w:cs="Arial Unicode MS" w:eastAsia="Arial Unicode MS" w:hAnsi="Arial Unicode MS"/>
          <w:rtl w:val="0"/>
        </w:rPr>
        <w:t xml:space="preserve"> 在場外衍生性商品交易中，應盡可能分散避險交易對手，並對未受足額擔保的曝險部位，進行更為嚴格與頻繁的交易對手信用狀況評估 。</w:t>
      </w:r>
    </w:p>
    <w:p w:rsidR="00000000" w:rsidDel="00000000" w:rsidP="00000000" w:rsidRDefault="00000000" w:rsidRPr="00000000" w14:paraId="000001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深化情境分析與壓力測試：</w:t>
      </w:r>
      <w:r w:rsidDel="00000000" w:rsidR="00000000" w:rsidRPr="00000000">
        <w:rPr>
          <w:rFonts w:ascii="Arial Unicode MS" w:cs="Arial Unicode MS" w:eastAsia="Arial Unicode MS" w:hAnsi="Arial Unicode MS"/>
          <w:rtl w:val="0"/>
        </w:rPr>
        <w:t xml:space="preserve"> 定期執行更為嚴峻且涵蓋多重風險因子（如利率、匯率、信用利差、流動性）同時不利變動的情境分析與壓力測試（如提及的「三殺」壓力測試概念），評估在此類極端情境下對資本適足率、流動性及損益的衝擊，並據此制定應急預案。</w:t>
      </w:r>
    </w:p>
    <w:p w:rsidR="00000000" w:rsidDel="00000000" w:rsidP="00000000" w:rsidRDefault="00000000" w:rsidRPr="00000000" w14:paraId="000001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持續評估國內投資機會：</w:t>
      </w:r>
      <w:r w:rsidDel="00000000" w:rsidR="00000000" w:rsidRPr="00000000">
        <w:rPr>
          <w:rFonts w:ascii="Arial Unicode MS" w:cs="Arial Unicode MS" w:eastAsia="Arial Unicode MS" w:hAnsi="Arial Unicode MS"/>
          <w:rtl w:val="0"/>
        </w:rPr>
        <w:t xml:space="preserve"> 繼續關注並評估國內投資標的，包括新台幣計價的債券ETF、符合政策導向的公共建設及策略性產業投資機會等 ，這些不具備直接外匯風險的資產，或可在一定程度上作為分散風險的選項，即便其名目殖利率可能相對較低。</w:t>
      </w:r>
    </w:p>
    <w:p w:rsidR="00000000" w:rsidDel="00000000" w:rsidP="00000000" w:rsidRDefault="00000000" w:rsidRPr="00000000" w14:paraId="000001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審慎對待利基型交易策略：</w:t>
      </w:r>
      <w:r w:rsidDel="00000000" w:rsidR="00000000" w:rsidRPr="00000000">
        <w:rPr>
          <w:rFonts w:ascii="Arial Unicode MS" w:cs="Arial Unicode MS" w:eastAsia="Arial Unicode MS" w:hAnsi="Arial Unicode MS"/>
          <w:rtl w:val="0"/>
        </w:rPr>
        <w:t xml:space="preserve"> 若考慮從事如債券-個股期貨等配對交易，應將其定位為高度專業化的利基策略。投入前需進行扎實的統計研究以驗證價差關係的穩定性與經濟邏輯，優先選擇流動性極佳的個股期貨及債券代理變數，並從小規模、可密切監控的試點計畫開始，同時對流動性風險及執行風險保持高度警惕。</w:t>
      </w:r>
    </w:p>
    <w:p w:rsidR="00000000" w:rsidDel="00000000" w:rsidP="00000000" w:rsidRDefault="00000000" w:rsidRPr="00000000" w14:paraId="000001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整合性資產負債管理（ALM）與精密風險覆蓋：</w:t>
      </w:r>
      <w:r w:rsidDel="00000000" w:rsidR="00000000" w:rsidRPr="00000000">
        <w:rPr>
          <w:rFonts w:ascii="Arial Unicode MS" w:cs="Arial Unicode MS" w:eastAsia="Arial Unicode MS" w:hAnsi="Arial Unicode MS"/>
          <w:rtl w:val="0"/>
        </w:rPr>
        <w:t xml:space="preserve"> 壽險業的核心挑戰在於以大量外幣資產匹配其新台幣計價的長天期負債。單純的資產端避險可能不足，需要建立更為整合的資產負債管理框架，並輔以更精密的風險模型，全面考量利率、匯率、信用、流動性等多重風險及其交互作用，以制定兼顧風險控制與收益目標的長期策略。</w:t>
      </w:r>
    </w:p>
    <w:p w:rsidR="00000000" w:rsidDel="00000000" w:rsidP="00000000" w:rsidRDefault="00000000" w:rsidRPr="00000000" w14:paraId="000001B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 對監理機關之政策考量</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為維護金融穩定並協助業者應對當前挑戰，監理機關或可從以下方向進行政策考量：</w:t>
      </w:r>
    </w:p>
    <w:p w:rsidR="00000000" w:rsidDel="00000000" w:rsidP="00000000" w:rsidRDefault="00000000" w:rsidRPr="00000000" w14:paraId="000001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持續檢討並優化外匯風險監理框架：</w:t>
      </w:r>
      <w:r w:rsidDel="00000000" w:rsidR="00000000" w:rsidRPr="00000000">
        <w:rPr>
          <w:rFonts w:ascii="Arial Unicode MS" w:cs="Arial Unicode MS" w:eastAsia="Arial Unicode MS" w:hAnsi="Arial Unicode MS"/>
          <w:rtl w:val="0"/>
        </w:rPr>
        <w:t xml:space="preserve"> 參考TIGF等機構的研究建議 ，持續評估現行FEVR制度的有效性與可持續性，考慮引入更具前瞻性的準備金計提與動用機制。同時，檢討RBC制度中對外匯風險資本計提的合理性，研究納入更精細的風險因子（如幣別特性、相關性）及更先進的風險衡量模型的可能性。</w:t>
      </w:r>
    </w:p>
    <w:p w:rsidR="00000000" w:rsidDel="00000000" w:rsidP="00000000" w:rsidRDefault="00000000" w:rsidRPr="00000000" w14:paraId="000001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促進國內避險市場發展與工具創新：</w:t>
      </w:r>
      <w:r w:rsidDel="00000000" w:rsidR="00000000" w:rsidRPr="00000000">
        <w:rPr>
          <w:rFonts w:ascii="Arial Unicode MS" w:cs="Arial Unicode MS" w:eastAsia="Arial Unicode MS" w:hAnsi="Arial Unicode MS"/>
          <w:rtl w:val="0"/>
        </w:rPr>
        <w:t xml:space="preserve"> 針對市場反映的避險工具不足、成本過高及交易對手難尋等問題，可研究推出鼓勵措施，以提升國內外匯避險市場的深度與廣度，例如：研議推動更長天期在岸避險工具的發展、適度增加市場參與者類型、或提升市場運作效率與透明度。</w:t>
      </w:r>
    </w:p>
    <w:p w:rsidR="00000000" w:rsidDel="00000000" w:rsidP="00000000" w:rsidRDefault="00000000" w:rsidRPr="00000000" w14:paraId="000001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強化跨部門監理協調與資訊共享：</w:t>
      </w:r>
      <w:r w:rsidDel="00000000" w:rsidR="00000000" w:rsidRPr="00000000">
        <w:rPr>
          <w:rFonts w:ascii="Arial Unicode MS" w:cs="Arial Unicode MS" w:eastAsia="Arial Unicode MS" w:hAnsi="Arial Unicode MS"/>
          <w:rtl w:val="0"/>
        </w:rPr>
        <w:t xml:space="preserve"> 鑑於利率、匯率及信用風險的聯動性，以及金融機構業務的綜合性，中央銀行、金管會（銀行局、保險局、證期局）等監理機構之間應進一步強化橫向溝通協調與風險資訊共享機制，以形成更為全面的風險圖像與一致的監理應對。</w:t>
      </w:r>
    </w:p>
    <w:p w:rsidR="00000000" w:rsidDel="00000000" w:rsidP="00000000" w:rsidRDefault="00000000" w:rsidRPr="00000000" w14:paraId="000001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引導保險資金進行長期且多元化的國內投資：</w:t>
      </w:r>
      <w:r w:rsidDel="00000000" w:rsidR="00000000" w:rsidRPr="00000000">
        <w:rPr>
          <w:rFonts w:ascii="Arial Unicode MS" w:cs="Arial Unicode MS" w:eastAsia="Arial Unicode MS" w:hAnsi="Arial Unicode MS"/>
          <w:rtl w:val="0"/>
        </w:rPr>
        <w:t xml:space="preserve"> 在兼顧安全性與收益性的前提下，持續透過政策引導（如擴大保險資金投資公共建設及國內私募股權基金範圍），鼓勵保險資金投入國內實體經濟發展及符合ESG理念的長期項目，這不僅有助於降低其對海外市場及單一幣別的過度依賴，亦能為國內經濟發展提供長期穩定資金來源。</w:t>
      </w:r>
    </w:p>
    <w:p w:rsidR="00000000" w:rsidDel="00000000" w:rsidP="00000000" w:rsidRDefault="00000000" w:rsidRPr="00000000" w14:paraId="000001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提升金融機構風險意識與管理能力：</w:t>
      </w:r>
      <w:r w:rsidDel="00000000" w:rsidR="00000000" w:rsidRPr="00000000">
        <w:rPr>
          <w:rFonts w:ascii="Arial Unicode MS" w:cs="Arial Unicode MS" w:eastAsia="Arial Unicode MS" w:hAnsi="Arial Unicode MS"/>
          <w:rtl w:val="0"/>
        </w:rPr>
        <w:t xml:space="preserve"> 透過監理指導、壓力測試要求及最佳實務分享等方式，持續督促金融機構強化其內部風險管理框架、提升風險量化能力，並確保董事會及高階管理層對所面臨的複雜風險有充分認知與承擔最終責任。</w:t>
      </w:r>
    </w:p>
    <w:p w:rsidR="00000000" w:rsidDel="00000000" w:rsidP="00000000" w:rsidRDefault="00000000" w:rsidRPr="00000000" w14:paraId="000001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關注並規範新興金融業務風險：</w:t>
      </w:r>
      <w:r w:rsidDel="00000000" w:rsidR="00000000" w:rsidRPr="00000000">
        <w:rPr>
          <w:rFonts w:ascii="Arial Unicode MS" w:cs="Arial Unicode MS" w:eastAsia="Arial Unicode MS" w:hAnsi="Arial Unicode MS"/>
          <w:rtl w:val="0"/>
        </w:rPr>
        <w:t xml:space="preserve"> 對於如開放證券自營商辦理特定外國債券零售業務等新興業務 ，應在鼓勵金融創新的同時，密切關注其可能帶來的投資者保護、市場秩序及系統性風險等問題，並及時完善相應的監理配套措施。</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總之，台灣金融機構在全球金融環境快速變遷的背景下，面臨著多重且相互關聯的挑戰。透過業者自身的風險管理強化以及監理政策的持續優化，方能有效應對潛在衝擊，確保金融體系的長期穩健與韌性。</w:t>
      </w:r>
    </w:p>
    <w:p w:rsidR="00000000" w:rsidDel="00000000" w:rsidP="00000000" w:rsidRDefault="00000000" w:rsidRPr="00000000" w14:paraId="000001C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銀行業買債量探低兩個原因 - 永豐金證券, https://www.sinotrade.com.tw/richclub/news/668aecb932ba0c93318be57a 2. 本國金控集團國內及海外暴險(季)統計表 - 銀行局, https://www.banking.gov.tw/ch/home.jsp?id=591&amp;parentpath=0,590&amp;mcustomize=multimessage_view.jsp&amp;dataserno=201703020001&amp;dtable=Disclosure 3. 金融統計- 銀行局全球資訊網, https://www.banking.gov.tw/ch/home.jsp?id=595&amp;parentpath=0,590 4. 我國金控集團海外曝險史上首度突破29.1兆- 自由財經, https://ec.ltn.com.tw/article/breakingnews/5033492 5. 台灣壽險業巨額美元資產曝風險央行示警禿鷹炒匯 - 鉅亨網, https://news.cnyes.com/news/id/5961701 6. www.tigf.org.tw, https://www.tigf.org.tw/files/file_pool/1/0m081587899959956342/%E5%BC%B7%E5%8C%96%E4%BF%9D%E9%9A%AA%E6%A5%AD%E5%9C%8B%E5%A4%96%E6%8A%95%E8%B3%87%E4%B9%8B%E5%8C%AF%E7%8E%87%E9%A2%A8%E9%9A%AA%E7%AE%A1%E7%90%86%E8%88%87%E7%9B%A3%E7%90%86%E6%A9%9F%E5%88%B6%E4%B9%8B%E7%A0%94%E7%A9%B6%E6%9C%9F%E6%9C%AB%E5%A0%B1%E5%91%8Af.pdf 7. 2024臺灣保險業報告, https://assets.kpmg.com/content/dam/kpmg/tw/pdf/2024/10/tw-kpmg-taiwan-insurance-report.pdf 8. 保險財務業務統計-財團法人保險事業發展中心, https://www.tii.org.tw/tii/information/information1/000005.html 9. www.fsc.gov.tw, https://www.fsc.gov.tw/fckdowndoc?file=/%E9%96%8B%E6%94%BE%E8%B3%87%E6%96%99%E9%9B%86_%E4%BF%9D%E9%9A%AA%E5%B1%80.ods&amp;flag=doc 10. 壽險業11月反手大買台股近800億海外債落袋為安大砍860億| 市場焦點| 證券| 經濟日報, https://money.udn.com/money/story/5607/8456620 11. 匯率風險對我國壽險業經營之短中長期影響 - 財團法人台北外匯市場發展基金會, https://www.tpefx.com.tw/uploads/download/tw/The%20Short,%20Median%20and%20Long%20Term%20Impacts%20of%20Currency%20Risk%20on%20Taiwan%20Life%20Insurance%20Industry.pdf 12. 獨家／台幣暴升風暴襲來金管會急召三大壽險| 金融脈動 - 經濟日報, https://money.udn.com/money/story/5613/8719326 13. 嚴重特殊傳染性肺炎疫情對國內銀行業經營之影響, https://lawdata.com.tw/File/DC/Journal/J1526/A00065006_067.pdf 14. 113年9月底本國銀行國家風險統計 - 中央銀行, https://www.cbc.gov.tw/tw/cp-302-179850-9271e-1.html 15. 金管會同意大陸地區債券及金融機構定存單得為擔保品, https://www.mac.gov.tw/News_Content.aspx?n=F34D408ACAA86887&amp;sms=8E0A247A631E0960&amp;s=9C6DCEBBBAAB651D 16. 法規內容-臺灣地區銀行對大陸地區之授信、投資及資金拆存總額度計算方法說明, https://law.fsc.gov.tw/LawContent.aspx?id=GL000446 17. PowerPoint 簡報, https://www.irpro.co/2881/events/463/CH/20240607182310-1.pdf 18. 櫃買中心債券相關公告, https://www.tpex.org.tw/web/bond/bulletin/ann_detail.php?l=zh-tw&amp;content_file=MTA2MDQwMDUyNTEuaHRt&amp;content_number=MTA2MDQwMDUyNTE%3D 19. 證券商管理規則」及「證券商負責人與業務人員管理規則」部分條文修正草案, https://www.sfb.gov.tw/ch/home.jsp?id=95&amp;parentpath=0,2&amp;mcustomize=multimessage_view.jsp&amp;dataserno=202501210004&amp;dtable=News 20. 第四部分市場風險, https://law.banking.gov.tw/chi/downloadfiles.ashx?MsgId=1496&amp;tbl=F&amp;FileId=1065&amp;his=False 21. 陸、市場風險, https://www.fsc.gov.tw/fckdowndoc?file=/BB-10010005880%E5%B8%82%E5%A0%B4%E9%A2%A8%E9%9A%AA.doc&amp;flag=doc 22. 重要公告-金融監督管理委員會全球資訊網, https://www.fsc.gov.tw/ch/home.jsp?id=97&amp;parentpath=0&amp;mcustomize=multimessage_view.jsp&amp;dataserno=202401190001&amp;dtable=NewsLaw&amp;aplistdn=ou=newlaw,ou=chlaw,ou=ap_root,o=fsc,c=tw 23. 發布有關「證券商管理規則」第59條之1第1項及第63條第2項規定之令(金管證券字第1110381688號) - 證期局, https://www.sfb.gov.tw/ch/home.jsp?id=88&amp;parentpath=0&amp;mcustomize=lawnews_view.jsp&amp;dataserno=202206210001 24. 中央銀行-中文版-最新消息-新聞稿-本行發布第18期金融穩定報告, https://www.cbc.gov.tw/tw/cp-302-170784-46158-1.html 25. 金融穩定報告概述 - 中央存款保險公司, https://www.cdic.gov.tw/upload/cont_att/37-2-3.pdf 26. 你必須了解的所有債券知識 - PIMCO, https://www.pimco.com/tw/zh/resources/education/everything-you-need-to-know-about-bonds 27. 面對三種經濟情境：信用市場會如何表現？ - Schroders, https://www.schroders.com/zh-tw/tw/individual/insights/three-market-scenarios-how-would-credit-perform/ 28. 第三十一卷第二期 - 中央銀行, https://www.cbc.gov.tw/tw/public/Attachment/08231513071.pdf 29. 新興貨幣升值狂潮背後，台幣狂飆與壽險“雙槓桿”危機| 外匯| 鉅亨號, https://hao.cnyes.com/post/167443 30. 台幣暴升外媒：壽險業避險所致央行阻升陷兩難, https://www.moneydj.com/kmdj/news/newsviewer.aspx?a=c95bacec-3acf-4e9d-8c19-fe0d3b58414e 31. 中華信評：銀行授信風險升壽險外匯壓力大 - Yahoo股市, https://tw.stock.yahoo.com/news/%E4%B8%AD%E8%8F%AF%E4%BF%A1%E8%A9%95-%E9%8A%80%E8%A1%8C%E6%8E%88%E4%BF%A1%E9%A2%A8%E9%9A%AA%E5%8D%87-%E5%A3%BD%E9%9A%AA%E5%A4%96%E5%8C%AF%E5%A3%93%E5%8A%9B%E5%A4%A7-201000345.html 32. 大環境差房貸風險增中華信評：銀行還扛得住 - 591新聞, https://news.591.com.tw/news/11253 33. 中華信用評等公司業務發展方向 - 臺灣證券交易所, https://www.twse.com.tw/staticFiles/product/publication/0001002486.pdf 34. www.tpefx.com.tw, https://www.tpefx.com.tw/uploads/download/tw/1.Discussion%20on%20Price%20Behavior%20of%20Major%20Currency%20Exchange%20Transactions.pdf 35. 《各報要聞》台幣升值慘業？壽險業壓力大 - Yahoo股市, https://tw.stock.yahoo.com/news/%E5%90%84%E5%A0%B1%E8%A6%81%E8%81%9E-%E5%8F%B0%E5%B9%A3%E5%8D%87%E5%80%BC%E6%85%98%E6%A5%AD-%E5%A3%BD%E9%9A%AA%E6%A5%AD%E5%A3%93%E5%8A%9B%E5%A4%A7-233539950.html 36. 新聞稿-金管會擴大保險業資金投資公共建設及國內私募股權基金之範圍, https://www.fsc.gov.tw/ch/home.jsp?id=96&amp;parentpath=0,2&amp;mcustomize=news_view.jsp&amp;dataserno=202503250003&amp;toolsflag=Y&amp;dtable=News 37. 第一次交易期權就上手(十六)-價差配對交易如何操作？ - 統一期貨, https://www.pfcf.com.tw/featured/detail/2915 38. 教你5分鐘看懂價差交易(配對、套利) - 元大期貨, https://itrader.com.tw/%E6%95%99%E4%BD%A05%E5%88%86%E9%90%98%E7%9C%8B%E6%87%82%E5%83%B9%E5%B7%AE%E4%BA%A4%E6%98%93%E9%85%8D%E5%B0%8D%E3%80%81%E5%A5%97%E5%88%A9/ 39. 財務金融研究所碩士論文, https://ir.lib.nycu.edu.tw/bitstream/11536/72565/1/392201.pdf 40. 臺灣發展個股期貨可行性之研究, https://www.fsc.gov.tw/fckdowndoc?file=/%E8%87%BA%E7%81%A3%E7%99%BC%E5%B1%95%E5%80%8B%E8%82%A1%E6%9C%9F%E8%B2%A8%E5%8F%AF%E8%A1%8C%E6%80%A7%E4%B9%8B%E7%A0%94%E7%A9%B6.doc&amp;flag=doc 41. TAIWAN FUTURES EXCHANGE - 臺灣期貨交易所, https://www.taifex.com.tw/file/taifex/CHINESE/10/moth_all/202408_all.pdf 42. 【書寶二手書T5／大學商學_I1M】期貨與選擇權概論(附學習光碟)(三, https://buy.line.me/product/18/340a4130-bb80-11ef-bc5e-0242ac110003 43. 運用配對交易於台灣股票期貨之實證研究, https://www.airitilibrary.com/Article/Detail?DocID=U0078-2712201314043378&amp;source=&amp;sourceDocID= 44. 最新法令函釋- 金融監督管理委員會證券期貨局全球資訊網, https://www.sfb.gov.tw/ch/home.jsp?id=3&amp;parentpath=0&amp;mcustomize=lawnews_view.jsp&amp;dataserno=202106090002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