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股市投資觀點與策略統整</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這份文件統整了我們討論的幾個核心股市觀點與策略：</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不同市值規模股票特性概述</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超大型/大型股 (如 台積電、緯創):</w:t>
      </w:r>
    </w:p>
    <w:p w:rsidR="00000000" w:rsidDel="00000000" w:rsidP="00000000" w:rsidRDefault="00000000" w:rsidRPr="00000000" w14:paraId="00000005">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驅動力:</w:t>
      </w:r>
      <w:r w:rsidDel="00000000" w:rsidR="00000000" w:rsidRPr="00000000">
        <w:rPr>
          <w:rFonts w:ascii="Arial Unicode MS" w:cs="Arial Unicode MS" w:eastAsia="Arial Unicode MS" w:hAnsi="Arial Unicode MS"/>
          <w:rtl w:val="0"/>
        </w:rPr>
        <w:t xml:space="preserve"> 超大型股（如台積電）的顯著上漲</w:t>
      </w:r>
      <w:r w:rsidDel="00000000" w:rsidR="00000000" w:rsidRPr="00000000">
        <w:rPr>
          <w:rFonts w:ascii="Arial Unicode MS" w:cs="Arial Unicode MS" w:eastAsia="Arial Unicode MS" w:hAnsi="Arial Unicode MS"/>
          <w:b w:val="1"/>
          <w:bCs w:val="1"/>
          <w:rtl w:val="0"/>
        </w:rPr>
        <w:t xml:space="preserve">高度依賴外資</w:t>
      </w:r>
      <w:r w:rsidDel="00000000" w:rsidR="00000000" w:rsidRPr="00000000">
        <w:rPr>
          <w:rFonts w:ascii="Arial Unicode MS" w:cs="Arial Unicode MS" w:eastAsia="Arial Unicode MS" w:hAnsi="Arial Unicode MS"/>
          <w:rtl w:val="0"/>
        </w:rPr>
        <w:t xml:space="preserve">買盤；一般大型股也常需外資或法人推動。</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題材與估值:</w:t>
      </w:r>
      <w:r w:rsidDel="00000000" w:rsidR="00000000" w:rsidRPr="00000000">
        <w:rPr>
          <w:rFonts w:ascii="Arial Unicode MS" w:cs="Arial Unicode MS" w:eastAsia="Arial Unicode MS" w:hAnsi="Arial Unicode MS"/>
          <w:rtl w:val="0"/>
        </w:rPr>
        <w:t xml:space="preserve"> 股價可能長期沉澱，需要新題材（如AI）或ETF資金流入刺激。但需</w:t>
      </w:r>
      <w:r w:rsidDel="00000000" w:rsidR="00000000" w:rsidRPr="00000000">
        <w:rPr>
          <w:rFonts w:ascii="Arial Unicode MS" w:cs="Arial Unicode MS" w:eastAsia="Arial Unicode MS" w:hAnsi="Arial Unicode MS"/>
          <w:b w:val="1"/>
          <w:bCs w:val="1"/>
          <w:rtl w:val="0"/>
        </w:rPr>
        <w:t xml:space="preserve">嚴守估值紀律</w:t>
      </w:r>
      <w:r w:rsidDel="00000000" w:rsidR="00000000" w:rsidRPr="00000000">
        <w:rPr>
          <w:rFonts w:ascii="Arial Unicode MS" w:cs="Arial Unicode MS" w:eastAsia="Arial Unicode MS" w:hAnsi="Arial Unicode MS"/>
          <w:rtl w:val="0"/>
        </w:rPr>
        <w:t xml:space="preserve">，即使題材熱絡，若EPS無法支撐過高股價，拉回也不宜貿然介入。</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資訊:</w:t>
      </w:r>
      <w:r w:rsidDel="00000000" w:rsidR="00000000" w:rsidRPr="00000000">
        <w:rPr>
          <w:rFonts w:ascii="Arial Unicode MS" w:cs="Arial Unicode MS" w:eastAsia="Arial Unicode MS" w:hAnsi="Arial Unicode MS"/>
          <w:rtl w:val="0"/>
        </w:rPr>
        <w:t xml:space="preserve"> 相對較透明，但仍需關注法人動向。</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中型/中大型股:</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趨勢角色:</w:t>
      </w:r>
      <w:r w:rsidDel="00000000" w:rsidR="00000000" w:rsidRPr="00000000">
        <w:rPr>
          <w:rFonts w:ascii="Arial Unicode MS" w:cs="Arial Unicode MS" w:eastAsia="Arial Unicode MS" w:hAnsi="Arial Unicode MS"/>
          <w:rtl w:val="0"/>
        </w:rPr>
        <w:t xml:space="preserve"> 常扮演趨勢中的承接或擴散角色（火車中段）。</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驅動力:</w:t>
      </w:r>
      <w:r w:rsidDel="00000000" w:rsidR="00000000" w:rsidRPr="00000000">
        <w:rPr>
          <w:rFonts w:ascii="Arial Unicode MS" w:cs="Arial Unicode MS" w:eastAsia="Arial Unicode MS" w:hAnsi="Arial Unicode MS"/>
          <w:rtl w:val="0"/>
        </w:rPr>
        <w:t xml:space="preserve"> 投信與外資均有影響力，基本面變化是短期還是長期趨勢需要仔細判斷。</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題材:</w:t>
      </w:r>
      <w:r w:rsidDel="00000000" w:rsidR="00000000" w:rsidRPr="00000000">
        <w:rPr>
          <w:rFonts w:ascii="Arial Unicode MS" w:cs="Arial Unicode MS" w:eastAsia="Arial Unicode MS" w:hAnsi="Arial Unicode MS"/>
          <w:rtl w:val="0"/>
        </w:rPr>
        <w:t xml:space="preserve"> 同樣可能受新題材影響而有表現機會。</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中小型/小型股 (如 創意、弘塑):</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趨勢角色:</w:t>
      </w:r>
      <w:r w:rsidDel="00000000" w:rsidR="00000000" w:rsidRPr="00000000">
        <w:rPr>
          <w:rFonts w:ascii="Arial Unicode MS" w:cs="Arial Unicode MS" w:eastAsia="Arial Unicode MS" w:hAnsi="Arial Unicode MS"/>
          <w:rtl w:val="0"/>
        </w:rPr>
        <w:t xml:space="preserve"> 可能扮演趨勢發動者（火車頭）。</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驅動力:</w:t>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投信</w:t>
      </w:r>
      <w:r w:rsidDel="00000000" w:rsidR="00000000" w:rsidRPr="00000000">
        <w:rPr>
          <w:rFonts w:ascii="Arial Unicode MS" w:cs="Arial Unicode MS" w:eastAsia="Arial Unicode MS" w:hAnsi="Arial Unicode MS"/>
          <w:rtl w:val="0"/>
        </w:rPr>
        <w:t xml:space="preserve">影響力顯著，尤其在股本小的公司，其建倉行為能快速推升股價，甚至提前反應未來獲利預期。</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特性與風險:</w:t>
      </w:r>
      <w:r w:rsidDel="00000000" w:rsidR="00000000" w:rsidRPr="00000000">
        <w:rPr>
          <w:rFonts w:ascii="Arial Unicode MS" w:cs="Arial Unicode MS" w:eastAsia="Arial Unicode MS" w:hAnsi="Arial Unicode MS"/>
          <w:rtl w:val="0"/>
        </w:rPr>
        <w:t xml:space="preserve"> 波動性大、研究難度高、資訊相對不透明（一般人難拿到領先資料），部分公司（如IP/ASIC）基本面判斷複雜。雖然漲幅潛力大，但估值偏高時，</w:t>
      </w:r>
      <w:r w:rsidDel="00000000" w:rsidR="00000000" w:rsidRPr="00000000">
        <w:rPr>
          <w:rFonts w:ascii="Arial Unicode MS" w:cs="Arial Unicode MS" w:eastAsia="Arial Unicode MS" w:hAnsi="Arial Unicode MS"/>
          <w:b w:val="1"/>
          <w:bCs w:val="1"/>
          <w:rtl w:val="0"/>
        </w:rPr>
        <w:t xml:space="preserve">回檔速度通常很快</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0">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rFonts w:ascii="Arial Unicode MS" w:cs="Arial Unicode MS" w:eastAsia="Arial Unicode MS" w:hAnsi="Arial Unicode MS"/>
          <w:b w:val="1"/>
          <w:bCs w:val="1"/>
          <w:rtl w:val="0"/>
        </w:rPr>
        <w:t xml:space="preserve">操作:</w:t>
      </w:r>
      <w:r w:rsidDel="00000000" w:rsidR="00000000" w:rsidRPr="00000000">
        <w:rPr>
          <w:rFonts w:ascii="Arial Unicode MS" w:cs="Arial Unicode MS" w:eastAsia="Arial Unicode MS" w:hAnsi="Arial Unicode MS"/>
          <w:rtl w:val="0"/>
        </w:rPr>
        <w:t xml:space="preserve"> 需更深入的基本面理解與信心，以及良好的資金配置，以應對劇烈波動。若無法充分研究或理解，</w:t>
      </w:r>
      <w:r w:rsidDel="00000000" w:rsidR="00000000" w:rsidRPr="00000000">
        <w:rPr>
          <w:rFonts w:ascii="Arial Unicode MS" w:cs="Arial Unicode MS" w:eastAsia="Arial Unicode MS" w:hAnsi="Arial Unicode MS"/>
          <w:b w:val="1"/>
          <w:bCs w:val="1"/>
          <w:rtl w:val="0"/>
        </w:rPr>
        <w:t xml:space="preserve">直接放棄是較佳策略</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1. 市場趨勢階段與參與者行為（火車廂理論概念）</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市場趨勢的發展如同火車行進，可分為不同階段，各階段的參與者也不同，尤其在中小型個股上更為明顯。趨勢初期（火車頭）常由了解內情的公司派或內部人士基於基本面悄悄啟動買盤，股價緩慢上漲。到了中段（主升段），符合條件的法人機構（如投信、外資）開始進場，資金推動下形成漲勢最穩健的一段。趨勢後段，市場熱度急劇升高，散戶與媒體、投顧大量湧入，股價可能加速噴出，但此時風險也達到最高點，早期進場者已開始獲利了結，趨勢隨時可能反轉（出軌）。因此，穩健的操作策略應聚焦於把握相對安全的前、中段行情，對充滿誘惑但風險極高的後段保持高度警戒。</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2. 超大型股的關鍵驅動力：外資動向</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對於市值龐大、權重極高的</w:t>
      </w:r>
      <w:r w:rsidDel="00000000" w:rsidR="00000000" w:rsidRPr="00000000">
        <w:rPr>
          <w:rFonts w:ascii="Arial Unicode MS" w:cs="Arial Unicode MS" w:eastAsia="Arial Unicode MS" w:hAnsi="Arial Unicode MS"/>
          <w:b w:val="1"/>
          <w:bCs w:val="1"/>
          <w:rtl w:val="0"/>
        </w:rPr>
        <w:t xml:space="preserve">超大型股</w:t>
      </w:r>
      <w:r w:rsidDel="00000000" w:rsidR="00000000" w:rsidRPr="00000000">
        <w:rPr>
          <w:rFonts w:ascii="Arial Unicode MS" w:cs="Arial Unicode MS" w:eastAsia="Arial Unicode MS" w:hAnsi="Arial Unicode MS"/>
          <w:rtl w:val="0"/>
        </w:rPr>
        <w:t xml:space="preserve">（以簡報中舉例的</w:t>
      </w:r>
      <w:r w:rsidDel="00000000" w:rsidR="00000000" w:rsidRPr="00000000">
        <w:rPr>
          <w:rFonts w:ascii="Arial Unicode MS" w:cs="Arial Unicode MS" w:eastAsia="Arial Unicode MS" w:hAnsi="Arial Unicode MS"/>
          <w:b w:val="1"/>
          <w:bCs w:val="1"/>
          <w:rtl w:val="0"/>
        </w:rPr>
        <w:t xml:space="preserve">台積電</w:t>
      </w:r>
      <w:r w:rsidDel="00000000" w:rsidR="00000000" w:rsidRPr="00000000">
        <w:rPr>
          <w:rFonts w:ascii="Arial Unicode MS" w:cs="Arial Unicode MS" w:eastAsia="Arial Unicode MS" w:hAnsi="Arial Unicode MS"/>
          <w:rtl w:val="0"/>
        </w:rPr>
        <w:t xml:space="preserve">為代表），其要發動顯著且有力的上漲攻勢，</w:t>
      </w:r>
      <w:r w:rsidDel="00000000" w:rsidR="00000000" w:rsidRPr="00000000">
        <w:rPr>
          <w:rFonts w:ascii="Arial Unicode MS" w:cs="Arial Unicode MS" w:eastAsia="Arial Unicode MS" w:hAnsi="Arial Unicode MS"/>
          <w:b w:val="1"/>
          <w:bCs w:val="1"/>
          <w:rtl w:val="0"/>
        </w:rPr>
        <w:t xml:space="preserve">關鍵動能往往來自於外資（外國機構投資者）</w:t>
      </w:r>
      <w:r w:rsidDel="00000000" w:rsidR="00000000" w:rsidRPr="00000000">
        <w:rPr>
          <w:rFonts w:ascii="Arial Unicode MS" w:cs="Arial Unicode MS" w:eastAsia="Arial Unicode MS" w:hAnsi="Arial Unicode MS"/>
          <w:rtl w:val="0"/>
        </w:rPr>
        <w:t xml:space="preserve"> 的積極、持續性買盤。如果缺乏外資的資金活水投入，超大型股的股價通常難以出現波瀾壯闊的大行情。因此，分析這類股票時，追蹤外資的買賣動向至關重要，而其他的技術線型細節相對次要。</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3. 大型股的估值紀律與題材效應</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大型股（以</w:t>
      </w:r>
      <w:r w:rsidDel="00000000" w:rsidR="00000000" w:rsidRPr="00000000">
        <w:rPr>
          <w:rFonts w:ascii="Arial Unicode MS" w:cs="Arial Unicode MS" w:eastAsia="Arial Unicode MS" w:hAnsi="Arial Unicode MS"/>
          <w:b w:val="1"/>
          <w:bCs w:val="1"/>
          <w:rtl w:val="0"/>
        </w:rPr>
        <w:t xml:space="preserve">緯創</w:t>
      </w:r>
      <w:r w:rsidDel="00000000" w:rsidR="00000000" w:rsidRPr="00000000">
        <w:rPr>
          <w:rFonts w:ascii="Arial Unicode MS" w:cs="Arial Unicode MS" w:eastAsia="Arial Unicode MS" w:hAnsi="Arial Unicode MS"/>
          <w:rtl w:val="0"/>
        </w:rPr>
        <w:t xml:space="preserve">為例探討）有時需要新的市場題材（例如近年AI熱潮）或ETF被動資金配置等因素刺激，才能擺脫長期的股價沉寂。然而，投資者必須堅守</w:t>
      </w:r>
      <w:r w:rsidDel="00000000" w:rsidR="00000000" w:rsidRPr="00000000">
        <w:rPr>
          <w:rFonts w:ascii="Arial Unicode MS" w:cs="Arial Unicode MS" w:eastAsia="Arial Unicode MS" w:hAnsi="Arial Unicode MS"/>
          <w:b w:val="1"/>
          <w:bCs w:val="1"/>
          <w:rtl w:val="0"/>
        </w:rPr>
        <w:t xml:space="preserve">基本面底線</w:t>
      </w:r>
      <w:r w:rsidDel="00000000" w:rsidR="00000000" w:rsidRPr="00000000">
        <w:rPr>
          <w:rFonts w:ascii="Arial Unicode MS" w:cs="Arial Unicode MS" w:eastAsia="Arial Unicode MS" w:hAnsi="Arial Unicode MS"/>
          <w:rtl w:val="0"/>
        </w:rPr>
        <w:t xml:space="preserve">。當股價因為題材發酵而被推升至</w:t>
      </w:r>
      <w:r w:rsidDel="00000000" w:rsidR="00000000" w:rsidRPr="00000000">
        <w:rPr>
          <w:rFonts w:ascii="Arial Unicode MS" w:cs="Arial Unicode MS" w:eastAsia="Arial Unicode MS" w:hAnsi="Arial Unicode MS"/>
          <w:b w:val="1"/>
          <w:bCs w:val="1"/>
          <w:rtl w:val="0"/>
        </w:rPr>
        <w:t xml:space="preserve">相對於EPS（每股盈餘）等基本面顯得「非常不合理」</w:t>
      </w:r>
      <w:r w:rsidDel="00000000" w:rsidR="00000000" w:rsidRPr="00000000">
        <w:rPr>
          <w:rFonts w:ascii="Arial Unicode MS" w:cs="Arial Unicode MS" w:eastAsia="Arial Unicode MS" w:hAnsi="Arial Unicode MS"/>
          <w:rtl w:val="0"/>
        </w:rPr>
        <w:t xml:space="preserve"> 的高估值水平時，就應當提高警覺。即使股價後續出現技術性拉回修正，只要根本的估值支撐問題未獲解決，就不應視為買入良機而貿然投入，以避免承擔潛在的泡沫破裂風險。這強調了在追逐熱門股時，仍需保持估值紀律。</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4. 小型股的特性：投信影響力與預期心理</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在台灣股市中，</w:t>
      </w:r>
      <w:r w:rsidDel="00000000" w:rsidR="00000000" w:rsidRPr="00000000">
        <w:rPr>
          <w:rFonts w:ascii="Arial Unicode MS" w:cs="Arial Unicode MS" w:eastAsia="Arial Unicode MS" w:hAnsi="Arial Unicode MS"/>
          <w:b w:val="1"/>
          <w:bCs w:val="1"/>
          <w:rtl w:val="0"/>
        </w:rPr>
        <w:t xml:space="preserve">股本較小</w:t>
      </w:r>
      <w:r w:rsidDel="00000000" w:rsidR="00000000" w:rsidRPr="00000000">
        <w:rPr>
          <w:rFonts w:ascii="Arial Unicode MS" w:cs="Arial Unicode MS" w:eastAsia="Arial Unicode MS" w:hAnsi="Arial Unicode MS"/>
          <w:rtl w:val="0"/>
        </w:rPr>
        <w:t xml:space="preserve">的公司展現出獨特的特性。</w:t>
      </w:r>
      <w:r w:rsidDel="00000000" w:rsidR="00000000" w:rsidRPr="00000000">
        <w:rPr>
          <w:rFonts w:ascii="Arial Unicode MS" w:cs="Arial Unicode MS" w:eastAsia="Arial Unicode MS" w:hAnsi="Arial Unicode MS"/>
          <w:b w:val="1"/>
          <w:bCs w:val="1"/>
          <w:rtl w:val="0"/>
        </w:rPr>
        <w:t xml:space="preserve">投信（本地投資信託基金）</w:t>
      </w:r>
      <w:r w:rsidDel="00000000" w:rsidR="00000000" w:rsidRPr="00000000">
        <w:rPr>
          <w:rFonts w:ascii="Arial Unicode MS" w:cs="Arial Unicode MS" w:eastAsia="Arial Unicode MS" w:hAnsi="Arial Unicode MS"/>
          <w:rtl w:val="0"/>
        </w:rPr>
        <w:t xml:space="preserve"> 對於這類股票往往具有顯著的價格「撼動能力」。由於小型股流通在外的籌碼相對較少，只要沒有外資等其他大戶進行大規模賣出干擾，投信在集中建立庫存（建倉）的過程中，其連續性的買盤很容易就能</w:t>
      </w:r>
      <w:r w:rsidDel="00000000" w:rsidR="00000000" w:rsidRPr="00000000">
        <w:rPr>
          <w:rFonts w:ascii="Arial Unicode MS" w:cs="Arial Unicode MS" w:eastAsia="Arial Unicode MS" w:hAnsi="Arial Unicode MS"/>
          <w:b w:val="1"/>
          <w:bCs w:val="1"/>
          <w:rtl w:val="0"/>
        </w:rPr>
        <w:t xml:space="preserve">快速將股價推高</w:t>
      </w:r>
      <w:r w:rsidDel="00000000" w:rsidR="00000000" w:rsidRPr="00000000">
        <w:rPr>
          <w:rFonts w:ascii="Arial Unicode MS" w:cs="Arial Unicode MS" w:eastAsia="Arial Unicode MS" w:hAnsi="Arial Unicode MS"/>
          <w:rtl w:val="0"/>
        </w:rPr>
        <w:t xml:space="preserve">，短期內漲幅超過一倍的情況並不罕見。同時，市場也容易在投信積極買入的氛圍下變得極度樂觀，股價甚至可能提前</w:t>
      </w:r>
      <w:r w:rsidDel="00000000" w:rsidR="00000000" w:rsidRPr="00000000">
        <w:rPr>
          <w:rFonts w:ascii="Arial Unicode MS" w:cs="Arial Unicode MS" w:eastAsia="Arial Unicode MS" w:hAnsi="Arial Unicode MS"/>
          <w:b w:val="1"/>
          <w:bCs w:val="1"/>
          <w:rtl w:val="0"/>
        </w:rPr>
        <w:t xml:space="preserve">反應（Price-in）未來一年甚至更長時間的預期EPS</w:t>
      </w:r>
      <w:r w:rsidDel="00000000" w:rsidR="00000000" w:rsidRPr="00000000">
        <w:rPr>
          <w:rFonts w:ascii="Arial Unicode MS" w:cs="Arial Unicode MS" w:eastAsia="Arial Unicode MS" w:hAnsi="Arial Unicode MS"/>
          <w:rtl w:val="0"/>
        </w:rPr>
        <w:t xml:space="preserve">，充分顯示了投信對小型股股價的強大主導力以及市場強烈的預期心理。</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5. 特殊產業個股的投資挑戰（以IP/ASIC股為例）</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針對特定產業，如IP（矽智財）/ASIC（客製化晶片）/NRB（委託設計）公司（以</w:t>
      </w:r>
      <w:r w:rsidDel="00000000" w:rsidR="00000000" w:rsidRPr="00000000">
        <w:rPr>
          <w:rFonts w:ascii="Arial Unicode MS" w:cs="Arial Unicode MS" w:eastAsia="Arial Unicode MS" w:hAnsi="Arial Unicode MS"/>
          <w:b w:val="1"/>
          <w:bCs w:val="1"/>
          <w:rtl w:val="0"/>
        </w:rPr>
        <w:t xml:space="preserve">創意(M31)</w:t>
      </w:r>
      <w:r w:rsidDel="00000000" w:rsidR="00000000" w:rsidRPr="00000000">
        <w:rPr>
          <w:rFonts w:ascii="Arial Unicode MS" w:cs="Arial Unicode MS" w:eastAsia="Arial Unicode MS" w:hAnsi="Arial Unicode MS"/>
          <w:rtl w:val="0"/>
        </w:rPr>
        <w:t xml:space="preserve"> 為例），其投資存在較高難度。這類公司的訂單能見度、專案進度與營收認列時間可能存在較大的不確定性或延遲風險，使得基本面分析比一般IC設計公司更為困難。同時，關鍵的領先資訊（如客戶細節、設計進度）普通投資人難以取得，存在顯著的資訊不對稱。儘管如此，由於其技術獨特性或特殊背景（如創意為台積電子公司），市場常給予較高的本益比作為估值溢價。投資這類股票的主要風險在於</w:t>
      </w:r>
      <w:r w:rsidDel="00000000" w:rsidR="00000000" w:rsidRPr="00000000">
        <w:rPr>
          <w:rFonts w:ascii="Arial Unicode MS" w:cs="Arial Unicode MS" w:eastAsia="Arial Unicode MS" w:hAnsi="Arial Unicode MS"/>
          <w:b w:val="1"/>
          <w:bCs w:val="1"/>
          <w:rtl w:val="0"/>
        </w:rPr>
        <w:t xml:space="preserve">基本面相對不透明、估值長期偏高，且一旦市場情緒反轉或基本面不如預期，股價回檔修正的速度往往非常劇烈且迅速</w:t>
      </w:r>
      <w:r w:rsidDel="00000000" w:rsidR="00000000" w:rsidRPr="00000000">
        <w:rPr>
          <w:rFonts w:ascii="Arial Unicode MS" w:cs="Arial Unicode MS" w:eastAsia="Arial Unicode MS" w:hAnsi="Arial Unicode MS"/>
          <w:rtl w:val="0"/>
        </w:rPr>
        <w:t xml:space="preserve">。因此，除非對該產業有非常深入的了解與掌握，否則應避免投入過大的資金部位。</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6. 小型股的波動應對：基本面理解與資金配置（以設備股為例）</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投資</w:t>
      </w:r>
      <w:r w:rsidDel="00000000" w:rsidR="00000000" w:rsidRPr="00000000">
        <w:rPr>
          <w:rFonts w:ascii="Arial Unicode MS" w:cs="Arial Unicode MS" w:eastAsia="Arial Unicode MS" w:hAnsi="Arial Unicode MS"/>
          <w:b w:val="1"/>
          <w:bCs w:val="1"/>
          <w:rtl w:val="0"/>
        </w:rPr>
        <w:t xml:space="preserve">小型股</w:t>
      </w:r>
      <w:r w:rsidDel="00000000" w:rsidR="00000000" w:rsidRPr="00000000">
        <w:rPr>
          <w:rFonts w:ascii="Arial Unicode MS" w:cs="Arial Unicode MS" w:eastAsia="Arial Unicode MS" w:hAnsi="Arial Unicode MS"/>
          <w:rtl w:val="0"/>
        </w:rPr>
        <w:t xml:space="preserve">（以設備股</w:t>
      </w:r>
      <w:r w:rsidDel="00000000" w:rsidR="00000000" w:rsidRPr="00000000">
        <w:rPr>
          <w:rFonts w:ascii="Arial Unicode MS" w:cs="Arial Unicode MS" w:eastAsia="Arial Unicode MS" w:hAnsi="Arial Unicode MS"/>
          <w:b w:val="1"/>
          <w:bCs w:val="1"/>
          <w:rtl w:val="0"/>
        </w:rPr>
        <w:t xml:space="preserve">弘塑(3131)</w:t>
      </w:r>
      <w:r w:rsidDel="00000000" w:rsidR="00000000" w:rsidRPr="00000000">
        <w:rPr>
          <w:rFonts w:ascii="Arial Unicode MS" w:cs="Arial Unicode MS" w:eastAsia="Arial Unicode MS" w:hAnsi="Arial Unicode MS"/>
          <w:rtl w:val="0"/>
        </w:rPr>
        <w:t xml:space="preserve"> 為例說明）時，常面臨劇烈的股價波動，這更凸顯了</w:t>
      </w:r>
      <w:r w:rsidDel="00000000" w:rsidR="00000000" w:rsidRPr="00000000">
        <w:rPr>
          <w:rFonts w:ascii="Arial Unicode MS" w:cs="Arial Unicode MS" w:eastAsia="Arial Unicode MS" w:hAnsi="Arial Unicode MS"/>
          <w:b w:val="1"/>
          <w:bCs w:val="1"/>
          <w:rtl w:val="0"/>
        </w:rPr>
        <w:t xml:space="preserve">長期持有策略</w:t>
      </w:r>
      <w:r w:rsidDel="00000000" w:rsidR="00000000" w:rsidRPr="00000000">
        <w:rPr>
          <w:rFonts w:ascii="Arial Unicode MS" w:cs="Arial Unicode MS" w:eastAsia="Arial Unicode MS" w:hAnsi="Arial Unicode MS"/>
          <w:rtl w:val="0"/>
        </w:rPr>
        <w:t xml:space="preserve">的重要性與挑戰。即使早期（如2020年）已有了解公司價值的投資者看好其基本面而預先佈局，也可能在過程中遭遇如2022年般的總體經濟逆風（如景氣下行、升息導致貨幣緊縮）等外部因素衝擊，導致股價大幅非理性下跌。要成功穿越市場週期，不錯失後續（如2023年）因基本面價值回歸或新題材發酵帶來的豐厚漲幅，關鍵在於投資者必須同時具備兩大要素：第一，</w:t>
      </w:r>
      <w:r w:rsidDel="00000000" w:rsidR="00000000" w:rsidRPr="00000000">
        <w:rPr>
          <w:rFonts w:ascii="Arial Unicode MS" w:cs="Arial Unicode MS" w:eastAsia="Arial Unicode MS" w:hAnsi="Arial Unicode MS"/>
          <w:b w:val="1"/>
          <w:bCs w:val="1"/>
          <w:rtl w:val="0"/>
        </w:rPr>
        <w:t xml:space="preserve">對公司長期基本面的深刻理解與堅定不移的信心</w:t>
      </w:r>
      <w:r w:rsidDel="00000000" w:rsidR="00000000" w:rsidRPr="00000000">
        <w:rPr>
          <w:rFonts w:ascii="Arial Unicode MS" w:cs="Arial Unicode MS" w:eastAsia="Arial Unicode MS" w:hAnsi="Arial Unicode MS"/>
          <w:rtl w:val="0"/>
        </w:rPr>
        <w:t xml:space="preserve">，能夠區分短期雜音與長期趨勢；第二，</w:t>
      </w:r>
      <w:r w:rsidDel="00000000" w:rsidR="00000000" w:rsidRPr="00000000">
        <w:rPr>
          <w:rFonts w:ascii="Arial Unicode MS" w:cs="Arial Unicode MS" w:eastAsia="Arial Unicode MS" w:hAnsi="Arial Unicode MS"/>
          <w:b w:val="1"/>
          <w:bCs w:val="1"/>
          <w:rtl w:val="0"/>
        </w:rPr>
        <w:t xml:space="preserve">良好且具韌性的資金配置與風險管理能力</w:t>
      </w:r>
      <w:r w:rsidDel="00000000" w:rsidR="00000000" w:rsidRPr="00000000">
        <w:rPr>
          <w:rFonts w:ascii="Arial Unicode MS" w:cs="Arial Unicode MS" w:eastAsia="Arial Unicode MS" w:hAnsi="Arial Unicode MS"/>
          <w:rtl w:val="0"/>
        </w:rPr>
        <w:t xml:space="preserve">，確保在市場恐慌、帳面嚴重虧損時，不會因為恐懼或短期資金壓力而被「洗出場」，從而在低點被迫賣出。這個例子深刻說明了，成功的長期投資不僅需要選對股，更需要正確的持有心態與財務規劃。</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