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40"/>
          <w:szCs w:val="40"/>
        </w:rPr>
      </w:pPr>
      <w:r w:rsidDel="00000000" w:rsidR="00000000" w:rsidRPr="00000000">
        <w:rPr>
          <w:rFonts w:ascii="Google Sans" w:cs="Google Sans" w:eastAsia="Google Sans" w:hAnsi="Google Sans"/>
          <w:b w:val="1"/>
          <w:bCs w:val="1"/>
          <w:i w:val="0"/>
          <w:iCs w:val="0"/>
          <w:color w:val="1b1c1d"/>
          <w:sz w:val="40"/>
          <w:szCs w:val="40"/>
          <w:rtl w:val="0"/>
        </w:rPr>
        <w:t xml:space="preserve">新台幣匯率風險判斷工具之定義：核心功能、目標用戶、風險維度與儀表板概念</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本報告旨在為開發「新台幣匯率風險判斷工具」提供策略性基礎。鑒於新台幣 (TWD) 市場的獨特性，包括中央銀行（CBC）的積極管理以及其對全球資本流動和特定區域因素的高度敏感性，交易者在評估和管理相關風險時面臨顯著挑戰。本報告明確了此工具應解決的核心問題，定義了目標用戶群體及其差異化的風險關注點，解構了新台幣匯率風險的多維度框架，並初步構思了用於直觀傳達風險水平的「風險位階」儀表板。核心建議包括：工具需能協助交易者預判短期波動、識別中期趨勢、評估事件衝擊、量化風險水平並理解央行政策的不確定性。目標用戶涵蓋從短線到長線的各類交易者及企業避險者，其需求差異要求工具具備高度客製化能力。風險維度應包含方向、波動性、流動性、事件、基本面偏離、政策不確定性及相關性風險。儀表板設計應結合簡潔的總體評分與多維度展示，並能依用戶需求調整時間視野。最終，報告提出應優先考慮模組化設計、數據整合、模型建構、使用者介面優化及迭代開發等策略性建議。</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 定義核心效用：解決交易者在新台幣市場的挑戰</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1.1. 前言：專業新台幣風險工具之必要性</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新台幣（TWD）外匯市場具有其獨特的運行特徵。中華民國中央銀行（CBC）長期致力於維持新台幣匯率的「動態穩定」</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，透過場內外監理機制及適時進場調節來管理市場預期與波動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。然而，作為一個小型開放經濟體，台灣深受全球資本流動的影響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36"/>
          <w:szCs w:val="36"/>
          <w:rtl w:val="0"/>
        </w:rPr>
        <w:t xml:space="preserve">，且新台幣匯率易受特定本地及區域因素驅動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。近期市場經歷的劇烈波動，例如單日大幅升值事件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，凸顯了交易者在預測匯率走勢和評估潛在風險時所面臨的困難。多重因素，包括國際貿易情勢（如美國關稅政策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）、外資流動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、出口商結匯行為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 以及央行干預策略的不確定性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共同交織影響匯率，使得單純依賴傳統分析方法難以有效應對。因此，開發一個專門針對新台幣的匯率風險判斷工具，提供更清晰、更具行動力的洞察，對於協助交易者在複雜多變的市場環境中做出明智決策至關重要。</w:t>
      </w:r>
    </w:p>
    <w:p w:rsidR="00000000" w:rsidDel="00000000" w:rsidP="00000000" w:rsidRDefault="00000000" w:rsidRPr="00000000" w14:paraId="00000007">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1.2. 主要待解問題</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此工具最主要應協助交易者解決以下關鍵問題：</w:t>
      </w:r>
    </w:p>
    <w:p w:rsidR="00000000" w:rsidDel="00000000" w:rsidP="00000000" w:rsidRDefault="00000000" w:rsidRPr="00000000" w14:paraId="0000000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預判短期波動風險：</w:t>
      </w:r>
      <w:r w:rsidDel="00000000" w:rsidR="00000000" w:rsidRPr="00000000">
        <w:rPr>
          <w:rFonts w:ascii="Google Sans Text" w:cs="Google Sans Text" w:eastAsia="Google Sans Text" w:hAnsi="Google Sans Text"/>
          <w:i w:val="0"/>
          <w:iCs w:val="0"/>
          <w:color w:val="1b1c1d"/>
          <w:sz w:val="36"/>
          <w:szCs w:val="36"/>
          <w:rtl w:val="0"/>
        </w:rPr>
        <w:t xml:space="preserve"> 交易者需要工具協助評估未來數天或數週內，新台幣匯率發生劇烈、突發性價格波動的可能性。這類波動往往由短期因素驅動，例如突發性的大額資本流動（外資買賣超台股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）、出口商集中拋匯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、市場傳聞或突發新聞事件。工具需能評估波動性風險（Volatility Risk）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36"/>
          <w:szCs w:val="36"/>
          <w:rtl w:val="0"/>
        </w:rPr>
        <w:t xml:space="preserve">，即波動幅度加劇或減緩的可能性。雖然央行目標是維持相對穩定的波動度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，但實際市場表現未必如此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，尤其在特定事件衝擊下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。工具應提供指標，警示潛在的波動放大風險。</w:t>
      </w:r>
    </w:p>
    <w:p w:rsidR="00000000" w:rsidDel="00000000" w:rsidP="00000000" w:rsidRDefault="00000000" w:rsidRPr="00000000" w14:paraId="0000000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識別中期趨勢的可持續性與反轉可能性：</w:t>
      </w:r>
      <w:r w:rsidDel="00000000" w:rsidR="00000000" w:rsidRPr="00000000">
        <w:rPr>
          <w:rFonts w:ascii="Google Sans Text" w:cs="Google Sans Text" w:eastAsia="Google Sans Text" w:hAnsi="Google Sans Text"/>
          <w:i w:val="0"/>
          <w:iCs w:val="0"/>
          <w:color w:val="1b1c1d"/>
          <w:sz w:val="36"/>
          <w:szCs w:val="36"/>
          <w:rtl w:val="0"/>
        </w:rPr>
        <w:t xml:space="preserve"> 交易者不僅關心短期價格變動，更需要判斷當前的匯率趨勢（例如持續升值或貶值）是否受到基本面支撐，以及趨勢延續或反轉的可能性。這涉及到評估方向性風險（Directional Risk）以及匯率是否偏離其長期均衡水平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36"/>
          <w:szCs w:val="36"/>
          <w:rtl w:val="0"/>
        </w:rPr>
        <w:t xml:space="preserve">。工具需要整合分析長期基本面因素（如相對生產力、貿易條件、國內消費、經濟開放程度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36"/>
          <w:szCs w:val="36"/>
          <w:rtl w:val="0"/>
        </w:rPr>
        <w:t xml:space="preserve">）與中期經濟指標（如經濟增長 GDP、通貨膨脹 CPI、利率水平、貿易收支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），幫助用戶判斷當前趨勢的基礎是否穩固。</w:t>
      </w:r>
    </w:p>
    <w:p w:rsidR="00000000" w:rsidDel="00000000" w:rsidP="00000000" w:rsidRDefault="00000000" w:rsidRPr="00000000" w14:paraId="0000000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評估特定事件的衝擊：</w:t>
      </w:r>
      <w:r w:rsidDel="00000000" w:rsidR="00000000" w:rsidRPr="00000000">
        <w:rPr>
          <w:rFonts w:ascii="Google Sans Text" w:cs="Google Sans Text" w:eastAsia="Google Sans Text" w:hAnsi="Google Sans Text"/>
          <w:i w:val="0"/>
          <w:iCs w:val="0"/>
          <w:color w:val="1b1c1d"/>
          <w:sz w:val="36"/>
          <w:szCs w:val="36"/>
          <w:rtl w:val="0"/>
        </w:rPr>
        <w:t xml:space="preserve"> 市場經常面臨各類預定及突發事件，對匯率產生影響。工具應提供框架，協助交易者評估這些事件的潛在衝擊。預定事件包括央行利率決策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、重要經濟數據發布（如 GDP、CPI、失業率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）、選舉等。突發事件則涵蓋地緣政治緊張局勢（如兩岸關係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）、重大國際政策轉變（如美國關稅政策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）、自然災害或全球性危機（如金融危機、疫情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）。工具需能分析事件的可能傳導路徑和影響程度。</w:t>
      </w:r>
    </w:p>
    <w:p w:rsidR="00000000" w:rsidDel="00000000" w:rsidP="00000000" w:rsidRDefault="00000000" w:rsidRPr="00000000" w14:paraId="0000000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量化當前的風險水平：</w:t>
      </w:r>
      <w:r w:rsidDel="00000000" w:rsidR="00000000" w:rsidRPr="00000000">
        <w:rPr>
          <w:rFonts w:ascii="Google Sans Text" w:cs="Google Sans Text" w:eastAsia="Google Sans Text" w:hAnsi="Google Sans Text"/>
          <w:i w:val="0"/>
          <w:iCs w:val="0"/>
          <w:color w:val="1b1c1d"/>
          <w:sz w:val="36"/>
          <w:szCs w:val="36"/>
          <w:rtl w:val="0"/>
        </w:rPr>
        <w:t xml:space="preserve"> 除了方向和波動性預測，交易者需要一個綜合性的指標來量化當前新台幣市場的整體風險程度。這不僅是簡單的升貶預測，而是對潛在不利變動可能性的綜合評估。工具應提供一個可衡量的風險評分或等級（Risk Score/Level），可能借鑒風險價值（Value at Risk, VaR）等概念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，讓交易者對當前環境的風險暴露有更清晰的認識。</w:t>
      </w:r>
    </w:p>
    <w:p w:rsidR="00000000" w:rsidDel="00000000" w:rsidP="00000000" w:rsidRDefault="00000000" w:rsidRPr="00000000" w14:paraId="0000000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理解央行政策的不確定性：</w:t>
      </w:r>
      <w:r w:rsidDel="00000000" w:rsidR="00000000" w:rsidRPr="00000000">
        <w:rPr>
          <w:rFonts w:ascii="Google Sans Text" w:cs="Google Sans Text" w:eastAsia="Google Sans Text" w:hAnsi="Google Sans Text"/>
          <w:i w:val="0"/>
          <w:iCs w:val="0"/>
          <w:color w:val="1b1c1d"/>
          <w:sz w:val="36"/>
          <w:szCs w:val="36"/>
          <w:rtl w:val="0"/>
        </w:rPr>
        <w:t xml:space="preserve"> 央行的外匯政策與干預行為是影響新台幣匯率的關鍵變數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。然而，央行的具體操作往往存在模糊性。其「動態穩定」的政策目標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 如何在市場力量與外部壓力（例如美國財政部的匯率報告及潛在的「匯率操縱國」標籤壓力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36"/>
          <w:szCs w:val="36"/>
          <w:rtl w:val="0"/>
        </w:rPr>
        <w:t xml:space="preserve">）之間取得平衡，是市場持續關注的焦點。近期央行在市場大幅波動時未明顯干預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，引發市場對其政策意圖的猜測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，儘管央行否認受到外部壓力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36"/>
          <w:szCs w:val="36"/>
          <w:rtl w:val="0"/>
        </w:rPr>
        <w:t xml:space="preserve">。工具需要協助交易者解讀央行訊號，評估其政策立場轉變的可能性及對匯率的潛在影響，這構成了一種獨特的政策不確定性風險。</w:t>
      </w:r>
    </w:p>
    <w:p w:rsidR="00000000" w:rsidDel="00000000" w:rsidP="00000000" w:rsidRDefault="00000000" w:rsidRPr="00000000" w14:paraId="0000000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1.3. 關鍵新台幣風險驅動因素綜合分析</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基於現有資訊，影響新台幣匯率風險的關鍵驅動因素可歸納如下：</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資本流動：</w:t>
      </w:r>
      <w:r w:rsidDel="00000000" w:rsidR="00000000" w:rsidRPr="00000000">
        <w:rPr>
          <w:rFonts w:ascii="Google Sans Text" w:cs="Google Sans Text" w:eastAsia="Google Sans Text" w:hAnsi="Google Sans Text"/>
          <w:i w:val="0"/>
          <w:iCs w:val="0"/>
          <w:color w:val="1b1c1d"/>
          <w:sz w:val="36"/>
          <w:szCs w:val="36"/>
          <w:rtl w:val="0"/>
        </w:rPr>
        <w:t xml:space="preserve"> 這是短期波動的主要驅動力。受全球風險偏好（Risk Sentiment）、美國貨幣政策預期及對台灣特定資產（尤其是股市）興趣的影響，外資組合投資流量（Portfolio Flows）波動性極大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36"/>
          <w:szCs w:val="36"/>
          <w:rtl w:val="0"/>
        </w:rPr>
        <w:t xml:space="preserve">。大量資金流入（如外資買超台股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）能快速推升新台幣，而資金突然逆轉則可能引發貶值壓力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36"/>
          <w:szCs w:val="36"/>
          <w:rtl w:val="0"/>
        </w:rPr>
        <w:t xml:space="preserve">。因此，追蹤外資動向至關重要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央行政策與干預：</w:t>
      </w:r>
      <w:r w:rsidDel="00000000" w:rsidR="00000000" w:rsidRPr="00000000">
        <w:rPr>
          <w:rFonts w:ascii="Google Sans Text" w:cs="Google Sans Text" w:eastAsia="Google Sans Text" w:hAnsi="Google Sans Text"/>
          <w:i w:val="0"/>
          <w:iCs w:val="0"/>
          <w:color w:val="1b1c1d"/>
          <w:sz w:val="36"/>
          <w:szCs w:val="36"/>
          <w:rtl w:val="0"/>
        </w:rPr>
        <w:t xml:space="preserve"> 央行維持「動態穩定」的目標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，並擁有龐大的外匯儲備作為干預工具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。其透過大額結匯通報系統監控資金流動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，並在市場失衡時可能進場調節。然而，干預的時機、力道及策略日益受到關注，特別是在面臨美國等外部壓力時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。央行的干預（或不干預）本身，已成為市場解讀的重要訊號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宏觀經濟基本面（台灣與全球比較）：</w:t>
      </w:r>
      <w:r w:rsidDel="00000000" w:rsidR="00000000" w:rsidRPr="00000000">
        <w:rPr>
          <w:rFonts w:ascii="Google Sans Text" w:cs="Google Sans Text" w:eastAsia="Google Sans Text" w:hAnsi="Google Sans Text"/>
          <w:i w:val="0"/>
          <w:iCs w:val="0"/>
          <w:color w:val="1b1c1d"/>
          <w:sz w:val="36"/>
          <w:szCs w:val="36"/>
          <w:rtl w:val="0"/>
        </w:rPr>
        <w:t xml:space="preserve"> 中長期趨勢受基本面因素影響，包括相對經濟增長率（GDP）、相對通膨率（CPI）、利率差異、貿易條件（Terms of Trade）、國內消費模式等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36"/>
          <w:szCs w:val="36"/>
          <w:rtl w:val="0"/>
        </w:rPr>
        <w:t xml:space="preserve">。研究指出，台灣相對主要貿易夥伴的實質人均 GDP、貿易條件、國內消費佔比、經濟開放程度是影響新台幣實質有效匯率（REER）的長期因素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貿易動態：</w:t>
      </w:r>
      <w:r w:rsidDel="00000000" w:rsidR="00000000" w:rsidRPr="00000000">
        <w:rPr>
          <w:rFonts w:ascii="Google Sans Text" w:cs="Google Sans Text" w:eastAsia="Google Sans Text" w:hAnsi="Google Sans Text"/>
          <w:i w:val="0"/>
          <w:iCs w:val="0"/>
          <w:color w:val="1b1c1d"/>
          <w:sz w:val="36"/>
          <w:szCs w:val="36"/>
          <w:rtl w:val="0"/>
        </w:rPr>
        <w:t xml:space="preserve"> 台灣的貿易順差或逆差狀況直接影響外匯供需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。出口產品（特別是科技產品）的國際競爭力、主要貿易夥伴（如美國、中國、日本、歐洲）的經濟健康狀況，以及國際貿易政策（如關稅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）的變化，都會傳導至新台幣匯率。</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市場情緒與預期：</w:t>
      </w:r>
      <w:r w:rsidDel="00000000" w:rsidR="00000000" w:rsidRPr="00000000">
        <w:rPr>
          <w:rFonts w:ascii="Google Sans Text" w:cs="Google Sans Text" w:eastAsia="Google Sans Text" w:hAnsi="Google Sans Text"/>
          <w:i w:val="0"/>
          <w:iCs w:val="0"/>
          <w:color w:val="1b1c1d"/>
          <w:sz w:val="36"/>
          <w:szCs w:val="36"/>
          <w:rtl w:val="0"/>
        </w:rPr>
        <w:t xml:space="preserve"> 全球市場的風險偏好（Risk-on/Risk-off）會影響資金流向新興市場（包括台灣）的意願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。市場對特定事件（如美國可能要求新台幣升值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）的預期和解讀，以及媒體報導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，都可能引發預期性交易，放大短期波動。交易者的心理因素（如恐懼、貪婪）也扮演一定角色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地緣政治因素：</w:t>
      </w:r>
      <w:r w:rsidDel="00000000" w:rsidR="00000000" w:rsidRPr="00000000">
        <w:rPr>
          <w:rFonts w:ascii="Google Sans Text" w:cs="Google Sans Text" w:eastAsia="Google Sans Text" w:hAnsi="Google Sans Text"/>
          <w:i w:val="0"/>
          <w:iCs w:val="0"/>
          <w:color w:val="1b1c1d"/>
          <w:sz w:val="36"/>
          <w:szCs w:val="36"/>
          <w:rtl w:val="0"/>
        </w:rPr>
        <w:t xml:space="preserve"> 兩岸關係的變化、美台關係以及區域的整體穩定性，都會影響投資者信心和資本流動決策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美元走勢：</w:t>
      </w:r>
      <w:r w:rsidDel="00000000" w:rsidR="00000000" w:rsidRPr="00000000">
        <w:rPr>
          <w:rFonts w:ascii="Google Sans Text" w:cs="Google Sans Text" w:eastAsia="Google Sans Text" w:hAnsi="Google Sans Text"/>
          <w:i w:val="0"/>
          <w:iCs w:val="0"/>
          <w:color w:val="1b1c1d"/>
          <w:sz w:val="36"/>
          <w:szCs w:val="36"/>
          <w:rtl w:val="0"/>
        </w:rPr>
        <w:t xml:space="preserve"> 新台幣匯率通常與美元指數呈現反向關係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。美國經濟數據、聯準會（Fed）的貨幣政策動向對美元強弱有決定性影響，進而間接影響新台幣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1.4. 衍生的考量與影響</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深入分析上述問題與驅動因素後，浮現出幾個更深層次的考量：</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首先，央行政策的可預測性本身已演變成一個獨立的風險因子。央行在維持匯率穩定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 的傳統職責與應對外部壓力（特別是來自美國關於干預措施的審查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36"/>
          <w:szCs w:val="36"/>
          <w:rtl w:val="0"/>
        </w:rPr>
        <w:t xml:space="preserve">）之間，似乎面臨著日益增加的兩難處境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36"/>
          <w:szCs w:val="36"/>
          <w:rtl w:val="0"/>
        </w:rPr>
        <w:t xml:space="preserve">。近期市場觀察到央行在匯率大幅波動時的反應模式可能與過去不同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這使得其未來的干預行為更加難以預測。這種政策反應函數的不確定性，為交易者增添了額外的風險層面，不僅影響波動性預期，也牽動方向性判斷。因此，風險工具不能僅僅關注經濟數據，還必須納入對央行溝通、外匯儲備變化及相關國際報告（如美國財政部報告）的解讀。</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其次，短期市場力量與長期基本面價值之間經常存在拉鋸。雖然長期基本面因素（如相對生產力、貿易條件等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36"/>
          <w:szCs w:val="36"/>
          <w:rtl w:val="0"/>
        </w:rPr>
        <w:t xml:space="preserve">）為匯率提供了錨點，但新台幣的短期走勢往往被高度波動的資本流動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36"/>
          <w:szCs w:val="36"/>
          <w:rtl w:val="0"/>
        </w:rPr>
        <w:t xml:space="preserve"> 和事件驅動的市場情緒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36"/>
          <w:szCs w:val="36"/>
          <w:rtl w:val="0"/>
        </w:rPr>
        <w:t xml:space="preserve"> 所主導。有分析明確指出，單日的短期外資買超可能與長期的資金流出趨勢相悖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這對交易者構成了一大挑戰：如何區分暫時性的市場噪音（短期資金流動、情緒反應）與代表長期趨勢轉變的訊號（基本面變化）？風險判斷工具的核心價值之一，就在於提供分析框架，協助用戶同時評估這兩類驅動因素及其相互作用，以辨識價格波動的真實屬性。</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再者，新台幣市場可能存在自我強化的反饋迴路（Feedback Loops）。例如，由資本流入或升值預期引發的初步升值，可能促使出口商加速拋售美元進行避險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，或影響大型機構投資者（如壽險公司）的避險決策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36"/>
          <w:szCs w:val="36"/>
          <w:rtl w:val="0"/>
        </w:rPr>
        <w:t xml:space="preserve">，甚至可能迫使企業調整經營策略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36"/>
          <w:szCs w:val="36"/>
          <w:rtl w:val="0"/>
        </w:rPr>
        <w:t xml:space="preserve">。這些因應匯率變動而採取的行動，反過來可能進一步強化原有的匯率走勢（例如，增加對新台幣的需求），從而放大最初的波動幅度。這種潛在的正反饋機制意味著，初始的市場衝擊可能被不成比例地放大。因此，一個理想的風險工具，應試圖納入能夠偵測這類潛在加速機制形成的指標，例如監測特定市場參與者（如出口商、壽險業）的行為模式或市場失衡的跡象。</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2. 目標用戶畫像與風險視角</w:t>
      </w:r>
    </w:p>
    <w:p w:rsidR="00000000" w:rsidDel="00000000" w:rsidP="00000000" w:rsidRDefault="00000000" w:rsidRPr="00000000" w14:paraId="0000001D">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2.1. 用戶細分策略</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為了確保工具的實用性與針對性，必須根據交易者的交易風格、時間視野、主要目標以及慣用的風險管理方法，對目標用戶進行細分。不同的用戶群體對風險的關注點和工具功能的需求存在顯著差異。</w:t>
      </w:r>
    </w:p>
    <w:p w:rsidR="00000000" w:rsidDel="00000000" w:rsidP="00000000" w:rsidRDefault="00000000" w:rsidRPr="00000000" w14:paraId="0000001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2.2. 詳細用戶畫像</w:t>
      </w:r>
    </w:p>
    <w:p w:rsidR="00000000" w:rsidDel="00000000" w:rsidP="00000000" w:rsidRDefault="00000000" w:rsidRPr="00000000" w14:paraId="0000002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搶帽子交易者 (Scalpers):</w:t>
      </w:r>
    </w:p>
    <w:p w:rsidR="00000000" w:rsidDel="00000000" w:rsidP="00000000" w:rsidRDefault="00000000" w:rsidRPr="00000000" w14:paraId="00000021">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時間視野:</w:t>
      </w:r>
      <w:r w:rsidDel="00000000" w:rsidR="00000000" w:rsidRPr="00000000">
        <w:rPr>
          <w:rFonts w:ascii="Google Sans Text" w:cs="Google Sans Text" w:eastAsia="Google Sans Text" w:hAnsi="Google Sans Text"/>
          <w:i w:val="0"/>
          <w:iCs w:val="0"/>
          <w:color w:val="1b1c1d"/>
          <w:sz w:val="36"/>
          <w:szCs w:val="36"/>
          <w:rtl w:val="0"/>
        </w:rPr>
        <w:t xml:space="preserve"> 極短線，持倉時間以秒或分鐘計，當日平倉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2">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分析方法:</w:t>
      </w:r>
      <w:r w:rsidDel="00000000" w:rsidR="00000000" w:rsidRPr="00000000">
        <w:rPr>
          <w:rFonts w:ascii="Google Sans Text" w:cs="Google Sans Text" w:eastAsia="Google Sans Text" w:hAnsi="Google Sans Text"/>
          <w:i w:val="0"/>
          <w:iCs w:val="0"/>
          <w:color w:val="1b1c1d"/>
          <w:sz w:val="36"/>
          <w:szCs w:val="36"/>
          <w:rtl w:val="0"/>
        </w:rPr>
        <w:t xml:space="preserve"> 高度依賴即時技術分析（如 1 分鐘、5 分鐘圖）、買賣價差、訂單流和微小的價格波動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3">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主要新台幣風險關注點:</w:t>
      </w:r>
      <w:r w:rsidDel="00000000" w:rsidR="00000000" w:rsidRPr="00000000">
        <w:rPr>
          <w:rFonts w:ascii="Google Sans Text" w:cs="Google Sans Text" w:eastAsia="Google Sans Text" w:hAnsi="Google Sans Text"/>
          <w:i w:val="0"/>
          <w:iCs w:val="0"/>
          <w:color w:val="1b1c1d"/>
          <w:sz w:val="36"/>
          <w:szCs w:val="36"/>
          <w:rtl w:val="0"/>
        </w:rPr>
        <w:t xml:space="preserve"> 突發的價格劇烈波動可能瞬間吞噬微薄利潤、交易成本（點差、手續費）的累積效應、重大新聞發布時的流動性瞬間枯竭風險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。他們較少關注長期基本面或央行政策細節，更在意價格的即時可預測性。</w:t>
      </w:r>
    </w:p>
    <w:p w:rsidR="00000000" w:rsidDel="00000000" w:rsidP="00000000" w:rsidRDefault="00000000" w:rsidRPr="00000000" w14:paraId="00000024">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工具需求:</w:t>
      </w:r>
      <w:r w:rsidDel="00000000" w:rsidR="00000000" w:rsidRPr="00000000">
        <w:rPr>
          <w:rFonts w:ascii="Google Sans Text" w:cs="Google Sans Text" w:eastAsia="Google Sans Text" w:hAnsi="Google Sans Text"/>
          <w:i w:val="0"/>
          <w:iCs w:val="0"/>
          <w:color w:val="1b1c1d"/>
          <w:sz w:val="36"/>
          <w:szCs w:val="36"/>
          <w:rtl w:val="0"/>
        </w:rPr>
        <w:t xml:space="preserve"> 即時波動率警報、低延遲數據饋送、潛在的大額訂單或干預跡象的早期預警（若可能實現）、短期流動性指標。</w:t>
      </w:r>
    </w:p>
    <w:p w:rsidR="00000000" w:rsidDel="00000000" w:rsidP="00000000" w:rsidRDefault="00000000" w:rsidRPr="00000000" w14:paraId="0000002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日內交易者 (Day Traders):</w:t>
      </w:r>
    </w:p>
    <w:p w:rsidR="00000000" w:rsidDel="00000000" w:rsidP="00000000" w:rsidRDefault="00000000" w:rsidRPr="00000000" w14:paraId="00000026">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時間視野:</w:t>
      </w:r>
      <w:r w:rsidDel="00000000" w:rsidR="00000000" w:rsidRPr="00000000">
        <w:rPr>
          <w:rFonts w:ascii="Google Sans Text" w:cs="Google Sans Text" w:eastAsia="Google Sans Text" w:hAnsi="Google Sans Text"/>
          <w:i w:val="0"/>
          <w:iCs w:val="0"/>
          <w:color w:val="1b1c1d"/>
          <w:sz w:val="36"/>
          <w:szCs w:val="36"/>
          <w:rtl w:val="0"/>
        </w:rPr>
        <w:t xml:space="preserve"> 短線，交易活動限於單一交易日內，通常在收盤前平倉以避免隔夜風險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7">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分析方法:</w:t>
      </w:r>
      <w:r w:rsidDel="00000000" w:rsidR="00000000" w:rsidRPr="00000000">
        <w:rPr>
          <w:rFonts w:ascii="Google Sans Text" w:cs="Google Sans Text" w:eastAsia="Google Sans Text" w:hAnsi="Google Sans Text"/>
          <w:i w:val="0"/>
          <w:iCs w:val="0"/>
          <w:color w:val="1b1c1d"/>
          <w:sz w:val="36"/>
          <w:szCs w:val="36"/>
          <w:rtl w:val="0"/>
        </w:rPr>
        <w:t xml:space="preserve"> 側重日內技術分析、圖表型態，對預定經濟數據發布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36"/>
          <w:szCs w:val="36"/>
          <w:rtl w:val="0"/>
        </w:rPr>
        <w:t xml:space="preserve"> 和市場開盤/收盤時段的動態高度敏感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8">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主要新台幣風險關注點:</w:t>
      </w:r>
      <w:r w:rsidDel="00000000" w:rsidR="00000000" w:rsidRPr="00000000">
        <w:rPr>
          <w:rFonts w:ascii="Google Sans Text" w:cs="Google Sans Text" w:eastAsia="Google Sans Text" w:hAnsi="Google Sans Text"/>
          <w:i w:val="0"/>
          <w:iCs w:val="0"/>
          <w:color w:val="1b1c1d"/>
          <w:sz w:val="36"/>
          <w:szCs w:val="36"/>
          <w:rtl w:val="0"/>
        </w:rPr>
        <w:t xml:space="preserve"> 日內波動性、交易時段內新聞事件的衝擊、避免隔夜跳空風險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。需要理解日內動能轉換的驅動因素（例如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 中描述的資本流動）。</w:t>
      </w:r>
    </w:p>
    <w:p w:rsidR="00000000" w:rsidDel="00000000" w:rsidP="00000000" w:rsidRDefault="00000000" w:rsidRPr="00000000" w14:paraId="00000029">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工具需求:</w:t>
      </w:r>
      <w:r w:rsidDel="00000000" w:rsidR="00000000" w:rsidRPr="00000000">
        <w:rPr>
          <w:rFonts w:ascii="Google Sans Text" w:cs="Google Sans Text" w:eastAsia="Google Sans Text" w:hAnsi="Google Sans Text"/>
          <w:i w:val="0"/>
          <w:iCs w:val="0"/>
          <w:color w:val="1b1c1d"/>
          <w:sz w:val="36"/>
          <w:szCs w:val="36"/>
          <w:rtl w:val="0"/>
        </w:rPr>
        <w:t xml:space="preserve"> 即時新聞饋送整合、附帶預期影響評分的經濟日曆提醒、日內趨勢/動能指標、基於交易時段的波動性分析、潛在的央行市場干預跡象指標（例如，價格走勢異常平滑）。</w:t>
      </w:r>
    </w:p>
    <w:p w:rsidR="00000000" w:rsidDel="00000000" w:rsidP="00000000" w:rsidRDefault="00000000" w:rsidRPr="00000000" w14:paraId="0000002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波段交易者 (Swing Traders):</w:t>
      </w:r>
    </w:p>
    <w:p w:rsidR="00000000" w:rsidDel="00000000" w:rsidP="00000000" w:rsidRDefault="00000000" w:rsidRPr="00000000" w14:paraId="0000002B">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時間視野:</w:t>
      </w:r>
      <w:r w:rsidDel="00000000" w:rsidR="00000000" w:rsidRPr="00000000">
        <w:rPr>
          <w:rFonts w:ascii="Google Sans Text" w:cs="Google Sans Text" w:eastAsia="Google Sans Text" w:hAnsi="Google Sans Text"/>
          <w:i w:val="0"/>
          <w:iCs w:val="0"/>
          <w:color w:val="1b1c1d"/>
          <w:sz w:val="36"/>
          <w:szCs w:val="36"/>
          <w:rtl w:val="0"/>
        </w:rPr>
        <w:t xml:space="preserve"> 中期，持倉時間可能從數天到數週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C">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分析方法:</w:t>
      </w:r>
      <w:r w:rsidDel="00000000" w:rsidR="00000000" w:rsidRPr="00000000">
        <w:rPr>
          <w:rFonts w:ascii="Google Sans Text" w:cs="Google Sans Text" w:eastAsia="Google Sans Text" w:hAnsi="Google Sans Text"/>
          <w:i w:val="0"/>
          <w:iCs w:val="0"/>
          <w:color w:val="1b1c1d"/>
          <w:sz w:val="36"/>
          <w:szCs w:val="36"/>
          <w:rtl w:val="0"/>
        </w:rPr>
        <w:t xml:space="preserve"> 結合技術分析（識別波段起點/終點、關鍵支撐/阻力位）與基本面分析（尋找觸發波段行情的催化劑）</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D">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主要新台幣風險關注點:</w:t>
      </w:r>
      <w:r w:rsidDel="00000000" w:rsidR="00000000" w:rsidRPr="00000000">
        <w:rPr>
          <w:rFonts w:ascii="Google Sans Text" w:cs="Google Sans Text" w:eastAsia="Google Sans Text" w:hAnsi="Google Sans Text"/>
          <w:i w:val="0"/>
          <w:iCs w:val="0"/>
          <w:color w:val="1b1c1d"/>
          <w:sz w:val="36"/>
          <w:szCs w:val="36"/>
          <w:rtl w:val="0"/>
        </w:rPr>
        <w:t xml:space="preserve"> 捕捉中期價格「波段」、識別趨勢耗盡或反轉的信號、管理隔夜及週末的跳空風險、理解市場敘事演變（如貿易談判進展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）和央行政策轉變的影響。</w:t>
      </w:r>
    </w:p>
    <w:p w:rsidR="00000000" w:rsidDel="00000000" w:rsidP="00000000" w:rsidRDefault="00000000" w:rsidRPr="00000000" w14:paraId="0000002E">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工具需求:</w:t>
      </w:r>
      <w:r w:rsidDel="00000000" w:rsidR="00000000" w:rsidRPr="00000000">
        <w:rPr>
          <w:rFonts w:ascii="Google Sans Text" w:cs="Google Sans Text" w:eastAsia="Google Sans Text" w:hAnsi="Google Sans Text"/>
          <w:i w:val="0"/>
          <w:iCs w:val="0"/>
          <w:color w:val="1b1c1d"/>
          <w:sz w:val="36"/>
          <w:szCs w:val="36"/>
          <w:rtl w:val="0"/>
        </w:rPr>
        <w:t xml:space="preserve"> 中期趨勢指標、適用於新台幣的超買/超賣震盪指標、未來數天/週的事件風險評估、關鍵支撐/阻力位分析、可能的新聞/社交媒體情緒分析、基本面與價格是否匹配的指標。</w:t>
      </w:r>
    </w:p>
    <w:p w:rsidR="00000000" w:rsidDel="00000000" w:rsidP="00000000" w:rsidRDefault="00000000" w:rsidRPr="00000000" w14:paraId="0000002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部位交易者 (Position Traders):</w:t>
      </w:r>
    </w:p>
    <w:p w:rsidR="00000000" w:rsidDel="00000000" w:rsidP="00000000" w:rsidRDefault="00000000" w:rsidRPr="00000000" w14:paraId="00000030">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時間視野:</w:t>
      </w:r>
      <w:r w:rsidDel="00000000" w:rsidR="00000000" w:rsidRPr="00000000">
        <w:rPr>
          <w:rFonts w:ascii="Google Sans Text" w:cs="Google Sans Text" w:eastAsia="Google Sans Text" w:hAnsi="Google Sans Text"/>
          <w:i w:val="0"/>
          <w:iCs w:val="0"/>
          <w:color w:val="1b1c1d"/>
          <w:sz w:val="36"/>
          <w:szCs w:val="36"/>
          <w:rtl w:val="0"/>
        </w:rPr>
        <w:t xml:space="preserve"> 長期，持倉時間可能達數週、數月甚至更長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31">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分析方法:</w:t>
      </w:r>
      <w:r w:rsidDel="00000000" w:rsidR="00000000" w:rsidRPr="00000000">
        <w:rPr>
          <w:rFonts w:ascii="Google Sans Text" w:cs="Google Sans Text" w:eastAsia="Google Sans Text" w:hAnsi="Google Sans Text"/>
          <w:i w:val="0"/>
          <w:iCs w:val="0"/>
          <w:color w:val="1b1c1d"/>
          <w:sz w:val="36"/>
          <w:szCs w:val="36"/>
          <w:rtl w:val="0"/>
        </w:rPr>
        <w:t xml:space="preserve"> 主要依賴基本面分析（經濟週期、利率趨勢、央行長期政策立場、地緣政治格局），輔以長期技術分析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3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主要新台幣風險關注點:</w:t>
      </w:r>
      <w:r w:rsidDel="00000000" w:rsidR="00000000" w:rsidRPr="00000000">
        <w:rPr>
          <w:rFonts w:ascii="Google Sans Text" w:cs="Google Sans Text" w:eastAsia="Google Sans Text" w:hAnsi="Google Sans Text"/>
          <w:i w:val="0"/>
          <w:iCs w:val="0"/>
          <w:color w:val="1b1c1d"/>
          <w:sz w:val="36"/>
          <w:szCs w:val="36"/>
          <w:rtl w:val="0"/>
        </w:rPr>
        <w:t xml:space="preserve"> 長期方向性偏見的判斷、基本面驅動因素的變化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36"/>
          <w:szCs w:val="36"/>
          <w:rtl w:val="0"/>
        </w:rPr>
        <w:t xml:space="preserve">、重大的政策轉變（央行、聯準會）、地緣政治穩定性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、以及站錯長期趨勢方向的風險。</w:t>
      </w:r>
    </w:p>
    <w:p w:rsidR="00000000" w:rsidDel="00000000" w:rsidP="00000000" w:rsidRDefault="00000000" w:rsidRPr="00000000" w14:paraId="0000003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工具需求:</w:t>
      </w:r>
      <w:r w:rsidDel="00000000" w:rsidR="00000000" w:rsidRPr="00000000">
        <w:rPr>
          <w:rFonts w:ascii="Google Sans Text" w:cs="Google Sans Text" w:eastAsia="Google Sans Text" w:hAnsi="Google Sans Text"/>
          <w:i w:val="0"/>
          <w:iCs w:val="0"/>
          <w:color w:val="1b1c1d"/>
          <w:sz w:val="36"/>
          <w:szCs w:val="36"/>
          <w:rtl w:val="0"/>
        </w:rPr>
        <w:t xml:space="preserve"> 長期基本面估值模型（例如，基於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36"/>
          <w:szCs w:val="36"/>
          <w:rtl w:val="0"/>
        </w:rPr>
        <w:t xml:space="preserve"> 的 REER 驅動因素）、利率差異分析與預測、地緣政治風險摘要、長期資本流動追蹤、央行政策聲明及潛在長期轉變的監測。</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企業財務主管 / 避險者 (Corporate Treasurers / Hedgers):</w:t>
      </w:r>
    </w:p>
    <w:p w:rsidR="00000000" w:rsidDel="00000000" w:rsidP="00000000" w:rsidRDefault="00000000" w:rsidRPr="00000000" w14:paraId="00000035">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時間視野:</w:t>
      </w:r>
      <w:r w:rsidDel="00000000" w:rsidR="00000000" w:rsidRPr="00000000">
        <w:rPr>
          <w:rFonts w:ascii="Google Sans Text" w:cs="Google Sans Text" w:eastAsia="Google Sans Text" w:hAnsi="Google Sans Text"/>
          <w:i w:val="0"/>
          <w:iCs w:val="0"/>
          <w:color w:val="1b1c1d"/>
          <w:sz w:val="36"/>
          <w:szCs w:val="36"/>
          <w:rtl w:val="0"/>
        </w:rPr>
        <w:t xml:space="preserve"> 依交易或財報週期而定，從數天到數月甚至數年不等。</w:t>
      </w:r>
    </w:p>
    <w:p w:rsidR="00000000" w:rsidDel="00000000" w:rsidP="00000000" w:rsidRDefault="00000000" w:rsidRPr="00000000" w14:paraId="00000036">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分析方法:</w:t>
      </w:r>
      <w:r w:rsidDel="00000000" w:rsidR="00000000" w:rsidRPr="00000000">
        <w:rPr>
          <w:rFonts w:ascii="Google Sans Text" w:cs="Google Sans Text" w:eastAsia="Google Sans Text" w:hAnsi="Google Sans Text"/>
          <w:i w:val="0"/>
          <w:iCs w:val="0"/>
          <w:color w:val="1b1c1d"/>
          <w:sz w:val="36"/>
          <w:szCs w:val="36"/>
          <w:rtl w:val="0"/>
        </w:rPr>
        <w:t xml:space="preserve"> 核心目標是管理交易風險（Transaction Risk）、換算風險（Translation Risk）和經濟風險（Economic Risk）</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，而非投機獲利。關注匯率波動對成本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、利潤和競爭力的影響。</w:t>
      </w:r>
    </w:p>
    <w:p w:rsidR="00000000" w:rsidDel="00000000" w:rsidP="00000000" w:rsidRDefault="00000000" w:rsidRPr="00000000" w14:paraId="00000037">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主要新台幣風險關注點:</w:t>
      </w:r>
      <w:r w:rsidDel="00000000" w:rsidR="00000000" w:rsidRPr="00000000">
        <w:rPr>
          <w:rFonts w:ascii="Google Sans Text" w:cs="Google Sans Text" w:eastAsia="Google Sans Text" w:hAnsi="Google Sans Text"/>
          <w:i w:val="0"/>
          <w:iCs w:val="0"/>
          <w:color w:val="1b1c1d"/>
          <w:sz w:val="36"/>
          <w:szCs w:val="36"/>
          <w:rtl w:val="0"/>
        </w:rPr>
        <w:t xml:space="preserve"> 未預期的匯率波動對預算匯率或財報結果的衝擊、避險工具的成本、維持產品或服務的國際競爭力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。對於持有大量外匯曝險的特定行業（如壽險業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36"/>
          <w:szCs w:val="36"/>
          <w:rtl w:val="0"/>
        </w:rPr>
        <w:t xml:space="preserve">）尤其敏感。關注長期經濟風險對競爭地位的影響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38">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工具需求:</w:t>
      </w:r>
      <w:r w:rsidDel="00000000" w:rsidR="00000000" w:rsidRPr="00000000">
        <w:rPr>
          <w:rFonts w:ascii="Google Sans Text" w:cs="Google Sans Text" w:eastAsia="Google Sans Text" w:hAnsi="Google Sans Text"/>
          <w:i w:val="0"/>
          <w:iCs w:val="0"/>
          <w:color w:val="1b1c1d"/>
          <w:sz w:val="36"/>
          <w:szCs w:val="36"/>
          <w:rtl w:val="0"/>
        </w:rPr>
        <w:t xml:space="preserve"> 針對特定未來日期的匯率預測、波動率預測（用於期權定價）、情景分析工具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、風險價值（VaR）計算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36"/>
          <w:szCs w:val="36"/>
          <w:rtl w:val="0"/>
        </w:rPr>
        <w:t xml:space="preserve">、潛在的最佳避險時機指標、避險成本與風險降低效益的比較分析。</w:t>
      </w:r>
    </w:p>
    <w:p w:rsidR="00000000" w:rsidDel="00000000" w:rsidP="00000000" w:rsidRDefault="00000000" w:rsidRPr="00000000" w14:paraId="00000039">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2.3. 建議表格：目標用戶細分及其新台幣風險關注點</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為了清晰地展示不同用戶群體的需求差異，下表彙總了各類用戶的關鍵特徵及其對新台幣風險工具的特定要求：</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36"/>
          <w:szCs w:val="36"/>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用戶類型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典型時間視野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主要分析方法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主要新台幣風險關注點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關鍵工具功能需求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搶帽子交易者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秒/分鐘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即時技術分析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即時波動性、交易成本、流動性缺口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即時波動警報、低延遲數據、短期流動性指標、潛在干預跡象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日內交易者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日內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日內技術分析、新聞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日內波動性、新聞衝擊、隔夜風險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新聞整合、經濟日曆提醒、日內趨勢/動能指標、央行干預跡象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波段交易者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天/週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技術與基本面結合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中期趨勢反轉、事件影響、隔夜/週末風險、市場敘事、政策轉變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中期趨勢指標、超買/超賣指標、事件風險評估、情緒分析、基本面偏離指標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部位交易者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週/月/更長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主要為基本面分析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長期方向、基本面驅動因素、重大政策轉變、地緣政治穩定性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長期估值模型、利率分析、地緣政治摘要、長期資本流追蹤、央行政策監測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企業財務/避險者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依需求可變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風險暴露管理、成本效益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意外波動對財報/成本影響、避險成本、競爭力、特定行業曝險（如壽險）</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遠期預測、波動率預測、情景分析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、VaR 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、避險時機/成本分析</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此表格明確顯示，不同用戶群體的需求差異巨大。例如，搶帽子交易者關注的是毫秒級的市場脈動，而部位交易者則著眼於數月甚至數年的宏觀趨勢。企業避險者的目標是降低風險，而非最大化利潤，其分析框架與投機者截然不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5B">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2.4. 衍生的考量與影響</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用戶需求的顯著差異帶來了重要的開發考量。最明顯的一點是，單一介面或功能集無法滿足所有用戶的需求。從極短線的搶帽子交易者到長線的部位交易者，再到目標迥異的企業避險者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他們所需的時間框架、分析工具、風險指標都大相逕庭。這強烈暗示，該風險判斷工具必須具備高度的客製化能力。一個成功的工具應該允許用戶根據自己的交易風格或避險需求，選擇性地啟用功能模組、調整參數設定、並個性化其儀表板顯示的資訊。一刀切的設計思路很可能導致工具對所有用戶群體都無法提供最佳價值。</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然而，在強調客製化的同時，也應認識到不同用戶群體關注的資訊之間可能存在的潛在關聯性。市場是一個相互關聯的生態系統，短期市場行為可能累積並最終影響中期趨勢。例如，日內交易者高度關注的短期資金流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，其異常變化可能預示著市場壓力的積累，這對波段交易者而言是重要的警示信號。同樣，短期資金流與長期趨勢的背離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對於部位交易者評估趨勢健康度也具有參考價值。因此，工具在提供客製化選項的基礎上，可以考慮設計一些機制，允許用戶選擇性地疊加或參考主要為其他用戶群體設計的指標。例如，波段交易者可以選擇是否顯示異常短期資金流的警示。這種設計若能巧妙實現，可以在不犧牲核心用戶體驗的前提下，提供額外的背景信息或早期預警，從而提升工具的整體洞察力。</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3. 解構新台幣匯率風險：關鍵維度</w:t>
      </w:r>
    </w:p>
    <w:p w:rsidR="00000000" w:rsidDel="00000000" w:rsidP="00000000" w:rsidRDefault="00000000" w:rsidRPr="00000000" w14:paraId="0000005F">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3.1. 超越方向性：多維度的風險框架</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評估新台幣匯率風險，不能僅僅停留在預測升值或貶值的方向。一個全面的風險判斷工具，必須能夠將「風險」這一抽象概念分解為多個具體、可評估的維度。交易者面臨的風險是多面向的，工具需要提供一個結構化的框架來理解和衡量這些不同的風險來源。</w:t>
      </w:r>
    </w:p>
    <w:p w:rsidR="00000000" w:rsidDel="00000000" w:rsidP="00000000" w:rsidRDefault="00000000" w:rsidRPr="00000000" w14:paraId="00000061">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3.2. 核心風險評估維度</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建議工具應至少涵蓋以下核心風險維度：</w:t>
      </w:r>
    </w:p>
    <w:p w:rsidR="00000000" w:rsidDel="00000000" w:rsidP="00000000" w:rsidRDefault="00000000" w:rsidRPr="00000000" w14:paraId="00000063">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方向性風險 (Directional Risk - 升值/貶值傾向):</w:t>
      </w:r>
      <w:r w:rsidDel="00000000" w:rsidR="00000000" w:rsidRPr="00000000">
        <w:rPr>
          <w:rFonts w:ascii="Google Sans Text" w:cs="Google Sans Text" w:eastAsia="Google Sans Text" w:hAnsi="Google Sans Text"/>
          <w:i w:val="0"/>
          <w:iCs w:val="0"/>
          <w:color w:val="1b1c1d"/>
          <w:sz w:val="36"/>
          <w:szCs w:val="36"/>
          <w:rtl w:val="0"/>
        </w:rPr>
        <w:t xml:space="preserve"> 這是最基礎的風險維度，評估在特定時間範圍內（短期、中期、長期），新台幣匯率朝特定方向（升值或貶值）移動的可能性及其潛在幅度。此維度的評估需整合基本面分析（如經濟增長、通膨、利率、貿易條件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36"/>
          <w:szCs w:val="36"/>
          <w:rtl w:val="0"/>
        </w:rPr>
        <w:t xml:space="preserve">）、技術分析所揭示的趨勢和形態，以及市場情緒指標。</w:t>
      </w:r>
    </w:p>
    <w:p w:rsidR="00000000" w:rsidDel="00000000" w:rsidP="00000000" w:rsidRDefault="00000000" w:rsidRPr="00000000" w14:paraId="0000006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波動性風險 (Volatility Risk - 波動加劇/減緩):</w:t>
      </w:r>
      <w:r w:rsidDel="00000000" w:rsidR="00000000" w:rsidRPr="00000000">
        <w:rPr>
          <w:rFonts w:ascii="Google Sans Text" w:cs="Google Sans Text" w:eastAsia="Google Sans Text" w:hAnsi="Google Sans Text"/>
          <w:i w:val="0"/>
          <w:iCs w:val="0"/>
          <w:color w:val="1b1c1d"/>
          <w:sz w:val="36"/>
          <w:szCs w:val="36"/>
          <w:rtl w:val="0"/>
        </w:rPr>
        <w:t xml:space="preserve"> 衡量匯率價格變動的劇烈程度。此維度關注的是當前市場的波動水平以及未來波動性可能放大或縮小的風險。評估方法可包括計算歷史波動率、參考（若可得）隱含波動率，或使用統計指標如標準差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。特別需要關注的是波動性狀態（Regime）發生轉變的可能性，例如從低波動環境突然轉變為高波動環境。資本流動是驅動波動性的重要因素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36"/>
          <w:szCs w:val="36"/>
          <w:rtl w:val="0"/>
        </w:rPr>
        <w:t xml:space="preserve">，而波動性本身也是交易者面臨的主要風險之一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6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流動性風險 (Liquidity Risk - 市場深度與交易效率):</w:t>
      </w:r>
      <w:r w:rsidDel="00000000" w:rsidR="00000000" w:rsidRPr="00000000">
        <w:rPr>
          <w:rFonts w:ascii="Google Sans Text" w:cs="Google Sans Text" w:eastAsia="Google Sans Text" w:hAnsi="Google Sans Text"/>
          <w:i w:val="0"/>
          <w:iCs w:val="0"/>
          <w:color w:val="1b1c1d"/>
          <w:sz w:val="36"/>
          <w:szCs w:val="36"/>
          <w:rtl w:val="0"/>
        </w:rPr>
        <w:t xml:space="preserve"> 評估在當前市場條件下，能否以期望的價格順利、快速地執行交易，而不會引發顯著的價格滑點（Slippage）。流動性風險在市場壓力增大時（如金融危機期間）或特定交易時段（如主要市場休市時段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36"/>
          <w:szCs w:val="36"/>
          <w:rtl w:val="0"/>
        </w:rPr>
        <w:t xml:space="preserve">）尤為突出。監測指標可包括買賣價差（Bid-Ask Spread）、市場深度數據（若可得）等。雖然主要貨幣對流動性通常較好，但在特定情況下仍是不可忽視的風險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66">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事件風險 (Event Risk - 事件衝擊):</w:t>
      </w:r>
      <w:r w:rsidDel="00000000" w:rsidR="00000000" w:rsidRPr="00000000">
        <w:rPr>
          <w:rFonts w:ascii="Google Sans Text" w:cs="Google Sans Text" w:eastAsia="Google Sans Text" w:hAnsi="Google Sans Text"/>
          <w:i w:val="0"/>
          <w:iCs w:val="0"/>
          <w:color w:val="1b1c1d"/>
          <w:sz w:val="36"/>
          <w:szCs w:val="36"/>
          <w:rtl w:val="0"/>
        </w:rPr>
        <w:t xml:space="preserve"> 系統性地追蹤並評估各類事件對新台幣匯率的潛在影響。這包括：</w:t>
      </w:r>
    </w:p>
    <w:p w:rsidR="00000000" w:rsidDel="00000000" w:rsidP="00000000" w:rsidRDefault="00000000" w:rsidRPr="00000000" w14:paraId="00000067">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預定事件：</w:t>
      </w:r>
      <w:r w:rsidDel="00000000" w:rsidR="00000000" w:rsidRPr="00000000">
        <w:rPr>
          <w:rFonts w:ascii="Google Sans Text" w:cs="Google Sans Text" w:eastAsia="Google Sans Text" w:hAnsi="Google Sans Text"/>
          <w:i w:val="0"/>
          <w:iCs w:val="0"/>
          <w:color w:val="1b1c1d"/>
          <w:sz w:val="36"/>
          <w:szCs w:val="36"/>
          <w:rtl w:val="0"/>
        </w:rPr>
        <w:t xml:space="preserve"> 央行（CBC、Fed）利率決策、重要經濟數據發布、財政政策公告、選舉等。</w:t>
      </w:r>
    </w:p>
    <w:p w:rsidR="00000000" w:rsidDel="00000000" w:rsidP="00000000" w:rsidRDefault="00000000" w:rsidRPr="00000000" w14:paraId="00000068">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突發事件：</w:t>
      </w:r>
      <w:r w:rsidDel="00000000" w:rsidR="00000000" w:rsidRPr="00000000">
        <w:rPr>
          <w:rFonts w:ascii="Google Sans Text" w:cs="Google Sans Text" w:eastAsia="Google Sans Text" w:hAnsi="Google Sans Text"/>
          <w:i w:val="0"/>
          <w:iCs w:val="0"/>
          <w:color w:val="1b1c1d"/>
          <w:sz w:val="36"/>
          <w:szCs w:val="36"/>
          <w:rtl w:val="0"/>
        </w:rPr>
        <w:t xml:space="preserve"> 地緣政治衝突升級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、貿易政策突變（如關稅措施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）、央行意外干預或聲明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36"/>
          <w:szCs w:val="36"/>
          <w:rtl w:val="0"/>
        </w:rPr>
        <w:t xml:space="preserve">、自然災害、全球金融市場動盪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、大宗商品價格衝擊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 等。 工具應不僅列出事件，更要嘗試評估其發生的概率（對突發事件）和潛在的影響路徑與幅度。</w:t>
      </w:r>
    </w:p>
    <w:p w:rsidR="00000000" w:rsidDel="00000000" w:rsidP="00000000" w:rsidRDefault="00000000" w:rsidRPr="00000000" w14:paraId="0000006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基本面偏離風險 (Fundamental Misalignment Risk - 基本面偏離):</w:t>
      </w:r>
      <w:r w:rsidDel="00000000" w:rsidR="00000000" w:rsidRPr="00000000">
        <w:rPr>
          <w:rFonts w:ascii="Google Sans Text" w:cs="Google Sans Text" w:eastAsia="Google Sans Text" w:hAnsi="Google Sans Text"/>
          <w:i w:val="0"/>
          <w:iCs w:val="0"/>
          <w:color w:val="1b1c1d"/>
          <w:sz w:val="36"/>
          <w:szCs w:val="36"/>
          <w:rtl w:val="0"/>
        </w:rPr>
        <w:t xml:space="preserve"> 量化當前匯率水平相對於長期基本面模型所指示的均衡價值可能存在的偏離程度。例如，利用實質有效匯率（REER）模型（基於相對生產力、貿易條件、相對消費、相對開放度等因素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36"/>
          <w:szCs w:val="36"/>
          <w:rtl w:val="0"/>
        </w:rPr>
        <w:t xml:space="preserve">）或購買力平價（PPP）模型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36"/>
          <w:szCs w:val="36"/>
          <w:rtl w:val="0"/>
        </w:rPr>
        <w:t xml:space="preserve"> 來評估潛在的超調（Overvaluation）或低估（Undervaluation）。顯著的偏離可能預示著未來匯率有向均衡水平回歸的壓力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6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政策不確定性風險 (Policy Uncertainty Risk - 政策不確定性):</w:t>
      </w:r>
      <w:r w:rsidDel="00000000" w:rsidR="00000000" w:rsidRPr="00000000">
        <w:rPr>
          <w:rFonts w:ascii="Google Sans Text" w:cs="Google Sans Text" w:eastAsia="Google Sans Text" w:hAnsi="Google Sans Text"/>
          <w:i w:val="0"/>
          <w:iCs w:val="0"/>
          <w:color w:val="1b1c1d"/>
          <w:sz w:val="36"/>
          <w:szCs w:val="36"/>
          <w:rtl w:val="0"/>
        </w:rPr>
        <w:t xml:space="preserve"> 這是針對新台幣市場特性而特別強調的維度，專門評估因中央銀行干預政策的潛在轉變或模糊性所帶來的風險。如前所述（1.4），這源於央行在維持穩定與應對外部壓力（如美國財政部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36"/>
          <w:szCs w:val="36"/>
          <w:rtl w:val="0"/>
        </w:rPr>
        <w:t xml:space="preserve">）之間的潛在衝突。此風險難以用傳統模型量化，但對市場預期影響巨大。</w:t>
      </w:r>
    </w:p>
    <w:p w:rsidR="00000000" w:rsidDel="00000000" w:rsidP="00000000" w:rsidRDefault="00000000" w:rsidRPr="00000000" w14:paraId="0000006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相關性/傳染風險 (Correlation/Contagion Risk - 傳染/相關性):</w:t>
      </w:r>
      <w:r w:rsidDel="00000000" w:rsidR="00000000" w:rsidRPr="00000000">
        <w:rPr>
          <w:rFonts w:ascii="Google Sans Text" w:cs="Google Sans Text" w:eastAsia="Google Sans Text" w:hAnsi="Google Sans Text"/>
          <w:i w:val="0"/>
          <w:iCs w:val="0"/>
          <w:color w:val="1b1c1d"/>
          <w:sz w:val="36"/>
          <w:szCs w:val="36"/>
          <w:rtl w:val="0"/>
        </w:rPr>
        <w:t xml:space="preserve"> 評估新台幣匯率受其他相關市場劇烈波動影響的可能性。例如，與其他亞洲主要貨幣（如韓元 KRW、日圓 JPY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）的聯動性、對全球風險資產（如股市）變化的敏感性、或對特定商品（如原油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）價格變動的反應。理解這些相關性有助於判斷外部衝擊向新台幣市場傳導的風險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6C">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3.3. 衍生的考量與影響</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將風險分解為多個維度後，需要進一步考慮它們之間的相互作用以及如何衡量那些本質上難以量化的風險。</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一個關鍵點是，這些風險維度並非相互獨立，而是緊密關聯、相互影響的。例如，一個重大的地緣政治事件（事件風險）可能同時觸發市場恐慌情緒，導致資本外流（影響方向性風險），加劇市場波動（波動性風險），並在極端情況下降低市場流動性（流動性風險）。</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 中描述的新台幣急升事件，就清晰地展示了資本流動、市場預期、央行政策缺位等多重因素如何交織作用，共同導致了方向和波動性的劇烈變化。同樣，資本流動本身既影響匯率水平（方向性），也影響其波動性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36"/>
          <w:szCs w:val="36"/>
          <w:rtl w:val="0"/>
        </w:rPr>
        <w:t xml:space="preserve">。因此，風險判斷工具的真正價值不僅在於獨立評估每個風險維度，更在於能夠整合這些維度，呈現一個全面、動態的整體風險圖景。僅僅提供一系列孤立的風險評分是遠遠不夠的，工具需要一個有效的機制（例如下一節將討論的儀表板）來綜合展示這些維度及其相互作用對總體風險環境的影響。</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另一個挑戰在於如何處理那些本質上難以精確量化的風險因素，例如政策不確定性風險或地緣政治風險。傳統的金融風險模型擅長處理有充足數據支持的量化指標，如歷史波動率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 或風險價值（VaR）</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36"/>
          <w:szCs w:val="36"/>
          <w:rtl w:val="0"/>
        </w:rPr>
        <w:t xml:space="preserve">。但對於像政治穩定性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、央行政策意圖的模糊性（見 1.4 分析）這類偏向定性、依賴解讀微妙信號的因素，傳統方法顯得力不從心。分析中也提到，「信任」和「信譽」等無形因素會影響匯率風險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36"/>
          <w:szCs w:val="36"/>
          <w:rtl w:val="0"/>
        </w:rPr>
        <w:t xml:space="preserve">。因此，為了提供真正全面的風險評估，工具需要探索創新的方法來捕捉和呈現這些「軟性」但至關重要的風險信息。可能的途徑包括：引入專家評分機制、利用自然語言處理技術進行新聞情緒分析、開發基於情景分析的影響評估模型等。將這些非傳統指標與傳統量化指標相結合，才能更真實地反映新台幣市場複雜的風險狀況。</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4. 概念化「風險位階」儀表板</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4.1. 儀表板目標</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「風險位階」儀表板的核心目標是提供一個直觀、易於理解的界面，讓用戶能夠快速掌握當前新台幣市場的整體風險環境。它應當：</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一目了然地總結風險水平。</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能夠根據用戶的特定時間視野（短期、中期、長期）和風險偏好進行調整。</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允許用戶深入探究構成總體風險評級的具體驅動因素和各個風險維度的詳細情況。</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4.2. 可視化方案選項</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多種視覺化方法可以呈現風險位階，各有優劣：</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單一綜合評分 (Single Composite Score):</w:t>
      </w:r>
      <w:r w:rsidDel="00000000" w:rsidR="00000000" w:rsidRPr="00000000">
        <w:rPr>
          <w:rFonts w:ascii="Google Sans Text" w:cs="Google Sans Text" w:eastAsia="Google Sans Text" w:hAnsi="Google Sans Text"/>
          <w:i w:val="0"/>
          <w:iCs w:val="0"/>
          <w:color w:val="1b1c1d"/>
          <w:sz w:val="36"/>
          <w:szCs w:val="36"/>
          <w:rtl w:val="0"/>
        </w:rPr>
        <w:t xml:space="preserve"> 以數字（例如 0-100 分）或類別（低、中、高、極高風險）來總結整體風險。類似於某些風險服務提供的評分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7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優點:</w:t>
      </w:r>
      <w:r w:rsidDel="00000000" w:rsidR="00000000" w:rsidRPr="00000000">
        <w:rPr>
          <w:rFonts w:ascii="Google Sans Text" w:cs="Google Sans Text" w:eastAsia="Google Sans Text" w:hAnsi="Google Sans Text"/>
          <w:i w:val="0"/>
          <w:iCs w:val="0"/>
          <w:color w:val="1b1c1d"/>
          <w:sz w:val="36"/>
          <w:szCs w:val="36"/>
          <w:rtl w:val="0"/>
        </w:rPr>
        <w:t xml:space="preserve"> 極其簡潔，便於快速判斷。</w:t>
      </w:r>
    </w:p>
    <w:p w:rsidR="00000000" w:rsidDel="00000000" w:rsidP="00000000" w:rsidRDefault="00000000" w:rsidRPr="00000000" w14:paraId="0000007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缺點:</w:t>
      </w:r>
      <w:r w:rsidDel="00000000" w:rsidR="00000000" w:rsidRPr="00000000">
        <w:rPr>
          <w:rFonts w:ascii="Google Sans Text" w:cs="Google Sans Text" w:eastAsia="Google Sans Text" w:hAnsi="Google Sans Text"/>
          <w:i w:val="0"/>
          <w:iCs w:val="0"/>
          <w:color w:val="1b1c1d"/>
          <w:sz w:val="36"/>
          <w:szCs w:val="36"/>
          <w:rtl w:val="0"/>
        </w:rPr>
        <w:t xml:space="preserve"> 過度簡化，可能掩蓋風險結構的複雜性與細微差別。需要有清晰的評分方法論說明，並提供深入探究的途徑。</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交通信號燈 (Traffic Light Signals):</w:t>
      </w:r>
      <w:r w:rsidDel="00000000" w:rsidR="00000000" w:rsidRPr="00000000">
        <w:rPr>
          <w:rFonts w:ascii="Google Sans Text" w:cs="Google Sans Text" w:eastAsia="Google Sans Text" w:hAnsi="Google Sans Text"/>
          <w:i w:val="0"/>
          <w:iCs w:val="0"/>
          <w:color w:val="1b1c1d"/>
          <w:sz w:val="36"/>
          <w:szCs w:val="36"/>
          <w:rtl w:val="0"/>
        </w:rPr>
        <w:t xml:space="preserve"> 使用紅、黃、綠燈號來指示整體風險或特定風險維度/時間視野的狀態。</w:t>
      </w:r>
    </w:p>
    <w:p w:rsidR="00000000" w:rsidDel="00000000" w:rsidP="00000000" w:rsidRDefault="00000000" w:rsidRPr="00000000" w14:paraId="0000007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優點:</w:t>
      </w:r>
      <w:r w:rsidDel="00000000" w:rsidR="00000000" w:rsidRPr="00000000">
        <w:rPr>
          <w:rFonts w:ascii="Google Sans Text" w:cs="Google Sans Text" w:eastAsia="Google Sans Text" w:hAnsi="Google Sans Text"/>
          <w:i w:val="0"/>
          <w:iCs w:val="0"/>
          <w:color w:val="1b1c1d"/>
          <w:sz w:val="36"/>
          <w:szCs w:val="36"/>
          <w:rtl w:val="0"/>
        </w:rPr>
        <w:t xml:space="preserve"> 非常直觀，便於快速評估風險的緊急程度。</w:t>
      </w:r>
    </w:p>
    <w:p w:rsidR="00000000" w:rsidDel="00000000" w:rsidP="00000000" w:rsidRDefault="00000000" w:rsidRPr="00000000" w14:paraId="0000007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缺點:</w:t>
      </w:r>
      <w:r w:rsidDel="00000000" w:rsidR="00000000" w:rsidRPr="00000000">
        <w:rPr>
          <w:rFonts w:ascii="Google Sans Text" w:cs="Google Sans Text" w:eastAsia="Google Sans Text" w:hAnsi="Google Sans Text"/>
          <w:i w:val="0"/>
          <w:iCs w:val="0"/>
          <w:color w:val="1b1c1d"/>
          <w:sz w:val="36"/>
          <w:szCs w:val="36"/>
          <w:rtl w:val="0"/>
        </w:rPr>
        <w:t xml:space="preserve"> 提供的粒度有限，難以區分同一顏色內的風險程度差異。</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多維度雷達圖 (Multi-Dimensional Radar Chart):</w:t>
      </w:r>
      <w:r w:rsidDel="00000000" w:rsidR="00000000" w:rsidRPr="00000000">
        <w:rPr>
          <w:rFonts w:ascii="Google Sans Text" w:cs="Google Sans Text" w:eastAsia="Google Sans Text" w:hAnsi="Google Sans Text"/>
          <w:i w:val="0"/>
          <w:iCs w:val="0"/>
          <w:color w:val="1b1c1d"/>
          <w:sz w:val="36"/>
          <w:szCs w:val="36"/>
          <w:rtl w:val="0"/>
        </w:rPr>
        <w:t xml:space="preserve"> 將各個關鍵風險維度（如方向性、波動性、事件、流動性、政策不確定性等）的評分標示在不同的軸上，形成一個多邊形。</w:t>
      </w:r>
    </w:p>
    <w:p w:rsidR="00000000" w:rsidDel="00000000" w:rsidP="00000000" w:rsidRDefault="00000000" w:rsidRPr="00000000" w14:paraId="0000007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優點:</w:t>
      </w:r>
      <w:r w:rsidDel="00000000" w:rsidR="00000000" w:rsidRPr="00000000">
        <w:rPr>
          <w:rFonts w:ascii="Google Sans Text" w:cs="Google Sans Text" w:eastAsia="Google Sans Text" w:hAnsi="Google Sans Text"/>
          <w:i w:val="0"/>
          <w:iCs w:val="0"/>
          <w:color w:val="1b1c1d"/>
          <w:sz w:val="36"/>
          <w:szCs w:val="36"/>
          <w:rtl w:val="0"/>
        </w:rPr>
        <w:t xml:space="preserve"> 能清晰展示風險的「形狀」或結構（例如，高波動性風險但方向性風險低）。有助於理解風險來源的側重。</w:t>
      </w:r>
    </w:p>
    <w:p w:rsidR="00000000" w:rsidDel="00000000" w:rsidP="00000000" w:rsidRDefault="00000000" w:rsidRPr="00000000" w14:paraId="0000008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缺點:</w:t>
      </w:r>
      <w:r w:rsidDel="00000000" w:rsidR="00000000" w:rsidRPr="00000000">
        <w:rPr>
          <w:rFonts w:ascii="Google Sans Text" w:cs="Google Sans Text" w:eastAsia="Google Sans Text" w:hAnsi="Google Sans Text"/>
          <w:i w:val="0"/>
          <w:iCs w:val="0"/>
          <w:color w:val="1b1c1d"/>
          <w:sz w:val="36"/>
          <w:szCs w:val="36"/>
          <w:rtl w:val="0"/>
        </w:rPr>
        <w:t xml:space="preserve"> 當維度過多時可能變得複雜，需要用戶具備一定的解讀能力。</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熱力圖 (Heatmap):</w:t>
      </w:r>
      <w:r w:rsidDel="00000000" w:rsidR="00000000" w:rsidRPr="00000000">
        <w:rPr>
          <w:rFonts w:ascii="Google Sans Text" w:cs="Google Sans Text" w:eastAsia="Google Sans Text" w:hAnsi="Google Sans Text"/>
          <w:i w:val="0"/>
          <w:iCs w:val="0"/>
          <w:color w:val="1b1c1d"/>
          <w:sz w:val="36"/>
          <w:szCs w:val="36"/>
          <w:rtl w:val="0"/>
        </w:rPr>
        <w:t xml:space="preserve"> 使用顏色的深淺或不同色調來表示不同風險維度在不同時間視野下的風險水平。</w:t>
      </w:r>
    </w:p>
    <w:p w:rsidR="00000000" w:rsidDel="00000000" w:rsidP="00000000" w:rsidRDefault="00000000" w:rsidRPr="00000000" w14:paraId="0000008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優點:</w:t>
      </w:r>
      <w:r w:rsidDel="00000000" w:rsidR="00000000" w:rsidRPr="00000000">
        <w:rPr>
          <w:rFonts w:ascii="Google Sans Text" w:cs="Google Sans Text" w:eastAsia="Google Sans Text" w:hAnsi="Google Sans Text"/>
          <w:i w:val="0"/>
          <w:iCs w:val="0"/>
          <w:color w:val="1b1c1d"/>
          <w:sz w:val="36"/>
          <w:szCs w:val="36"/>
          <w:rtl w:val="0"/>
        </w:rPr>
        <w:t xml:space="preserve"> 適合同時比較多個因素的風險狀況。</w:t>
      </w:r>
    </w:p>
    <w:p w:rsidR="00000000" w:rsidDel="00000000" w:rsidP="00000000" w:rsidRDefault="00000000" w:rsidRPr="00000000" w14:paraId="0000008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缺點:</w:t>
      </w:r>
      <w:r w:rsidDel="00000000" w:rsidR="00000000" w:rsidRPr="00000000">
        <w:rPr>
          <w:rFonts w:ascii="Google Sans Text" w:cs="Google Sans Text" w:eastAsia="Google Sans Text" w:hAnsi="Google Sans Text"/>
          <w:i w:val="0"/>
          <w:iCs w:val="0"/>
          <w:color w:val="1b1c1d"/>
          <w:sz w:val="36"/>
          <w:szCs w:val="36"/>
          <w:rtl w:val="0"/>
        </w:rPr>
        <w:t xml:space="preserve"> 對於獲取單一的總體風險感知可能不夠直觀。</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獨立維度儀表/計量器 (Independent Dimension Gauges/Meters):</w:t>
      </w:r>
      <w:r w:rsidDel="00000000" w:rsidR="00000000" w:rsidRPr="00000000">
        <w:rPr>
          <w:rFonts w:ascii="Google Sans Text" w:cs="Google Sans Text" w:eastAsia="Google Sans Text" w:hAnsi="Google Sans Text"/>
          <w:i w:val="0"/>
          <w:iCs w:val="0"/>
          <w:color w:val="1b1c1d"/>
          <w:sz w:val="36"/>
          <w:szCs w:val="36"/>
          <w:rtl w:val="0"/>
        </w:rPr>
        <w:t xml:space="preserve"> 為每個關鍵風險維度設置獨立的視覺化指標（如儀表盤指針、進度條）。</w:t>
      </w:r>
    </w:p>
    <w:p w:rsidR="00000000" w:rsidDel="00000000" w:rsidP="00000000" w:rsidRDefault="00000000" w:rsidRPr="00000000" w14:paraId="0000008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優點:</w:t>
      </w:r>
      <w:r w:rsidDel="00000000" w:rsidR="00000000" w:rsidRPr="00000000">
        <w:rPr>
          <w:rFonts w:ascii="Google Sans Text" w:cs="Google Sans Text" w:eastAsia="Google Sans Text" w:hAnsi="Google Sans Text"/>
          <w:i w:val="0"/>
          <w:iCs w:val="0"/>
          <w:color w:val="1b1c1d"/>
          <w:sz w:val="36"/>
          <w:szCs w:val="36"/>
          <w:rtl w:val="0"/>
        </w:rPr>
        <w:t xml:space="preserve"> 清晰展示每個組成部分的風險水平。</w:t>
      </w:r>
    </w:p>
    <w:p w:rsidR="00000000" w:rsidDel="00000000" w:rsidP="00000000" w:rsidRDefault="00000000" w:rsidRPr="00000000" w14:paraId="00000086">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缺點:</w:t>
      </w:r>
      <w:r w:rsidDel="00000000" w:rsidR="00000000" w:rsidRPr="00000000">
        <w:rPr>
          <w:rFonts w:ascii="Google Sans Text" w:cs="Google Sans Text" w:eastAsia="Google Sans Text" w:hAnsi="Google Sans Text"/>
          <w:i w:val="0"/>
          <w:iCs w:val="0"/>
          <w:color w:val="1b1c1d"/>
          <w:sz w:val="36"/>
          <w:szCs w:val="36"/>
          <w:rtl w:val="0"/>
        </w:rPr>
        <w:t xml:space="preserve"> 需要用戶自行綜合判斷整體風險狀況。</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建議方案:</w:t>
      </w:r>
      <w:r w:rsidDel="00000000" w:rsidR="00000000" w:rsidRPr="00000000">
        <w:rPr>
          <w:rFonts w:ascii="Google Sans Text" w:cs="Google Sans Text" w:eastAsia="Google Sans Text" w:hAnsi="Google Sans Text"/>
          <w:i w:val="0"/>
          <w:iCs w:val="0"/>
          <w:color w:val="1b1c1d"/>
          <w:sz w:val="36"/>
          <w:szCs w:val="36"/>
          <w:rtl w:val="0"/>
        </w:rPr>
        <w:t xml:space="preserve"> 考慮採用混合模式。例如，儀表板頂部可以顯示一個醒目的總體風險評分或交通燈號，提供即時的風險概覽。下方則輔以雷達圖或熱力圖，展示風險的多維度結構。所有視覺元素都應設計為可點擊，允許用戶深入查看每個維度的具體評分、驅動因素和相關數據。</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4.3. 時間視野焦點</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儀表板必須能夠根據用戶的交易風格和分析需求（見第 2 節）進行配置，以反映不同時間範圍內的風險狀況：</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短期 (日內 / 未來數天):</w:t>
      </w:r>
      <w:r w:rsidDel="00000000" w:rsidR="00000000" w:rsidRPr="00000000">
        <w:rPr>
          <w:rFonts w:ascii="Google Sans Text" w:cs="Google Sans Text" w:eastAsia="Google Sans Text" w:hAnsi="Google Sans Text"/>
          <w:i w:val="0"/>
          <w:iCs w:val="0"/>
          <w:color w:val="1b1c1d"/>
          <w:sz w:val="36"/>
          <w:szCs w:val="36"/>
          <w:rtl w:val="0"/>
        </w:rPr>
        <w:t xml:space="preserve"> 儀表板應側重於即時波動性驅動因素、流動性狀況、近期事件風險（如即將發布的數據）、以及潛在的央行干預信號。此視角主要服務於搶帽子交易者和日內交易者。</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中期 (未來數週 / 數月):</w:t>
      </w:r>
      <w:r w:rsidDel="00000000" w:rsidR="00000000" w:rsidRPr="00000000">
        <w:rPr>
          <w:rFonts w:ascii="Google Sans Text" w:cs="Google Sans Text" w:eastAsia="Google Sans Text" w:hAnsi="Google Sans Text"/>
          <w:i w:val="0"/>
          <w:iCs w:val="0"/>
          <w:color w:val="1b1c1d"/>
          <w:sz w:val="36"/>
          <w:szCs w:val="36"/>
          <w:rtl w:val="0"/>
        </w:rPr>
        <w:t xml:space="preserve"> 儀表板應聚焦於趨勢的可持續性、基本面因素的演變、已排程的重大事件（如央行會議）、政策轉變的跡象以及關鍵技術水平的有效性。此視角與波段交易者和部分企業避險者的需求更為契合。</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長期 (未來數月 / 數季以上):</w:t>
      </w:r>
      <w:r w:rsidDel="00000000" w:rsidR="00000000" w:rsidRPr="00000000">
        <w:rPr>
          <w:rFonts w:ascii="Google Sans Text" w:cs="Google Sans Text" w:eastAsia="Google Sans Text" w:hAnsi="Google Sans Text"/>
          <w:i w:val="0"/>
          <w:iCs w:val="0"/>
          <w:color w:val="1b1c1d"/>
          <w:sz w:val="36"/>
          <w:szCs w:val="36"/>
          <w:rtl w:val="0"/>
        </w:rPr>
        <w:t xml:space="preserve"> 儀表板應突出基本面估值、長期經濟週期、結構性的政策變化、地緣政治趨勢以及長期資本流動格局。此視角對部位交易者和進行戰略性避險的企業更有價值。</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儀表板應清晰標示其當前反映的時間視野，或者提供便捷的切換選項，讓用戶能夠根據需要調整觀察角度。</w:t>
      </w:r>
    </w:p>
    <w:p w:rsidR="00000000" w:rsidDel="00000000" w:rsidP="00000000" w:rsidRDefault="00000000" w:rsidRPr="00000000" w14:paraId="0000008E">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4.4. 整合風險管理概念</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儀表板不僅應展示風險評估結果，還可以整合一些實用的風險管理工具概念，提升其行動價值：</w:t>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類 VaR 指標 (VaR-like Indicators):</w:t>
      </w:r>
      <w:r w:rsidDel="00000000" w:rsidR="00000000" w:rsidRPr="00000000">
        <w:rPr>
          <w:rFonts w:ascii="Google Sans Text" w:cs="Google Sans Text" w:eastAsia="Google Sans Text" w:hAnsi="Google Sans Text"/>
          <w:i w:val="0"/>
          <w:iCs w:val="0"/>
          <w:color w:val="1b1c1d"/>
          <w:sz w:val="36"/>
          <w:szCs w:val="36"/>
          <w:rtl w:val="0"/>
        </w:rPr>
        <w:t xml:space="preserve"> 顯示潛在的下行風險估計，例如，基於當前波動率和其他風險因素，預測在特定時間段內、特定置信水平下可能出現的最大不利變動幅度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情景分析整合 (Scenario Analysis Integration):</w:t>
      </w:r>
      <w:r w:rsidDel="00000000" w:rsidR="00000000" w:rsidRPr="00000000">
        <w:rPr>
          <w:rFonts w:ascii="Google Sans Text" w:cs="Google Sans Text" w:eastAsia="Google Sans Text" w:hAnsi="Google Sans Text"/>
          <w:i w:val="0"/>
          <w:iCs w:val="0"/>
          <w:color w:val="1b1c1d"/>
          <w:sz w:val="36"/>
          <w:szCs w:val="36"/>
          <w:rtl w:val="0"/>
        </w:rPr>
        <w:t xml:space="preserve"> 允許用戶查看在某些預設的關鍵情景下（例如，「聯準會超預期加息」、「兩岸緊張局勢升級」），風險儀表板的各項指標可能會如何變化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止損位接近警示 (Stop-Loss Proximity Alerts):</w:t>
      </w:r>
      <w:r w:rsidDel="00000000" w:rsidR="00000000" w:rsidRPr="00000000">
        <w:rPr>
          <w:rFonts w:ascii="Google Sans Text" w:cs="Google Sans Text" w:eastAsia="Google Sans Text" w:hAnsi="Google Sans Text"/>
          <w:i w:val="0"/>
          <w:iCs w:val="0"/>
          <w:color w:val="1b1c1d"/>
          <w:sz w:val="36"/>
          <w:szCs w:val="36"/>
          <w:rtl w:val="0"/>
        </w:rPr>
        <w:t xml:space="preserve"> 潛在地，可以整合警示功能，當市場價格接近關鍵技術支撐/阻力位或用戶自定義的止損區域時，結合當前的風險位階發出提醒。這利用了止損在風險管理中的核心作用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4.5. 衍生的考量與影響</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儀表板的設計理念應超越單純的數據呈現，力求成為輔助用戶理解和應對風險的有力工具。</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儀表板不應僅僅是數據的堆砌，更應扮演一個「敘事者」的角色，幫助用戶構建對當前風險環境的理解。金融市場的運行，很大程度上受到市場參與者的敘事和解讀的影響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單一的風險評分往往缺乏必要的背景信息。相比之下，若能將不同的視覺元素巧妙結合，例如，同時顯示高波動性評分、即將到來的關鍵事件標記以及高政策不確定性指標，就能向用戶傳達一個比孤立分數更豐富、更具體的風險故事：「當前市場波動劇烈，且面臨關鍵事件衝擊，同時央行政策不明朗，整體風險較高」。因此，儀表板的設計應優先考慮如何促進用戶理解風險的驅動因素及其相互作用，幫助他們形成對風險格局的連貫認知。</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最後，儀表板設計面臨的核心挑戰在於如何在「簡潔直觀」與「信息深度」之間取得平衡。不同用戶對信息獲取的速度和深度要求不同（見第 2 節），而新台幣風險本身又是複雜且多維度的（見第 3 節）。過於簡潔的儀表板可能隱藏關鍵信息，無法有效傳達風險的全貌；而過於複雜的儀表板則可能讓用戶（尤其是時間壓力大的短線交易者）感到不知所措。因此，最佳的設計策略很可能是採用分層和漸進式信息披露（Progressive Disclosure）的原則。頂層提供一個快速摘要（如交通燈或綜合評分），並設計直觀的交互方式（如點擊、懸停），引導用戶逐步深入了解更詳細的分析層面（如雷達圖、各維度驅動因素詳情、情景分析工具等）。這樣的設計能夠同時滿足不同用戶在不同情境下的信息需求，兼顧快速判斷與深度分析的需要。</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5. 策略性建議</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基於以上分析，為確保「新台幣匯率風險判斷工具」的成功開發與應用，提出以下策略性建議：</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優先考慮模組化與客製化設計：</w:t>
      </w:r>
      <w:r w:rsidDel="00000000" w:rsidR="00000000" w:rsidRPr="00000000">
        <w:rPr>
          <w:rFonts w:ascii="Google Sans Text" w:cs="Google Sans Text" w:eastAsia="Google Sans Text" w:hAnsi="Google Sans Text"/>
          <w:i w:val="0"/>
          <w:iCs w:val="0"/>
          <w:color w:val="1b1c1d"/>
          <w:sz w:val="36"/>
          <w:szCs w:val="36"/>
          <w:rtl w:val="0"/>
        </w:rPr>
        <w:t xml:space="preserve"> 鑑於目標用戶群體的多樣性及其需求的顯著差異，工具應採用模組化架構。開發獨立的功能模組來對應不同的風險維度、分析方法和時間視野。允許用戶（特別是基於其用戶畫像）自定義儀表板佈局、選擇所需的功能模組、並調整參數設置，以最大化工具對其特定工作流程的適用性。</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聚焦數據整合與質量保障：</w:t>
      </w:r>
      <w:r w:rsidDel="00000000" w:rsidR="00000000" w:rsidRPr="00000000">
        <w:rPr>
          <w:rFonts w:ascii="Google Sans Text" w:cs="Google Sans Text" w:eastAsia="Google Sans Text" w:hAnsi="Google Sans Text"/>
          <w:i w:val="0"/>
          <w:iCs w:val="0"/>
          <w:color w:val="1b1c1d"/>
          <w:sz w:val="36"/>
          <w:szCs w:val="36"/>
          <w:rtl w:val="0"/>
        </w:rPr>
        <w:t xml:space="preserve"> 工具的洞察力取決於其數據基礎。需要整合多樣化的數據源，包括：即時和歷史市場數據（匯率、利率、股價指數等）、經濟日曆、即時新聞饋送（用於事件追蹤和潛在的情緒分析）、央行官方溝通記錄、外匯儲備數據、相關國際報告（如美國財政部報告）等。必須投入資源確保數據的準確性、完整性和及時性。</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開發穩健的風險量化模型：</w:t>
      </w:r>
      <w:r w:rsidDel="00000000" w:rsidR="00000000" w:rsidRPr="00000000">
        <w:rPr>
          <w:rFonts w:ascii="Google Sans Text" w:cs="Google Sans Text" w:eastAsia="Google Sans Text" w:hAnsi="Google Sans Text"/>
          <w:i w:val="0"/>
          <w:iCs w:val="0"/>
          <w:color w:val="1b1c1d"/>
          <w:sz w:val="36"/>
          <w:szCs w:val="36"/>
          <w:rtl w:val="0"/>
        </w:rPr>
        <w:t xml:space="preserve"> 投入研發力量，為每個核心風險維度建立可靠的量化模型。這不僅包括應用成熟的金融模型（如 GARCH 模型用於波動率預測、VaR 模型用於下行風險估計），也需要探索創新方法來評估難以量化的風險因素（如政策不確定性、地緣政治風險），例如結合專家判斷、文本分析或機器學習技術。所有模型都應經過嚴格的回溯測試（Backtesting）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36"/>
          <w:szCs w:val="36"/>
          <w:rtl w:val="0"/>
        </w:rPr>
        <w:t xml:space="preserve">，以驗證其有效性。</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強調使用者介面（UI）與使用者體驗（UX）設計：</w:t>
      </w:r>
      <w:r w:rsidDel="00000000" w:rsidR="00000000" w:rsidRPr="00000000">
        <w:rPr>
          <w:rFonts w:ascii="Google Sans Text" w:cs="Google Sans Text" w:eastAsia="Google Sans Text" w:hAnsi="Google Sans Text"/>
          <w:i w:val="0"/>
          <w:iCs w:val="0"/>
          <w:color w:val="1b1c1d"/>
          <w:sz w:val="36"/>
          <w:szCs w:val="36"/>
          <w:rtl w:val="0"/>
        </w:rPr>
        <w:t xml:space="preserve"> 儀表板和工具的整體設計應以用戶為中心。注重導航的直觀性、視覺化呈現的清晰度以及信息層次的合理安排。應用漸進式信息披露原則，確保用戶既能快速獲取核心信息，也能方便地深入探索細節，從而有效平衡簡潔性與深度分析的需求。</w:t>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採取迭代開發與用戶反饋循環：</w:t>
      </w:r>
      <w:r w:rsidDel="00000000" w:rsidR="00000000" w:rsidRPr="00000000">
        <w:rPr>
          <w:rFonts w:ascii="Google Sans Text" w:cs="Google Sans Text" w:eastAsia="Google Sans Text" w:hAnsi="Google Sans Text"/>
          <w:i w:val="0"/>
          <w:iCs w:val="0"/>
          <w:color w:val="1b1c1d"/>
          <w:sz w:val="36"/>
          <w:szCs w:val="36"/>
          <w:rtl w:val="0"/>
        </w:rPr>
        <w:t xml:space="preserve"> 建議採用敏捷開發方法。首先推出包含核心功能、針對一個主要用戶群體（例如，需求較為綜合的波段交易者）的最小可行產品（MVP）。然後，根據早期用戶的反饋進行快速迭代和優化，逐步擴展功能，並針對其他用戶群體進行適配和完善。持續的用戶反饋是確保工具最終能夠滿足真實市場需求的關鍵。</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結論</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開發一個成功的新台幣匯率風險判斷工具，需要在深刻理解市場獨特性、用戶多樣性及風險多維性的基礎上，進行精心設計與開發。本報告明確了工具的核心價值主張、目標客群、關鍵風險維度及儀表板設計概念，並提出了具體的策略建議。透過解決交易者在預判波動、識別趨勢、評估事件、量化風險和理解政策方面的核心痛點，並提供客製化、多維度、且易於理解的風險洞察，該工具將有望成為新台幣市場參與者不可或缺的決策輔助利器。成功的關鍵在於數據的質量、模型的穩健性、用戶體驗的友好性以及持續迭代優化的能力。</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新台幣匯價強彈3.07% 央行：多重因素推升、持續「動態穩定」 - LINE TODAY, 檢索日期：5月 5, 2025， </w:t>
      </w:r>
      <w:hyperlink r:id="rId6">
        <w:r w:rsidDel="00000000" w:rsidR="00000000" w:rsidRPr="00000000">
          <w:rPr>
            <w:rFonts w:ascii="Google Sans" w:cs="Google Sans" w:eastAsia="Google Sans" w:hAnsi="Google Sans"/>
            <w:color w:val="0000ee"/>
            <w:sz w:val="24"/>
            <w:szCs w:val="24"/>
            <w:u w:val="single"/>
            <w:rtl w:val="0"/>
          </w:rPr>
          <w:t xml:space="preserve">https://today.line.me/tw/v2/article/0MExVWP</w:t>
        </w:r>
      </w:hyperlink>
      <w:r w:rsidDel="00000000" w:rsidR="00000000" w:rsidRPr="00000000">
        <w:rPr>
          <w:rtl w:val="0"/>
        </w:rPr>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新聞稿-新台幣匯率維持動態穩定 - 中央銀行, 檢索日期：5月 5, 2025， </w:t>
      </w:r>
      <w:hyperlink r:id="rId7">
        <w:r w:rsidDel="00000000" w:rsidR="00000000" w:rsidRPr="00000000">
          <w:rPr>
            <w:rFonts w:ascii="Google Sans" w:cs="Google Sans" w:eastAsia="Google Sans" w:hAnsi="Google Sans"/>
            <w:color w:val="0000ee"/>
            <w:sz w:val="24"/>
            <w:szCs w:val="24"/>
            <w:u w:val="single"/>
            <w:rtl w:val="0"/>
          </w:rPr>
          <w:t xml:space="preserve">https://www.cbc.gov.tw/tw/cp-302-181285-2250c-1.html</w:t>
        </w:r>
      </w:hyperlink>
      <w:r w:rsidDel="00000000" w:rsidR="00000000" w:rsidRPr="00000000">
        <w:rPr>
          <w:rtl w:val="0"/>
        </w:rPr>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Shocks and Capital Flows: Policy Responses in a Volatile World - IMF eLibrary, 檢索日期：5月 5, 2025， </w:t>
      </w:r>
      <w:hyperlink r:id="rId8">
        <w:r w:rsidDel="00000000" w:rsidR="00000000" w:rsidRPr="00000000">
          <w:rPr>
            <w:rFonts w:ascii="Google Sans" w:cs="Google Sans" w:eastAsia="Google Sans" w:hAnsi="Google Sans"/>
            <w:color w:val="0000ee"/>
            <w:sz w:val="24"/>
            <w:szCs w:val="24"/>
            <w:u w:val="single"/>
            <w:rtl w:val="0"/>
          </w:rPr>
          <w:t xml:space="preserve">https://www.elibrary.imf.org/downloadpdf/display/book/9798400211263/CH005.pdf</w:t>
        </w:r>
      </w:hyperlink>
      <w:r w:rsidDel="00000000" w:rsidR="00000000" w:rsidRPr="00000000">
        <w:rPr>
          <w:rtl w:val="0"/>
        </w:rPr>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2025年5月2日台幣急升事件綜合分析 - 方格子, 檢索日期：5月 5, 2025， </w:t>
      </w:r>
      <w:hyperlink r:id="rId9">
        <w:r w:rsidDel="00000000" w:rsidR="00000000" w:rsidRPr="00000000">
          <w:rPr>
            <w:rFonts w:ascii="Google Sans" w:cs="Google Sans" w:eastAsia="Google Sans" w:hAnsi="Google Sans"/>
            <w:color w:val="0000ee"/>
            <w:sz w:val="24"/>
            <w:szCs w:val="24"/>
            <w:u w:val="single"/>
            <w:rtl w:val="0"/>
          </w:rPr>
          <w:t xml:space="preserve">https://vocus.cc/article/6814e3f9fd89780001035ee4</w:t>
        </w:r>
      </w:hyperlink>
      <w:r w:rsidDel="00000000" w:rsidR="00000000" w:rsidRPr="00000000">
        <w:rPr>
          <w:rtl w:val="0"/>
        </w:rPr>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匯率暴漲8.7角！央行聲明失靈？這兩大產業恐受衝擊 - Yahoo股市, 檢索日期：5月 5, 2025， </w:t>
      </w:r>
      <w:hyperlink r:id="rId10">
        <w:r w:rsidDel="00000000" w:rsidR="00000000" w:rsidRPr="00000000">
          <w:rPr>
            <w:rFonts w:ascii="Google Sans" w:cs="Google Sans" w:eastAsia="Google Sans" w:hAnsi="Google Sans"/>
            <w:color w:val="0000ee"/>
            <w:sz w:val="24"/>
            <w:szCs w:val="24"/>
            <w:u w:val="single"/>
            <w:rtl w:val="0"/>
          </w:rPr>
          <w:t xml:space="preserve">https://tw.stock.yahoo.com/news/%E5%8C%AF%E7%8E%87%E6%9A%B4%E6%BC%B28-7%E8%A7%92-%E5%A4%AE%E8%A1%8C%E8%81%B2%E6%98%8E%E5%A4%B1%E9%9D%88-%E9%80%99%E5%85%A9%E5%A4%A7%E7%94%A2%E6%A5%AD%E6%81%90%E5%8F%97%E8%A1%9D%E6%93%8A-130500572.html</w:t>
        </w:r>
      </w:hyperlink>
      <w:r w:rsidDel="00000000" w:rsidR="00000000" w:rsidRPr="00000000">
        <w:rPr>
          <w:rtl w:val="0"/>
        </w:rPr>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IMF eLibrary, 檢索日期：5月 5, 2025， </w:t>
      </w:r>
      <w:hyperlink r:id="rId11">
        <w:r w:rsidDel="00000000" w:rsidR="00000000" w:rsidRPr="00000000">
          <w:rPr>
            <w:rFonts w:ascii="Google Sans" w:cs="Google Sans" w:eastAsia="Google Sans" w:hAnsi="Google Sans"/>
            <w:color w:val="0000ee"/>
            <w:sz w:val="24"/>
            <w:szCs w:val="24"/>
            <w:u w:val="single"/>
            <w:rtl w:val="0"/>
          </w:rPr>
          <w:t xml:space="preserve">https://www.elibrary.imf.org/downloadpdf/journals/087/2019/015/article-A001-en.pdf</w:t>
        </w:r>
      </w:hyperlink>
      <w:r w:rsidDel="00000000" w:rsidR="00000000" w:rsidRPr="00000000">
        <w:rPr>
          <w:rtl w:val="0"/>
        </w:rPr>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www.cbc.gov.tw, 檢索日期：5月 5, 2025， </w:t>
      </w:r>
      <w:hyperlink r:id="rId12">
        <w:r w:rsidDel="00000000" w:rsidR="00000000" w:rsidRPr="00000000">
          <w:rPr>
            <w:rFonts w:ascii="Google Sans" w:cs="Google Sans" w:eastAsia="Google Sans" w:hAnsi="Google Sans"/>
            <w:color w:val="0000ee"/>
            <w:sz w:val="24"/>
            <w:szCs w:val="24"/>
            <w:u w:val="single"/>
            <w:rtl w:val="0"/>
          </w:rPr>
          <w:t xml:space="preserve">https://www.cbc.gov.tw/tw/public/Attachment/281317134771.pdf</w:t>
        </w:r>
      </w:hyperlink>
      <w:r w:rsidDel="00000000" w:rsidR="00000000" w:rsidRPr="00000000">
        <w:rPr>
          <w:rtl w:val="0"/>
        </w:rPr>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什麼是新台幣升值、新台幣貶值？詳細介紹如何掌握以及優缺點等的 ..., 檢索日期：5月 5, 2025， </w:t>
      </w:r>
      <w:hyperlink r:id="rId13">
        <w:r w:rsidDel="00000000" w:rsidR="00000000" w:rsidRPr="00000000">
          <w:rPr>
            <w:rFonts w:ascii="Google Sans" w:cs="Google Sans" w:eastAsia="Google Sans" w:hAnsi="Google Sans"/>
            <w:color w:val="0000ee"/>
            <w:sz w:val="24"/>
            <w:szCs w:val="24"/>
            <w:u w:val="single"/>
            <w:rtl w:val="0"/>
          </w:rPr>
          <w:t xml:space="preserve">https://www.oanda.com/bvi-ft/lab-education/forex/ntd_revaluation_devaluation/</w:t>
        </w:r>
      </w:hyperlink>
      <w:r w:rsidDel="00000000" w:rsidR="00000000" w:rsidRPr="00000000">
        <w:rPr>
          <w:rtl w:val="0"/>
        </w:rPr>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新台幣急升反映憂匯率戰預期心理專家：應無升破28元空間 - Rti 中央廣播電臺, 檢索日期：5月 5, 2025， </w:t>
      </w:r>
      <w:hyperlink r:id="rId14">
        <w:r w:rsidDel="00000000" w:rsidR="00000000" w:rsidRPr="00000000">
          <w:rPr>
            <w:rFonts w:ascii="Google Sans" w:cs="Google Sans" w:eastAsia="Google Sans" w:hAnsi="Google Sans"/>
            <w:color w:val="0000ee"/>
            <w:sz w:val="24"/>
            <w:szCs w:val="24"/>
            <w:u w:val="single"/>
            <w:rtl w:val="0"/>
          </w:rPr>
          <w:t xml:space="preserve">https://www.rti.org.tw/news/view/id/2248251</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台幣升值原因一次看懂！川普關稅匯率戰、股市與房價影響懶人包 - TVBS新聞, 檢索日期：5月 5, 2025， </w:t>
      </w:r>
      <w:hyperlink r:id="rId15">
        <w:r w:rsidDel="00000000" w:rsidR="00000000" w:rsidRPr="00000000">
          <w:rPr>
            <w:rFonts w:ascii="Google Sans" w:cs="Google Sans" w:eastAsia="Google Sans" w:hAnsi="Google Sans"/>
            <w:color w:val="0000ee"/>
            <w:sz w:val="24"/>
            <w:szCs w:val="24"/>
            <w:u w:val="single"/>
            <w:rtl w:val="0"/>
          </w:rPr>
          <w:t xml:space="preserve">https://news.tvbs.com.tw/money/2857291</w:t>
        </w:r>
      </w:hyperlink>
      <w:r w:rsidDel="00000000" w:rsidR="00000000" w:rsidRPr="00000000">
        <w:rPr>
          <w:rtl w:val="0"/>
        </w:rPr>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Macroeconomic and Foreign Exchange Policies of Major Trading Partners of the United States - Treasury, 檢索日期：5月 5, 2025， </w:t>
      </w:r>
      <w:hyperlink r:id="rId16">
        <w:r w:rsidDel="00000000" w:rsidR="00000000" w:rsidRPr="00000000">
          <w:rPr>
            <w:rFonts w:ascii="Google Sans" w:cs="Google Sans" w:eastAsia="Google Sans" w:hAnsi="Google Sans"/>
            <w:color w:val="0000ee"/>
            <w:sz w:val="24"/>
            <w:szCs w:val="24"/>
            <w:u w:val="single"/>
            <w:rtl w:val="0"/>
          </w:rPr>
          <w:t xml:space="preserve">https://home.treasury.gov/system/files/206/April_2021_FX_Report_FINAL.pdf</w:t>
        </w:r>
      </w:hyperlink>
      <w:r w:rsidDel="00000000" w:rsidR="00000000" w:rsidRPr="00000000">
        <w:rPr>
          <w:rtl w:val="0"/>
        </w:rPr>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Exchange Risk: A Comprehensive Guide - Kantox, 檢索日期：5月 5, 2025， </w:t>
      </w:r>
      <w:hyperlink r:id="rId17">
        <w:r w:rsidDel="00000000" w:rsidR="00000000" w:rsidRPr="00000000">
          <w:rPr>
            <w:rFonts w:ascii="Google Sans" w:cs="Google Sans" w:eastAsia="Google Sans" w:hAnsi="Google Sans"/>
            <w:color w:val="0000ee"/>
            <w:sz w:val="24"/>
            <w:szCs w:val="24"/>
            <w:u w:val="single"/>
            <w:rtl w:val="0"/>
          </w:rPr>
          <w:t xml:space="preserve">https://www.kantox.com/blog/foreign-exchange-risk-a-comprehensive-guide</w:t>
        </w:r>
      </w:hyperlink>
      <w:r w:rsidDel="00000000" w:rsidR="00000000" w:rsidRPr="00000000">
        <w:rPr>
          <w:rtl w:val="0"/>
        </w:rPr>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FX Risk Assessment | ATB Financial, 檢索日期：5月 5, 2025， </w:t>
      </w:r>
      <w:hyperlink r:id="rId18">
        <w:r w:rsidDel="00000000" w:rsidR="00000000" w:rsidRPr="00000000">
          <w:rPr>
            <w:rFonts w:ascii="Google Sans" w:cs="Google Sans" w:eastAsia="Google Sans" w:hAnsi="Google Sans"/>
            <w:color w:val="0000ee"/>
            <w:sz w:val="24"/>
            <w:szCs w:val="24"/>
            <w:u w:val="single"/>
            <w:rtl w:val="0"/>
          </w:rPr>
          <w:t xml:space="preserve">https://www.atb.com/commercial/good-advice/foreign-exchange-and-global-trade/fx-risk-assessment/</w:t>
        </w:r>
      </w:hyperlink>
      <w:r w:rsidDel="00000000" w:rsidR="00000000" w:rsidRPr="00000000">
        <w:rPr>
          <w:rtl w:val="0"/>
        </w:rPr>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Do Central Bank Interventions Influence Volatility - National Bureau of Economic Research, 檢索日期：5月 5, 2025， </w:t>
      </w:r>
      <w:hyperlink r:id="rId19">
        <w:r w:rsidDel="00000000" w:rsidR="00000000" w:rsidRPr="00000000">
          <w:rPr>
            <w:rFonts w:ascii="Google Sans" w:cs="Google Sans" w:eastAsia="Google Sans" w:hAnsi="Google Sans"/>
            <w:color w:val="0000ee"/>
            <w:sz w:val="24"/>
            <w:szCs w:val="24"/>
            <w:u w:val="single"/>
            <w:rtl w:val="0"/>
          </w:rPr>
          <w:t xml:space="preserve">https://www.nber.org/system/files/working_papers/w9875/w9875.pdf</w:t>
        </w:r>
      </w:hyperlink>
      <w:r w:rsidDel="00000000" w:rsidR="00000000" w:rsidRPr="00000000">
        <w:rPr>
          <w:rtl w:val="0"/>
        </w:rPr>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新台幣狂漲！金融時報揭「升值關鍵」：央行進退兩難 - 奇摩新聞, 檢索日期：5月 5, 2025， </w:t>
      </w:r>
      <w:hyperlink r:id="rId20">
        <w:r w:rsidDel="00000000" w:rsidR="00000000" w:rsidRPr="00000000">
          <w:rPr>
            <w:rFonts w:ascii="Google Sans" w:cs="Google Sans" w:eastAsia="Google Sans" w:hAnsi="Google Sans"/>
            <w:color w:val="0000ee"/>
            <w:sz w:val="24"/>
            <w:szCs w:val="24"/>
            <w:u w:val="single"/>
            <w:rtl w:val="0"/>
          </w:rPr>
          <w:t xml:space="preserve">https://tw.news.yahoo.com/%E6%96%B0%E5%8F%B0%E5%B9%A3%E7%8B%82%E6%BC%B2-%E9%87%91%E8%9E%8D%E6%99%82%E5%A0%B1%E6%8F%AD-%E5%8D%87%E5%80%BC%E9%97%9C%E9%8D%B5-%E5%A4%AE%E8%A1%8C%E9%80%B2%E9%80%80%E5%85%A9%E9%9B%A3-050400002.html</w:t>
        </w:r>
      </w:hyperlink>
      <w:r w:rsidDel="00000000" w:rsidR="00000000" w:rsidRPr="00000000">
        <w:rPr>
          <w:rtl w:val="0"/>
        </w:rPr>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台幣為何狂升？金融時報揭「關鍵原因」 央行恐進退維谷 - 奇摩新聞, 檢索日期：5月 5, 2025， </w:t>
      </w:r>
      <w:hyperlink r:id="rId21">
        <w:r w:rsidDel="00000000" w:rsidR="00000000" w:rsidRPr="00000000">
          <w:rPr>
            <w:rFonts w:ascii="Google Sans" w:cs="Google Sans" w:eastAsia="Google Sans" w:hAnsi="Google Sans"/>
            <w:color w:val="0000ee"/>
            <w:sz w:val="24"/>
            <w:szCs w:val="24"/>
            <w:u w:val="single"/>
            <w:rtl w:val="0"/>
          </w:rPr>
          <w:t xml:space="preserve">https://tw.news.yahoo.com/%E5%8F%B0%E5%B9%A3%E7%82%BA%E4%BD%95%E7%8B%82%E5%8D%87-%E9%87%91%E8%9E%8D%E6%99%82%E5%A0%B1%E6%8F%AD-%E9%97%9C%E9%8D%B5%E5%8E%9F%E5%9B%A0-%E5%A4%AE%E8%A1%8C%E6%81%90%E9%80%B2%E9%80%80%E7%B6%AD%E8%B0%B7-073743423.html</w:t>
        </w:r>
      </w:hyperlink>
      <w:r w:rsidDel="00000000" w:rsidR="00000000" w:rsidRPr="00000000">
        <w:rPr>
          <w:rtl w:val="0"/>
        </w:rPr>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FLOWS AND THEIR IMPLICATIONS FOR CENTRAL BANK POLICIES IN THE SEACEN COUNTRIES, 檢索日期：5月 5, 2025， </w:t>
      </w:r>
      <w:hyperlink r:id="rId22">
        <w:r w:rsidDel="00000000" w:rsidR="00000000" w:rsidRPr="00000000">
          <w:rPr>
            <w:rFonts w:ascii="Google Sans" w:cs="Google Sans" w:eastAsia="Google Sans" w:hAnsi="Google Sans"/>
            <w:color w:val="0000ee"/>
            <w:sz w:val="24"/>
            <w:szCs w:val="24"/>
            <w:u w:val="single"/>
            <w:rtl w:val="0"/>
          </w:rPr>
          <w:t xml:space="preserve">https://www.seacen.org/publications/RePEc/702001-100166-PDF.pdf</w:t>
        </w:r>
      </w:hyperlink>
      <w:r w:rsidDel="00000000" w:rsidR="00000000" w:rsidRPr="00000000">
        <w:rPr>
          <w:rtl w:val="0"/>
        </w:rPr>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Volatile International Capital Flows and Central Bank Actions - Linda S. Goldberg, 檢索日期：5月 5, 2025， </w:t>
      </w:r>
      <w:hyperlink r:id="rId23">
        <w:r w:rsidDel="00000000" w:rsidR="00000000" w:rsidRPr="00000000">
          <w:rPr>
            <w:rFonts w:ascii="Google Sans" w:cs="Google Sans" w:eastAsia="Google Sans" w:hAnsi="Google Sans"/>
            <w:color w:val="0000ee"/>
            <w:sz w:val="24"/>
            <w:szCs w:val="24"/>
            <w:u w:val="single"/>
            <w:rtl w:val="0"/>
          </w:rPr>
          <w:t xml:space="preserve">https://www.cemla.org/actividades/2021-final/2021-09-xvi-reunion-responsables-politica-monetaria/6_Linda%20Goldberg_CEMLAMPMKeynote09132021.pdf</w:t>
        </w:r>
      </w:hyperlink>
      <w:r w:rsidDel="00000000" w:rsidR="00000000" w:rsidRPr="00000000">
        <w:rPr>
          <w:rtl w:val="0"/>
        </w:rPr>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Forex Risk Management: Strategies &amp; Techniques - Currency Solutions, 檢索日期：5月 5, 2025， </w:t>
      </w:r>
      <w:hyperlink r:id="rId24">
        <w:r w:rsidDel="00000000" w:rsidR="00000000" w:rsidRPr="00000000">
          <w:rPr>
            <w:rFonts w:ascii="Google Sans" w:cs="Google Sans" w:eastAsia="Google Sans" w:hAnsi="Google Sans"/>
            <w:color w:val="0000ee"/>
            <w:sz w:val="24"/>
            <w:szCs w:val="24"/>
            <w:u w:val="single"/>
            <w:rtl w:val="0"/>
          </w:rPr>
          <w:t xml:space="preserve">https://www.currencysolutions.com/insights/effective-risk-management-strategies-forex-trading/</w:t>
        </w:r>
      </w:hyperlink>
      <w:r w:rsidDel="00000000" w:rsidR="00000000" w:rsidRPr="00000000">
        <w:rPr>
          <w:rtl w:val="0"/>
        </w:rPr>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the charts: Psychology &amp; risk in FX | Trading Knowledge | OANDA, 檢索日期：5月 5, 2025， </w:t>
      </w:r>
      <w:hyperlink r:id="rId25">
        <w:r w:rsidDel="00000000" w:rsidR="00000000" w:rsidRPr="00000000">
          <w:rPr>
            <w:rFonts w:ascii="Google Sans" w:cs="Google Sans" w:eastAsia="Google Sans" w:hAnsi="Google Sans"/>
            <w:color w:val="0000ee"/>
            <w:sz w:val="24"/>
            <w:szCs w:val="24"/>
            <w:u w:val="single"/>
            <w:rtl w:val="0"/>
          </w:rPr>
          <w:t xml:space="preserve">https://www.oanda.com/us-en/trade-tap-blog/trading-knowledge/beyond-the-charts-psychology-risk-in-fx/</w:t>
        </w:r>
      </w:hyperlink>
      <w:r w:rsidDel="00000000" w:rsidR="00000000" w:rsidRPr="00000000">
        <w:rPr>
          <w:rtl w:val="0"/>
        </w:rPr>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 types of Forex traders explained - which one suits you?, 檢索日期：5月 5, 2025， </w:t>
      </w:r>
      <w:hyperlink r:id="rId26">
        <w:r w:rsidDel="00000000" w:rsidR="00000000" w:rsidRPr="00000000">
          <w:rPr>
            <w:rFonts w:ascii="Google Sans" w:cs="Google Sans" w:eastAsia="Google Sans" w:hAnsi="Google Sans"/>
            <w:color w:val="0000ee"/>
            <w:sz w:val="24"/>
            <w:szCs w:val="24"/>
            <w:u w:val="single"/>
            <w:rtl w:val="0"/>
          </w:rPr>
          <w:t xml:space="preserve">https://www.axiory.com/trading-resources/trading-psychology/forex-trader-types</w:t>
        </w:r>
      </w:hyperlink>
      <w:r w:rsidDel="00000000" w:rsidR="00000000" w:rsidRPr="00000000">
        <w:rPr>
          <w:rtl w:val="0"/>
        </w:rPr>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Types of Forex Traders | Pepperstone, 檢索日期：5月 5, 2025， </w:t>
      </w:r>
      <w:hyperlink r:id="rId27">
        <w:r w:rsidDel="00000000" w:rsidR="00000000" w:rsidRPr="00000000">
          <w:rPr>
            <w:rFonts w:ascii="Google Sans" w:cs="Google Sans" w:eastAsia="Google Sans" w:hAnsi="Google Sans"/>
            <w:color w:val="0000ee"/>
            <w:sz w:val="24"/>
            <w:szCs w:val="24"/>
            <w:u w:val="single"/>
            <w:rtl w:val="0"/>
          </w:rPr>
          <w:t xml:space="preserve">https://pepperstone.com/en-eu/learn-to-trade/trading-guides/types-of-forex-traders/</w:t>
        </w:r>
      </w:hyperlink>
      <w:r w:rsidDel="00000000" w:rsidR="00000000" w:rsidRPr="00000000">
        <w:rPr>
          <w:rtl w:val="0"/>
        </w:rPr>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in Trading - Types of Trading Risk - FOREX.com US, 檢索日期：5月 5, 2025， </w:t>
      </w:r>
      <w:hyperlink r:id="rId28">
        <w:r w:rsidDel="00000000" w:rsidR="00000000" w:rsidRPr="00000000">
          <w:rPr>
            <w:rFonts w:ascii="Google Sans" w:cs="Google Sans" w:eastAsia="Google Sans" w:hAnsi="Google Sans"/>
            <w:color w:val="0000ee"/>
            <w:sz w:val="24"/>
            <w:szCs w:val="24"/>
            <w:u w:val="single"/>
            <w:rtl w:val="0"/>
          </w:rPr>
          <w:t xml:space="preserve">https://www.forex.com/en-us/trading-academy/courses/managing-risk/risk-management/</w:t>
        </w:r>
      </w:hyperlink>
      <w:r w:rsidDel="00000000" w:rsidR="00000000" w:rsidRPr="00000000">
        <w:rPr>
          <w:rtl w:val="0"/>
        </w:rPr>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Forex Risk Management Tools: A Comprehensive Guide - EXEC Capital Recruitment, 檢索日期：5月 5, 2025， </w:t>
      </w:r>
      <w:hyperlink r:id="rId29">
        <w:r w:rsidDel="00000000" w:rsidR="00000000" w:rsidRPr="00000000">
          <w:rPr>
            <w:rFonts w:ascii="Google Sans" w:cs="Google Sans" w:eastAsia="Google Sans" w:hAnsi="Google Sans"/>
            <w:color w:val="0000ee"/>
            <w:sz w:val="24"/>
            <w:szCs w:val="24"/>
            <w:u w:val="single"/>
            <w:rtl w:val="0"/>
          </w:rPr>
          <w:t xml:space="preserve">https://www.execcapital.co.uk/forex-risk-management-tools-a-comprehensive-guide/</w:t>
        </w:r>
      </w:hyperlink>
      <w:r w:rsidDel="00000000" w:rsidR="00000000" w:rsidRPr="00000000">
        <w:rPr>
          <w:rtl w:val="0"/>
        </w:rPr>
      </w:r>
    </w:p>
    <w:p w:rsidR="00000000" w:rsidDel="00000000" w:rsidP="00000000" w:rsidRDefault="00000000" w:rsidRPr="00000000" w14:paraId="000000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Exchange Rate Risk: Economic Exposure - Investopedia, 檢索日期：5月 5, 2025， </w:t>
      </w:r>
      <w:hyperlink r:id="rId30">
        <w:r w:rsidDel="00000000" w:rsidR="00000000" w:rsidRPr="00000000">
          <w:rPr>
            <w:rFonts w:ascii="Google Sans" w:cs="Google Sans" w:eastAsia="Google Sans" w:hAnsi="Google Sans"/>
            <w:color w:val="0000ee"/>
            <w:sz w:val="24"/>
            <w:szCs w:val="24"/>
            <w:u w:val="single"/>
            <w:rtl w:val="0"/>
          </w:rPr>
          <w:t xml:space="preserve">https://www.investopedia.com/articles/forex/021114/exchange-rate-risk-economic-exposure.asp</w:t>
        </w:r>
      </w:hyperlink>
      <w:r w:rsidDel="00000000" w:rsidR="00000000" w:rsidRPr="00000000">
        <w:rPr>
          <w:rtl w:val="0"/>
        </w:rPr>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小心匯率戰！新台幣升值趨勢是否已成形？ - 熱門話題- 理財網| LINE Bank, 檢索日期：5月 5, 2025， </w:t>
      </w:r>
      <w:hyperlink r:id="rId31">
        <w:r w:rsidDel="00000000" w:rsidR="00000000" w:rsidRPr="00000000">
          <w:rPr>
            <w:rFonts w:ascii="Google Sans" w:cs="Google Sans" w:eastAsia="Google Sans" w:hAnsi="Google Sans"/>
            <w:color w:val="0000ee"/>
            <w:sz w:val="24"/>
            <w:szCs w:val="24"/>
            <w:u w:val="single"/>
            <w:rtl w:val="0"/>
          </w:rPr>
          <w:t xml:space="preserve">https://www.linebank.com.tw/wealth-investment/topics/1242</w:t>
        </w:r>
      </w:hyperlink>
      <w:r w:rsidDel="00000000" w:rsidR="00000000" w:rsidRPr="00000000">
        <w:rPr>
          <w:rtl w:val="0"/>
        </w:rPr>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台幣匯價暴衝金融3業首季獲利成長轉衰退4、5月更嚴峻| 聯合新聞網, 檢索日期：5月 5, 2025， </w:t>
      </w:r>
      <w:hyperlink r:id="rId32">
        <w:r w:rsidDel="00000000" w:rsidR="00000000" w:rsidRPr="00000000">
          <w:rPr>
            <w:rFonts w:ascii="Google Sans" w:cs="Google Sans" w:eastAsia="Google Sans" w:hAnsi="Google Sans"/>
            <w:color w:val="0000ee"/>
            <w:sz w:val="24"/>
            <w:szCs w:val="24"/>
            <w:u w:val="single"/>
            <w:rtl w:val="0"/>
          </w:rPr>
          <w:t xml:space="preserve">https://udn.com/news/story/7239/8717158</w:t>
        </w:r>
      </w:hyperlink>
      <w:r w:rsidDel="00000000" w:rsidR="00000000" w:rsidRPr="00000000">
        <w:rPr>
          <w:rtl w:val="0"/>
        </w:rPr>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Forex Risk Management - Investopedia, 檢索日期：5月 5, 2025， </w:t>
      </w:r>
      <w:hyperlink r:id="rId33">
        <w:r w:rsidDel="00000000" w:rsidR="00000000" w:rsidRPr="00000000">
          <w:rPr>
            <w:rFonts w:ascii="Google Sans" w:cs="Google Sans" w:eastAsia="Google Sans" w:hAnsi="Google Sans"/>
            <w:color w:val="0000ee"/>
            <w:sz w:val="24"/>
            <w:szCs w:val="24"/>
            <w:u w:val="single"/>
            <w:rtl w:val="0"/>
          </w:rPr>
          <w:t xml:space="preserve">https://www.investopedia.com/articles/forex/10/forex-risk-management.asp</w:t>
        </w:r>
      </w:hyperlink>
      <w:r w:rsidDel="00000000" w:rsidR="00000000" w:rsidRPr="00000000">
        <w:rPr>
          <w:rtl w:val="0"/>
        </w:rPr>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Exchange Rate Risk Guide: A Simplified Look, 檢索日期：5月 5, 2025， </w:t>
      </w:r>
      <w:hyperlink r:id="rId34">
        <w:r w:rsidDel="00000000" w:rsidR="00000000" w:rsidRPr="00000000">
          <w:rPr>
            <w:rFonts w:ascii="Google Sans" w:cs="Google Sans" w:eastAsia="Google Sans" w:hAnsi="Google Sans"/>
            <w:color w:val="0000ee"/>
            <w:sz w:val="24"/>
            <w:szCs w:val="24"/>
            <w:u w:val="single"/>
            <w:rtl w:val="0"/>
          </w:rPr>
          <w:t xml:space="preserve">https://www.numberanalytics.com/blog/ultimate-exchange-rate-risk-guide</w:t>
        </w:r>
      </w:hyperlink>
      <w:r w:rsidDel="00000000" w:rsidR="00000000" w:rsidRPr="00000000">
        <w:rPr>
          <w:rtl w:val="0"/>
        </w:rPr>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mitigate exchange rate risk: a complete guide - Embat, 檢索日期：5月 5, 2025， </w:t>
      </w:r>
      <w:hyperlink r:id="rId35">
        <w:r w:rsidDel="00000000" w:rsidR="00000000" w:rsidRPr="00000000">
          <w:rPr>
            <w:rFonts w:ascii="Google Sans" w:cs="Google Sans" w:eastAsia="Google Sans" w:hAnsi="Google Sans"/>
            <w:color w:val="0000ee"/>
            <w:sz w:val="24"/>
            <w:szCs w:val="24"/>
            <w:u w:val="single"/>
            <w:rtl w:val="0"/>
          </w:rPr>
          <w:t xml:space="preserve">https://www.embat.io/en/blog/how-to-mitigate-exchange-rate-risk-a-complete-guide-</w:t>
        </w:r>
      </w:hyperlink>
      <w:r w:rsidDel="00000000" w:rsidR="00000000" w:rsidRPr="00000000">
        <w:rPr>
          <w:rtl w:val="0"/>
        </w:rPr>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 Risks: How to Measure Exchange Rate Risk - ExportPlanning, 檢索日期：5月 5, 2025， </w:t>
      </w:r>
      <w:hyperlink r:id="rId36">
        <w:r w:rsidDel="00000000" w:rsidR="00000000" w:rsidRPr="00000000">
          <w:rPr>
            <w:rFonts w:ascii="Google Sans" w:cs="Google Sans" w:eastAsia="Google Sans" w:hAnsi="Google Sans"/>
            <w:color w:val="0000ee"/>
            <w:sz w:val="24"/>
            <w:szCs w:val="24"/>
            <w:u w:val="single"/>
            <w:rtl w:val="0"/>
          </w:rPr>
          <w:t xml:space="preserve">https://www.exportplanning.com/en/magazine/article/2020/03/25/export-risks-how-to-measure-exchange-rate-risk/</w:t>
        </w:r>
      </w:hyperlink>
      <w:r w:rsidDel="00000000" w:rsidR="00000000" w:rsidRPr="00000000">
        <w:rPr>
          <w:rtl w:val="0"/>
        </w:rPr>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FX Risk Tool Brochure | Oxford Economics, 檢索日期：5月 5, 2025， </w:t>
      </w:r>
      <w:hyperlink r:id="rId37">
        <w:r w:rsidDel="00000000" w:rsidR="00000000" w:rsidRPr="00000000">
          <w:rPr>
            <w:rFonts w:ascii="Google Sans" w:cs="Google Sans" w:eastAsia="Google Sans" w:hAnsi="Google Sans"/>
            <w:color w:val="0000ee"/>
            <w:sz w:val="24"/>
            <w:szCs w:val="24"/>
            <w:u w:val="single"/>
            <w:rtl w:val="0"/>
          </w:rPr>
          <w:t xml:space="preserve">https://www.oxfordeconomics.com/resource/fx-risk-tool-brochure/</w:t>
        </w:r>
      </w:hyperlink>
      <w:r w:rsidDel="00000000" w:rsidR="00000000" w:rsidRPr="00000000">
        <w:rPr>
          <w:rtl w:val="0"/>
        </w:rPr>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Forex Risk Management Tool - Takeprofit Tech, 檢索日期：5月 5, 2025， </w:t>
      </w:r>
      <w:hyperlink r:id="rId38">
        <w:r w:rsidDel="00000000" w:rsidR="00000000" w:rsidRPr="00000000">
          <w:rPr>
            <w:rFonts w:ascii="Google Sans" w:cs="Google Sans" w:eastAsia="Google Sans" w:hAnsi="Google Sans"/>
            <w:color w:val="0000ee"/>
            <w:sz w:val="24"/>
            <w:szCs w:val="24"/>
            <w:u w:val="single"/>
            <w:rtl w:val="0"/>
          </w:rPr>
          <w:t xml:space="preserve">https://takeprofittech.com/glossary/forex-risk-management-tool/</w:t>
        </w:r>
      </w:hyperlink>
      <w:r w:rsidDel="00000000" w:rsidR="00000000" w:rsidRPr="00000000">
        <w:rPr>
          <w:rtl w:val="0"/>
        </w:rPr>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Essential Forex Risk Management Tools for Traders | MarketBulls, 檢索日期：5月 5, 2025， </w:t>
      </w:r>
      <w:hyperlink r:id="rId39">
        <w:r w:rsidDel="00000000" w:rsidR="00000000" w:rsidRPr="00000000">
          <w:rPr>
            <w:rFonts w:ascii="Google Sans" w:cs="Google Sans" w:eastAsia="Google Sans" w:hAnsi="Google Sans"/>
            <w:color w:val="0000ee"/>
            <w:sz w:val="24"/>
            <w:szCs w:val="24"/>
            <w:u w:val="single"/>
            <w:rtl w:val="0"/>
          </w:rPr>
          <w:t xml:space="preserve">https://market-bulls.com/forex-risk-management-tools/</w:t>
        </w:r>
      </w:hyperlink>
      <w:r w:rsidDel="00000000" w:rsidR="00000000" w:rsidRPr="00000000">
        <w:rPr>
          <w:rtl w:val="0"/>
        </w:rPr>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Techniques for Active Traders - Investopedia, 檢索日期：5月 5, 2025， </w:t>
      </w:r>
      <w:hyperlink r:id="rId40">
        <w:r w:rsidDel="00000000" w:rsidR="00000000" w:rsidRPr="00000000">
          <w:rPr>
            <w:rFonts w:ascii="Google Sans" w:cs="Google Sans" w:eastAsia="Google Sans" w:hAnsi="Google Sans"/>
            <w:color w:val="0000ee"/>
            <w:sz w:val="24"/>
            <w:szCs w:val="24"/>
            <w:u w:val="single"/>
            <w:rtl w:val="0"/>
          </w:rPr>
          <w:t xml:space="preserve">https://www.investopedia.com/articles/trading/09/risk-management.asp</w:t>
        </w:r>
      </w:hyperlink>
      <w:r w:rsidDel="00000000" w:rsidR="00000000" w:rsidRPr="00000000">
        <w:rPr>
          <w:rtl w:val="0"/>
        </w:rPr>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when Trading: Tools and Techniques - tastyfx, 檢索日期：5月 5, 2025， </w:t>
      </w:r>
      <w:hyperlink r:id="rId41">
        <w:r w:rsidDel="00000000" w:rsidR="00000000" w:rsidRPr="00000000">
          <w:rPr>
            <w:rFonts w:ascii="Google Sans" w:cs="Google Sans" w:eastAsia="Google Sans" w:hAnsi="Google Sans"/>
            <w:color w:val="0000ee"/>
            <w:sz w:val="24"/>
            <w:szCs w:val="24"/>
            <w:u w:val="single"/>
            <w:rtl w:val="0"/>
          </w:rPr>
          <w:t xml:space="preserve">https://www.tastyfx.com/learn/risk-management/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vestopedia.com/articles/trading/09/risk-management.asp" TargetMode="External"/><Relationship Id="rId20" Type="http://schemas.openxmlformats.org/officeDocument/2006/relationships/hyperlink" Target="https://tw.news.yahoo.com/%E6%96%B0%E5%8F%B0%E5%B9%A3%E7%8B%82%E6%BC%B2-%E9%87%91%E8%9E%8D%E6%99%82%E5%A0%B1%E6%8F%AD-%E5%8D%87%E5%80%BC%E9%97%9C%E9%8D%B5-%E5%A4%AE%E8%A1%8C%E9%80%B2%E9%80%80%E5%85%A9%E9%9B%A3-050400002.html" TargetMode="External"/><Relationship Id="rId41" Type="http://schemas.openxmlformats.org/officeDocument/2006/relationships/hyperlink" Target="https://www.tastyfx.com/learn/risk-management/" TargetMode="External"/><Relationship Id="rId22" Type="http://schemas.openxmlformats.org/officeDocument/2006/relationships/hyperlink" Target="https://www.seacen.org/publications/RePEc/702001-100166-PDF.pdf" TargetMode="External"/><Relationship Id="rId21" Type="http://schemas.openxmlformats.org/officeDocument/2006/relationships/hyperlink" Target="https://tw.news.yahoo.com/%E5%8F%B0%E5%B9%A3%E7%82%BA%E4%BD%95%E7%8B%82%E5%8D%87-%E9%87%91%E8%9E%8D%E6%99%82%E5%A0%B1%E6%8F%AD-%E9%97%9C%E9%8D%B5%E5%8E%9F%E5%9B%A0-%E5%A4%AE%E8%A1%8C%E6%81%90%E9%80%B2%E9%80%80%E7%B6%AD%E8%B0%B7-073743423.html" TargetMode="External"/><Relationship Id="rId24" Type="http://schemas.openxmlformats.org/officeDocument/2006/relationships/hyperlink" Target="https://www.currencysolutions.com/insights/effective-risk-management-strategies-forex-trading/" TargetMode="External"/><Relationship Id="rId23" Type="http://schemas.openxmlformats.org/officeDocument/2006/relationships/hyperlink" Target="https://www.cemla.org/actividades/2021-final/2021-09-xvi-reunion-responsables-politica-monetaria/6_Linda%20Goldberg_CEMLAMPMKeynote0913202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ocus.cc/article/6814e3f9fd89780001035ee4" TargetMode="External"/><Relationship Id="rId26" Type="http://schemas.openxmlformats.org/officeDocument/2006/relationships/hyperlink" Target="https://www.axiory.com/trading-resources/trading-psychology/forex-trader-types" TargetMode="External"/><Relationship Id="rId25" Type="http://schemas.openxmlformats.org/officeDocument/2006/relationships/hyperlink" Target="https://www.oanda.com/us-en/trade-tap-blog/trading-knowledge/beyond-the-charts-psychology-risk-in-fx/" TargetMode="External"/><Relationship Id="rId28" Type="http://schemas.openxmlformats.org/officeDocument/2006/relationships/hyperlink" Target="https://www.forex.com/en-us/trading-academy/courses/managing-risk/risk-management/" TargetMode="External"/><Relationship Id="rId27" Type="http://schemas.openxmlformats.org/officeDocument/2006/relationships/hyperlink" Target="https://pepperstone.com/en-eu/learn-to-trade/trading-guides/types-of-forex-traders/" TargetMode="External"/><Relationship Id="rId5" Type="http://schemas.openxmlformats.org/officeDocument/2006/relationships/styles" Target="styles.xml"/><Relationship Id="rId6" Type="http://schemas.openxmlformats.org/officeDocument/2006/relationships/hyperlink" Target="https://today.line.me/tw/v2/article/0MExVWP" TargetMode="External"/><Relationship Id="rId29" Type="http://schemas.openxmlformats.org/officeDocument/2006/relationships/hyperlink" Target="https://www.execcapital.co.uk/forex-risk-management-tools-a-comprehensive-guide/" TargetMode="External"/><Relationship Id="rId7" Type="http://schemas.openxmlformats.org/officeDocument/2006/relationships/hyperlink" Target="https://www.cbc.gov.tw/tw/cp-302-181285-2250c-1.html" TargetMode="External"/><Relationship Id="rId8" Type="http://schemas.openxmlformats.org/officeDocument/2006/relationships/hyperlink" Target="https://www.elibrary.imf.org/downloadpdf/display/book/9798400211263/CH005.pdf" TargetMode="External"/><Relationship Id="rId31" Type="http://schemas.openxmlformats.org/officeDocument/2006/relationships/hyperlink" Target="https://www.linebank.com.tw/wealth-investment/topics/1242" TargetMode="External"/><Relationship Id="rId30" Type="http://schemas.openxmlformats.org/officeDocument/2006/relationships/hyperlink" Target="https://www.investopedia.com/articles/forex/021114/exchange-rate-risk-economic-exposure.asp" TargetMode="External"/><Relationship Id="rId11" Type="http://schemas.openxmlformats.org/officeDocument/2006/relationships/hyperlink" Target="https://www.elibrary.imf.org/downloadpdf/journals/087/2019/015/article-A001-en.pdf" TargetMode="External"/><Relationship Id="rId33" Type="http://schemas.openxmlformats.org/officeDocument/2006/relationships/hyperlink" Target="https://www.investopedia.com/articles/forex/10/forex-risk-management.asp" TargetMode="External"/><Relationship Id="rId10" Type="http://schemas.openxmlformats.org/officeDocument/2006/relationships/hyperlink" Target="https://tw.stock.yahoo.com/news/%E5%8C%AF%E7%8E%87%E6%9A%B4%E6%BC%B28-7%E8%A7%92-%E5%A4%AE%E8%A1%8C%E8%81%B2%E6%98%8E%E5%A4%B1%E9%9D%88-%E9%80%99%E5%85%A9%E5%A4%A7%E7%94%A2%E6%A5%AD%E6%81%90%E5%8F%97%E8%A1%9D%E6%93%8A-130500572.html" TargetMode="External"/><Relationship Id="rId32" Type="http://schemas.openxmlformats.org/officeDocument/2006/relationships/hyperlink" Target="https://udn.com/news/story/7239/8717158" TargetMode="External"/><Relationship Id="rId13" Type="http://schemas.openxmlformats.org/officeDocument/2006/relationships/hyperlink" Target="https://www.oanda.com/bvi-ft/lab-education/forex/ntd_revaluation_devaluation/" TargetMode="External"/><Relationship Id="rId35" Type="http://schemas.openxmlformats.org/officeDocument/2006/relationships/hyperlink" Target="https://www.embat.io/en/blog/how-to-mitigate-exchange-rate-risk-a-complete-guide-" TargetMode="External"/><Relationship Id="rId12" Type="http://schemas.openxmlformats.org/officeDocument/2006/relationships/hyperlink" Target="https://www.cbc.gov.tw/tw/public/Attachment/281317134771.pdf" TargetMode="External"/><Relationship Id="rId34" Type="http://schemas.openxmlformats.org/officeDocument/2006/relationships/hyperlink" Target="https://www.numberanalytics.com/blog/ultimate-exchange-rate-risk-guide" TargetMode="External"/><Relationship Id="rId15" Type="http://schemas.openxmlformats.org/officeDocument/2006/relationships/hyperlink" Target="https://news.tvbs.com.tw/money/2857291" TargetMode="External"/><Relationship Id="rId37" Type="http://schemas.openxmlformats.org/officeDocument/2006/relationships/hyperlink" Target="https://www.oxfordeconomics.com/resource/fx-risk-tool-brochure/" TargetMode="External"/><Relationship Id="rId14" Type="http://schemas.openxmlformats.org/officeDocument/2006/relationships/hyperlink" Target="https://www.rti.org.tw/news/view/id/2248251" TargetMode="External"/><Relationship Id="rId36" Type="http://schemas.openxmlformats.org/officeDocument/2006/relationships/hyperlink" Target="https://www.exportplanning.com/en/magazine/article/2020/03/25/export-risks-how-to-measure-exchange-rate-risk/" TargetMode="External"/><Relationship Id="rId17" Type="http://schemas.openxmlformats.org/officeDocument/2006/relationships/hyperlink" Target="https://www.kantox.com/blog/foreign-exchange-risk-a-comprehensive-guide" TargetMode="External"/><Relationship Id="rId39" Type="http://schemas.openxmlformats.org/officeDocument/2006/relationships/hyperlink" Target="https://market-bulls.com/forex-risk-management-tools/" TargetMode="External"/><Relationship Id="rId16" Type="http://schemas.openxmlformats.org/officeDocument/2006/relationships/hyperlink" Target="https://home.treasury.gov/system/files/206/April_2021_FX_Report_FINAL.pdf" TargetMode="External"/><Relationship Id="rId38" Type="http://schemas.openxmlformats.org/officeDocument/2006/relationships/hyperlink" Target="https://takeprofittech.com/glossary/forex-risk-management-tool/" TargetMode="External"/><Relationship Id="rId19" Type="http://schemas.openxmlformats.org/officeDocument/2006/relationships/hyperlink" Target="https://www.nber.org/system/files/working_papers/w9875/w9875.pdf" TargetMode="External"/><Relationship Id="rId18" Type="http://schemas.openxmlformats.org/officeDocument/2006/relationships/hyperlink" Target="https://www.atb.com/commercial/good-advice/foreign-exchange-and-global-trade/fx-risk-assess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