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b1c1d"/>
          <w:sz w:val="40"/>
          <w:szCs w:val="40"/>
        </w:rPr>
      </w:pPr>
      <w:r w:rsidDel="00000000" w:rsidR="00000000" w:rsidRPr="00000000">
        <w:rPr>
          <w:rFonts w:ascii="Google Sans" w:cs="Google Sans" w:eastAsia="Google Sans" w:hAnsi="Google Sans"/>
          <w:b w:val="1"/>
          <w:bCs w:val="1"/>
          <w:i w:val="0"/>
          <w:iCs w:val="0"/>
          <w:color w:val="1b1c1d"/>
          <w:sz w:val="40"/>
          <w:szCs w:val="40"/>
          <w:rtl w:val="0"/>
        </w:rPr>
        <w:t xml:space="preserve">新台幣/美元匯率風險位階定義與判斷邏輯框架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 緒論</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目的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報告旨在闡述建立一個結構化框架，用以評估與管理新台幣/美元（TWD/USD）外匯（FX）風險的關鍵必要性。外匯市場的波動性對企業的營運績效，包括獲利能力、現金流量及市場競爭力，可能產生顯著影響，特別是對於那些具有TWD/USD曝險的經濟實體而言 1。因此，超越臨時性或純粹質化的風險評估方式，採用一個系統化、量化的風險位階框架至關重要。</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背景</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新台幣/美元匯率具有其獨特性（例如，可能存在的管理浮動機制、高度貿易依存度等），這使得通用的風險評估工具可能無法完全捕捉其特定的風險動態。因此，需要一個量身定制的風險評估方法，以更精確地反映此貨幣對的風險狀況。</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目標</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本報告的核心目標是：</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36"/>
          <w:szCs w:val="36"/>
          <w:rtl w:val="0"/>
        </w:rPr>
        <w:t xml:space="preserve">明確定義TWD/USD外匯風險的不同等級（“位階”）。</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36"/>
          <w:szCs w:val="36"/>
          <w:rtl w:val="0"/>
        </w:rPr>
        <w:t xml:space="preserve">提出並比較至少兩種判斷當前風險位階的方法論（基於規則的評分卡與基於模型的系統）。</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36"/>
          <w:szCs w:val="36"/>
          <w:rtl w:val="0"/>
        </w:rPr>
        <w:t xml:space="preserve">探討在綜合評估中，如何決定各項指標的權重。</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i w:val="0"/>
          <w:iCs w:val="0"/>
          <w:color w:val="1b1c1d"/>
          <w:sz w:val="36"/>
          <w:szCs w:val="36"/>
          <w:rtl w:val="0"/>
        </w:rPr>
        <w:t xml:space="preserve">釐清此風險評估框架所側重的時間維度（短期 vs. 中長期），並討論如何區分或整合。</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範疇</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此框架的建立基於一系列量化指標（假定已在前續步驟，即提示詞2.1與2.2中定義與量化）。本報告聚焦於如何將這些指標整合，以進行風險位階的判斷，並探討相關的方法論議題。</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結構</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報告將依序探討：風險位階的定義與劃分、兩種主要的風險位階判斷方法論（評分卡與模型法）及其比較、指標權重的決定方式，以及風險評估的時間維度考量。最後，將提出結論與建議。</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建立一個正式的風險位階框架，能為組織內部不同部門或利害關係人之間，提供一套標準化的風險溝通語言和客觀的決策基礎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。不同的團隊（如交易、財務、策略部門）可能對風險有不同的解讀。一個共同的框架確保所有人對於特定貨幣對（如TWD/USD）的「高風險」狀態有著一致的理解，從而促進協調一致的應對措施與資源分配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。這與多種風險管理實務中對結構化方法的需求相符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II. 定義新台幣/美元外匯風險位階（位階）</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分類的理據</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將風險劃分為離散的等級有多重效益。首先，它能簡化複雜的市場資訊，將多維度的指標數據轉化為易於理解的風險程度判斷。其次，明確的風險位階有助於設定決策閾值，例如在達到特定風險級別時觸發預定的應對行動或調整風險限額。再者，風險分級常與內部風險管理政策或外部監管要求相符 13。金融市場普遍採用此類分級方法來評估投資風險 13。</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建議框架（五級制）</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考量到在外匯市場動態中捕捉足夠的細微差異，同時避免過度複雜化，本報告建議採用一個五級的風險分類系統：極低風險 (Very Low Risk)、低風險 (Low Risk)、中度風險 (Medium Risk)、高風險 (High Risk) 與 極高風險 (Very High Risk)。此五級制在提供比簡單三級制（低、中、高）更豐富的資訊量的同時，相較於某些更細分的七級制（如基金評級中的SRRI 13），在實務操作上可能更為簡便。這種粒度在其他風險矩陣應用中亦屬常見 14。</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各風險位階的特徵描述</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每個風險位階應對應特定的市場狀況、指標行為模式及潛在的商業影響。</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位階 1：極低風險 (Very Low Risk)</w:t>
      </w:r>
    </w:p>
    <w:p w:rsidR="00000000" w:rsidDel="00000000" w:rsidP="00000000" w:rsidRDefault="00000000" w:rsidRPr="00000000" w14:paraId="0000001A">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市場狀況：</w:t>
      </w:r>
      <w:r w:rsidDel="00000000" w:rsidR="00000000" w:rsidRPr="00000000">
        <w:rPr>
          <w:rFonts w:ascii="Google Sans Text" w:cs="Google Sans Text" w:eastAsia="Google Sans Text" w:hAnsi="Google Sans Text"/>
          <w:i w:val="0"/>
          <w:iCs w:val="0"/>
          <w:color w:val="1b1c1d"/>
          <w:sz w:val="36"/>
          <w:szCs w:val="36"/>
          <w:rtl w:val="0"/>
        </w:rPr>
        <w:t xml:space="preserve"> 市場極度穩定，歷史波動率與隱含波動率均處於低位。各項監控指標皆在正常範圍內波動。影響TWD/USD匯率的地緣政治或重大經濟事件風險極低。</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潛在影響：</w:t>
      </w:r>
      <w:r w:rsidDel="00000000" w:rsidR="00000000" w:rsidRPr="00000000">
        <w:rPr>
          <w:rFonts w:ascii="Google Sans Text" w:cs="Google Sans Text" w:eastAsia="Google Sans Text" w:hAnsi="Google Sans Text"/>
          <w:i w:val="0"/>
          <w:iCs w:val="0"/>
          <w:color w:val="1b1c1d"/>
          <w:sz w:val="36"/>
          <w:szCs w:val="36"/>
          <w:rtl w:val="0"/>
        </w:rPr>
        <w:t xml:space="preserve"> 外匯波動對企業營運或財務表現的非預期影響微乎其微。可能僅需最低程度的避險措施。</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位階 2：低風險 (Low Risk)</w:t>
      </w:r>
    </w:p>
    <w:p w:rsidR="00000000" w:rsidDel="00000000" w:rsidP="00000000" w:rsidRDefault="00000000" w:rsidRPr="00000000" w14:paraId="0000001D">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市場狀況：</w:t>
      </w:r>
      <w:r w:rsidDel="00000000" w:rsidR="00000000" w:rsidRPr="00000000">
        <w:rPr>
          <w:rFonts w:ascii="Google Sans Text" w:cs="Google Sans Text" w:eastAsia="Google Sans Text" w:hAnsi="Google Sans Text"/>
          <w:i w:val="0"/>
          <w:iCs w:val="0"/>
          <w:color w:val="1b1c1d"/>
          <w:sz w:val="36"/>
          <w:szCs w:val="36"/>
          <w:rtl w:val="0"/>
        </w:rPr>
        <w:t xml:space="preserve"> 市場總體穩定，偶有小幅波動，但波動率仍受控制。多數指標處於正常區間，僅有輕微的事件風險需要監控。</w:t>
      </w:r>
    </w:p>
    <w:p w:rsidR="00000000" w:rsidDel="00000000" w:rsidP="00000000" w:rsidRDefault="00000000" w:rsidRPr="00000000" w14:paraId="0000001E">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潛在影響：</w:t>
      </w:r>
      <w:r w:rsidDel="00000000" w:rsidR="00000000" w:rsidRPr="00000000">
        <w:rPr>
          <w:rFonts w:ascii="Google Sans Text" w:cs="Google Sans Text" w:eastAsia="Google Sans Text" w:hAnsi="Google Sans Text"/>
          <w:i w:val="0"/>
          <w:iCs w:val="0"/>
          <w:color w:val="1b1c1d"/>
          <w:sz w:val="36"/>
          <w:szCs w:val="36"/>
          <w:rtl w:val="0"/>
        </w:rPr>
        <w:t xml:space="preserve"> 可能出現小型、可控的外匯波動。常規的避險策略應足以應對。</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位階 3：中度風險 (Medium Risk)</w:t>
      </w:r>
    </w:p>
    <w:p w:rsidR="00000000" w:rsidDel="00000000" w:rsidP="00000000" w:rsidRDefault="00000000" w:rsidRPr="00000000" w14:paraId="00000020">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市場狀況：</w:t>
      </w:r>
      <w:r w:rsidDel="00000000" w:rsidR="00000000" w:rsidRPr="00000000">
        <w:rPr>
          <w:rFonts w:ascii="Google Sans Text" w:cs="Google Sans Text" w:eastAsia="Google Sans Text" w:hAnsi="Google Sans Text"/>
          <w:i w:val="0"/>
          <w:iCs w:val="0"/>
          <w:color w:val="1b1c1d"/>
          <w:sz w:val="36"/>
          <w:szCs w:val="36"/>
          <w:rtl w:val="0"/>
        </w:rPr>
        <w:t xml:space="preserve"> 市場不確定性增加，波動率（歷史與隱含）上升。部分關鍵指標可能接近警示閾值。市場對影響TWD/USD的因素（如利率決策、貿易數據）關注度提高，存在由事件驅動的中等幅度波動的可能性。</w:t>
      </w:r>
    </w:p>
    <w:p w:rsidR="00000000" w:rsidDel="00000000" w:rsidP="00000000" w:rsidRDefault="00000000" w:rsidRPr="00000000" w14:paraId="00000021">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潛在影響：</w:t>
      </w:r>
      <w:r w:rsidDel="00000000" w:rsidR="00000000" w:rsidRPr="00000000">
        <w:rPr>
          <w:rFonts w:ascii="Google Sans Text" w:cs="Google Sans Text" w:eastAsia="Google Sans Text" w:hAnsi="Google Sans Text"/>
          <w:i w:val="0"/>
          <w:iCs w:val="0"/>
          <w:color w:val="1b1c1d"/>
          <w:sz w:val="36"/>
          <w:szCs w:val="36"/>
          <w:rtl w:val="0"/>
        </w:rPr>
        <w:t xml:space="preserve"> 可能對財務結果產生可見的外匯影響，需要積極監控市場動態，並可能需要調整避險策略。此等級對應於一般風險評估中的中度風險類別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位階 4：高風險 (High Risk)</w:t>
      </w:r>
    </w:p>
    <w:p w:rsidR="00000000" w:rsidDel="00000000" w:rsidP="00000000" w:rsidRDefault="00000000" w:rsidRPr="00000000" w14:paraId="00000023">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市場狀況：</w:t>
      </w:r>
      <w:r w:rsidDel="00000000" w:rsidR="00000000" w:rsidRPr="00000000">
        <w:rPr>
          <w:rFonts w:ascii="Google Sans Text" w:cs="Google Sans Text" w:eastAsia="Google Sans Text" w:hAnsi="Google Sans Text"/>
          <w:i w:val="0"/>
          <w:iCs w:val="0"/>
          <w:color w:val="1b1c1d"/>
          <w:sz w:val="36"/>
          <w:szCs w:val="36"/>
          <w:rtl w:val="0"/>
        </w:rPr>
        <w:t xml:space="preserve"> 市場呈現顯著波動，關鍵指標突破預設閾值。匯率對新聞或事件反應敏感度劇增，可能出現劇烈且非預期的變動。可能存在市場壓力跡象或影響TWD/USD的結構性轉變。</w:t>
      </w:r>
    </w:p>
    <w:p w:rsidR="00000000" w:rsidDel="00000000" w:rsidP="00000000" w:rsidRDefault="00000000" w:rsidRPr="00000000" w14:paraId="00000024">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潛在影響：</w:t>
      </w:r>
      <w:r w:rsidDel="00000000" w:rsidR="00000000" w:rsidRPr="00000000">
        <w:rPr>
          <w:rFonts w:ascii="Google Sans Text" w:cs="Google Sans Text" w:eastAsia="Google Sans Text" w:hAnsi="Google Sans Text"/>
          <w:i w:val="0"/>
          <w:iCs w:val="0"/>
          <w:color w:val="1b1c1d"/>
          <w:sz w:val="36"/>
          <w:szCs w:val="36"/>
          <w:rtl w:val="0"/>
        </w:rPr>
        <w:t xml:space="preserve"> 存在因外匯不利變動而導致重大財務損失的風險，需要採取主動的風險緩解措施，可能涉及更複雜的避險工具或策略。此等級對應於一般風險評級中的高風險類別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位階 5：極高風險 (Very High Risk)</w:t>
      </w:r>
    </w:p>
    <w:p w:rsidR="00000000" w:rsidDel="00000000" w:rsidP="00000000" w:rsidRDefault="00000000" w:rsidRPr="00000000" w14:paraId="00000026">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市場狀況：</w:t>
      </w:r>
      <w:r w:rsidDel="00000000" w:rsidR="00000000" w:rsidRPr="00000000">
        <w:rPr>
          <w:rFonts w:ascii="Google Sans Text" w:cs="Google Sans Text" w:eastAsia="Google Sans Text" w:hAnsi="Google Sans Text"/>
          <w:i w:val="0"/>
          <w:iCs w:val="0"/>
          <w:color w:val="1b1c1d"/>
          <w:sz w:val="36"/>
          <w:szCs w:val="36"/>
          <w:rtl w:val="0"/>
        </w:rPr>
        <w:t xml:space="preserve"> 市場處於極端波動狀態，多個核心指標達到臨界水平。可能出現直接衝擊TWD/USD匯率的危機狀況（如金融危機、重大政治動盪、嚴重經濟衰退）。市場可能出現功能失調或顯著的機制轉換（Regime Shift）。</w:t>
      </w:r>
    </w:p>
    <w:p w:rsidR="00000000" w:rsidDel="00000000" w:rsidP="00000000" w:rsidRDefault="00000000" w:rsidRPr="00000000" w14:paraId="00000027">
      <w:pPr>
        <w:numPr>
          <w:ilvl w:val="1"/>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潛在影響：</w:t>
      </w:r>
      <w:r w:rsidDel="00000000" w:rsidR="00000000" w:rsidRPr="00000000">
        <w:rPr>
          <w:rFonts w:ascii="Google Sans Text" w:cs="Google Sans Text" w:eastAsia="Google Sans Text" w:hAnsi="Google Sans Text"/>
          <w:i w:val="0"/>
          <w:iCs w:val="0"/>
          <w:color w:val="1b1c1d"/>
          <w:sz w:val="36"/>
          <w:szCs w:val="36"/>
          <w:rtl w:val="0"/>
        </w:rPr>
        <w:t xml:space="preserve"> 因匯率劇烈變動導致嚴重財務損失或營運中斷的風險極高。可能需要啟動應急預案，甚至考慮降低整體曝險部位。此等級對應於風險評級中的極高風險類別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風險位階的定義應明確整合</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回顧性</w:t>
      </w:r>
      <w:r w:rsidDel="00000000" w:rsidR="00000000" w:rsidRPr="00000000">
        <w:rPr>
          <w:rFonts w:ascii="Google Sans Text" w:cs="Google Sans Text" w:eastAsia="Google Sans Text" w:hAnsi="Google Sans Text"/>
          <w:i w:val="0"/>
          <w:iCs w:val="0"/>
          <w:color w:val="1b1c1d"/>
          <w:sz w:val="36"/>
          <w:szCs w:val="36"/>
          <w:rtl w:val="0"/>
        </w:rPr>
        <w:t xml:space="preserve">（例如歷史波動率、過去指標表現）與</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前瞻性</w:t>
      </w:r>
      <w:r w:rsidDel="00000000" w:rsidR="00000000" w:rsidRPr="00000000">
        <w:rPr>
          <w:rFonts w:ascii="Google Sans Text" w:cs="Google Sans Text" w:eastAsia="Google Sans Text" w:hAnsi="Google Sans Text"/>
          <w:i w:val="0"/>
          <w:iCs w:val="0"/>
          <w:color w:val="1b1c1d"/>
          <w:sz w:val="36"/>
          <w:szCs w:val="36"/>
          <w:rtl w:val="0"/>
        </w:rPr>
        <w:t xml:space="preserve">（例如隱含波動率、事件風險評估、模型預測）的元素，以提供全面的評估。單純依賴歷史數據可能無法捕捉到新興風險或市場預期的轉變，而這些轉變往往體現在隱含波動率或模型預測等前瞻性指標中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36"/>
          <w:szCs w:val="36"/>
          <w:rtl w:val="0"/>
        </w:rPr>
        <w:t xml:space="preserve">。歐洲央行（ECB）的監管審查與評估流程（SREP）方法學亦強調結合不同時間維度的指標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36"/>
          <w:szCs w:val="36"/>
          <w:rtl w:val="0"/>
        </w:rPr>
        <w:t xml:space="preserve">，這種整合有助於創建一個更穩健且及時的風險信號。</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表 1：新台幣/美元外匯風險位階定義</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風險位階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位階名稱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主要市場特徵 (波動率、指標行為、事件風險)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潛在商業影響</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極低風險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市場穩定；波動率低；指標正常；事件風險極低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影響極小；最低程度避險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整體穩定；波動率略升但受控；多數指標正常；需監控輕微事件風險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小型、可控的波動；常規避險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中度風險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不確定性增；波動率上升；部分指標近閾值；中等事件風險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可見的影響；需積極監控、可能調整避險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顯著波動；關鍵指標破閾值；對事件敏感；可能劇烈變動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重大損失風險；需主動緩解、複雜避險</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極高風險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極端波動；多指標達臨界；危機狀況；市場可能失調</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嚴重損失/營運中斷風險；需應急預案、降低曝險</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此表格提供了一個清晰、標準化的參考框架，將抽象的風險位階與具體的TWD/USD市場狀況及潛在後果聯繫起來。這對於確保組織內部對風險程度有一致的理解、促進有效溝通，以及根據評估出的風險位階觸發預定義的行動至關重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III. 風險位階判斷方法論</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導言</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為了將多個量化指標的信號轉化為單一的風險位階評估，需要建立系統化的方法。目標是實現客觀且可重複的評估過程 8。本節將探討兩種主要的方法論：基於規則的評分卡（Rule-Based Scorecard）與基於模型的系統（Model-Based Systems）。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A. 基於規則的評分卡方法</w:t>
      </w:r>
    </w:p>
    <w:p w:rsidR="00000000" w:rsidDel="00000000" w:rsidP="00000000" w:rsidRDefault="00000000" w:rsidRPr="00000000" w14:paraId="00000047">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方法論概述：</w:t>
      </w:r>
      <w:r w:rsidDel="00000000" w:rsidR="00000000" w:rsidRPr="00000000">
        <w:rPr>
          <w:rFonts w:ascii="Google Sans Text" w:cs="Google Sans Text" w:eastAsia="Google Sans Text" w:hAnsi="Google Sans Text"/>
          <w:i w:val="0"/>
          <w:iCs w:val="0"/>
          <w:color w:val="1b1c1d"/>
          <w:sz w:val="36"/>
          <w:szCs w:val="36"/>
          <w:rtl w:val="0"/>
        </w:rPr>
        <w:t xml:space="preserve"> 此方法的核心流程包含：(1) 選定關鍵風險指標；(2) 為每個指標定義觸發閾值或數值區間；(3) 根據指標當前值是否觸及閾值或落入特定區間來賦予分數；(4) 可選擇性地為不同指標賦予權重（詳見第四節）；(5) 加總（加權）分數；(6) 將最終總分映射到預先定義的五個風險位階之一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4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設計原則：</w:t>
      </w:r>
      <w:r w:rsidDel="00000000" w:rsidR="00000000" w:rsidRPr="00000000">
        <w:rPr>
          <w:rFonts w:ascii="Google Sans Text" w:cs="Google Sans Text" w:eastAsia="Google Sans Text" w:hAnsi="Google Sans Text"/>
          <w:i w:val="0"/>
          <w:iCs w:val="0"/>
          <w:color w:val="1b1c1d"/>
          <w:sz w:val="36"/>
          <w:szCs w:val="36"/>
          <w:rtl w:val="0"/>
        </w:rPr>
        <w:t xml:space="preserve"> 設計評分卡時應遵循清晰性、一致性及與風險偏好對齊的原則。規則應基於明確的邏輯條件，例如「IF 指標X &gt; 閾值Y THEN 分數=Z」的形式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。閾值的設定應基於歷史數據分析、指標的統計特性（如標準差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iCs w:val="0"/>
          <w:color w:val="1b1c1d"/>
          <w:sz w:val="36"/>
          <w:szCs w:val="36"/>
          <w:rtl w:val="0"/>
        </w:rPr>
        <w:t xml:space="preserve">）或專家判斷。計分方式可以是二元的（例如，觸發/未觸發=1/0分），也可以是分層的（根據指標落入不同區間給予不同分數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49">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說明性TWD/USD風險評分卡範例：</w:t>
      </w:r>
      <w:r w:rsidDel="00000000" w:rsidR="00000000" w:rsidRPr="00000000">
        <w:rPr>
          <w:rFonts w:ascii="Google Sans Text" w:cs="Google Sans Text" w:eastAsia="Google Sans Text" w:hAnsi="Google Sans Text"/>
          <w:i w:val="0"/>
          <w:iCs w:val="0"/>
          <w:color w:val="1b1c1d"/>
          <w:sz w:val="36"/>
          <w:szCs w:val="36"/>
          <w:rtl w:val="0"/>
        </w:rPr>
        <w:t xml:space="preserve"> 以下提供一個簡化的範例，展示如何運作。實際應用中需納入更多相關指標並仔細校準閾值與分數。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36"/>
          <w:szCs w:val="36"/>
          <w:rtl w:val="0"/>
        </w:rPr>
        <w:t xml:space="preserve">表 2：簡化版新台幣/美元風險評分卡範例</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指標名稱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當前值 (範例)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評分規則 (閾值 → 分數)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分數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權重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加權分數</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30天歷史波動率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3%: 0分; 3-5%: 1分; 5-8%: 2分; &gt; 8%: 3分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1個月隱含波動率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4%: 0分; 4-6%: 1分; 6-9%: 2分; &gt; 9%: 3分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TWD-USD 3個月利率差 (%)</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-1%: 0分; -1% to -2%: 1分; &lt; -2%: 2分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台灣/美國宏觀經濟意外指數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&gt; 0.5: 0分; 0 to 0.5: 1分; -0.5 to 0: 2分; &lt; -0.5: 3分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0.45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外資淨匯入指標 (相對歷史均值)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 (標準差)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&lt; 1 SD: 0分; 1-2 SD: 1分; &gt; 2 SD: 2分 (假設匯入增加風險)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總加權分數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對應風險位階 (範例)</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0-0.5: 極低; 0.6-1.2: 低; </w:t>
            </w: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1.3-2.0: 中度</w:t>
            </w: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 2.1-2.7: 高; 2.8-3.0: 極高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4"/>
          <w:szCs w:val="24"/>
          <w:shd w:fill="f0f4f9" w:val="clear"/>
        </w:rPr>
      </w:pPr>
      <w:r w:rsidDel="00000000" w:rsidR="00000000" w:rsidRPr="00000000">
        <w:rPr>
          <w:rFonts w:ascii="Google Sans Text" w:cs="Google Sans Text" w:eastAsia="Google Sans Text" w:hAnsi="Google Sans Text"/>
          <w:i w:val="0"/>
          <w:iCs w:val="0"/>
          <w:color w:val="1b1c1d"/>
          <w:sz w:val="24"/>
          <w:szCs w:val="24"/>
          <w:shd w:fill="f0f4f9" w:val="clear"/>
          <w:rtl w:val="0"/>
        </w:rPr>
        <w:t xml:space="preserve">*註：此為說明性範例，實際指標、閾值、分數、權重及風險位階映射需經嚴謹研究與校準。*</w:t>
        <w:br w:type="textWrapping"/>
        <w:br w:type="textWrapping"/>
        <w:t xml:space="preserve">這個表格具體展示了評分卡如何將各指標的原始數據，透過預設規則轉換為分數，再結合權重計算出總分，最終對應到一個明確的風險位階。這有助於理解評分卡方法的實際操作流程 [14, 16]。</w:t>
        <w:br w:type="textWrapping"/>
      </w:r>
    </w:p>
    <w:p w:rsidR="00000000" w:rsidDel="00000000" w:rsidP="00000000" w:rsidRDefault="00000000" w:rsidRPr="00000000" w14:paraId="0000007E">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優點：</w:t>
      </w:r>
    </w:p>
    <w:p w:rsidR="00000000" w:rsidDel="00000000" w:rsidP="00000000" w:rsidRDefault="00000000" w:rsidRPr="00000000" w14:paraId="0000007F">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透明度高：</w:t>
      </w:r>
      <w:r w:rsidDel="00000000" w:rsidR="00000000" w:rsidRPr="00000000">
        <w:rPr>
          <w:rFonts w:ascii="Google Sans Text" w:cs="Google Sans Text" w:eastAsia="Google Sans Text" w:hAnsi="Google Sans Text"/>
          <w:i w:val="0"/>
          <w:iCs w:val="0"/>
          <w:color w:val="1b1c1d"/>
          <w:sz w:val="36"/>
          <w:szCs w:val="36"/>
          <w:rtl w:val="0"/>
        </w:rPr>
        <w:t xml:space="preserve"> 規則和計分邏輯清晰易懂，便於解釋風險評級的來源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8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一致性好：</w:t>
      </w:r>
      <w:r w:rsidDel="00000000" w:rsidR="00000000" w:rsidRPr="00000000">
        <w:rPr>
          <w:rFonts w:ascii="Google Sans Text" w:cs="Google Sans Text" w:eastAsia="Google Sans Text" w:hAnsi="Google Sans Text"/>
          <w:i w:val="0"/>
          <w:iCs w:val="0"/>
          <w:color w:val="1b1c1d"/>
          <w:sz w:val="36"/>
          <w:szCs w:val="36"/>
          <w:rtl w:val="0"/>
        </w:rPr>
        <w:t xml:space="preserve"> 每次評估都遵循相同的規則，確保結果的一致性與可比性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81">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易於實施：</w:t>
      </w:r>
      <w:r w:rsidDel="00000000" w:rsidR="00000000" w:rsidRPr="00000000">
        <w:rPr>
          <w:rFonts w:ascii="Google Sans Text" w:cs="Google Sans Text" w:eastAsia="Google Sans Text" w:hAnsi="Google Sans Text"/>
          <w:i w:val="0"/>
          <w:iCs w:val="0"/>
          <w:color w:val="1b1c1d"/>
          <w:sz w:val="36"/>
          <w:szCs w:val="36"/>
          <w:rtl w:val="0"/>
        </w:rPr>
        <w:t xml:space="preserve"> 相較於複雜的統計模型，評分卡的開發與部署通常更為直接。</w:t>
      </w:r>
    </w:p>
    <w:p w:rsidR="00000000" w:rsidDel="00000000" w:rsidP="00000000" w:rsidRDefault="00000000" w:rsidRPr="00000000" w14:paraId="00000082">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可審計性強：</w:t>
      </w:r>
      <w:r w:rsidDel="00000000" w:rsidR="00000000" w:rsidRPr="00000000">
        <w:rPr>
          <w:rFonts w:ascii="Google Sans Text" w:cs="Google Sans Text" w:eastAsia="Google Sans Text" w:hAnsi="Google Sans Text"/>
          <w:i w:val="0"/>
          <w:iCs w:val="0"/>
          <w:color w:val="1b1c1d"/>
          <w:sz w:val="36"/>
          <w:szCs w:val="36"/>
          <w:rtl w:val="0"/>
        </w:rPr>
        <w:t xml:space="preserve"> 從原始指標到最終風險位階的計算過程清晰，易於追溯和審核。</w:t>
      </w:r>
    </w:p>
    <w:p w:rsidR="00000000" w:rsidDel="00000000" w:rsidP="00000000" w:rsidRDefault="00000000" w:rsidRPr="00000000" w14:paraId="00000083">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缺點：</w:t>
      </w:r>
    </w:p>
    <w:p w:rsidR="00000000" w:rsidDel="00000000" w:rsidP="00000000" w:rsidRDefault="00000000" w:rsidRPr="00000000" w14:paraId="00000084">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剛性較強：</w:t>
      </w:r>
      <w:r w:rsidDel="00000000" w:rsidR="00000000" w:rsidRPr="00000000">
        <w:rPr>
          <w:rFonts w:ascii="Google Sans Text" w:cs="Google Sans Text" w:eastAsia="Google Sans Text" w:hAnsi="Google Sans Text"/>
          <w:i w:val="0"/>
          <w:iCs w:val="0"/>
          <w:color w:val="1b1c1d"/>
          <w:sz w:val="36"/>
          <w:szCs w:val="36"/>
          <w:rtl w:val="0"/>
        </w:rPr>
        <w:t xml:space="preserve"> 固定的規則可能難以適應快速變化的市場環境或未曾預見的事件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85">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對閾值敏感：</w:t>
      </w:r>
      <w:r w:rsidDel="00000000" w:rsidR="00000000" w:rsidRPr="00000000">
        <w:rPr>
          <w:rFonts w:ascii="Google Sans Text" w:cs="Google Sans Text" w:eastAsia="Google Sans Text" w:hAnsi="Google Sans Text"/>
          <w:i w:val="0"/>
          <w:iCs w:val="0"/>
          <w:color w:val="1b1c1d"/>
          <w:sz w:val="36"/>
          <w:szCs w:val="36"/>
          <w:rtl w:val="0"/>
        </w:rPr>
        <w:t xml:space="preserve"> 評分卡的表現高度依賴於閾值設定的準確性。</w:t>
      </w:r>
    </w:p>
    <w:p w:rsidR="00000000" w:rsidDel="00000000" w:rsidP="00000000" w:rsidRDefault="00000000" w:rsidRPr="00000000" w14:paraId="0000008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可能被「規避」：</w:t>
      </w:r>
      <w:r w:rsidDel="00000000" w:rsidR="00000000" w:rsidRPr="00000000">
        <w:rPr>
          <w:rFonts w:ascii="Google Sans Text" w:cs="Google Sans Text" w:eastAsia="Google Sans Text" w:hAnsi="Google Sans Text"/>
          <w:i w:val="0"/>
          <w:iCs w:val="0"/>
          <w:color w:val="1b1c1d"/>
          <w:sz w:val="36"/>
          <w:szCs w:val="36"/>
          <w:rtl w:val="0"/>
        </w:rPr>
        <w:t xml:space="preserve"> 如果規則過於簡單，可能被刻意操縱。</w:t>
      </w:r>
    </w:p>
    <w:p w:rsidR="00000000" w:rsidDel="00000000" w:rsidP="00000000" w:rsidRDefault="00000000" w:rsidRPr="00000000" w14:paraId="0000008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難以捕捉複雜交互作用：</w:t>
      </w:r>
      <w:r w:rsidDel="00000000" w:rsidR="00000000" w:rsidRPr="00000000">
        <w:rPr>
          <w:rFonts w:ascii="Google Sans Text" w:cs="Google Sans Text" w:eastAsia="Google Sans Text" w:hAnsi="Google Sans Text"/>
          <w:i w:val="0"/>
          <w:iCs w:val="0"/>
          <w:color w:val="1b1c1d"/>
          <w:sz w:val="36"/>
          <w:szCs w:val="36"/>
          <w:rtl w:val="0"/>
        </w:rPr>
        <w:t xml:space="preserve"> 簡單的加總可能無法反映指標之間的複雜關聯性。</w:t>
      </w:r>
    </w:p>
    <w:p w:rsidR="00000000" w:rsidDel="00000000" w:rsidP="00000000" w:rsidRDefault="00000000" w:rsidRPr="00000000" w14:paraId="00000088">
      <w:pPr>
        <w:numPr>
          <w:ilvl w:val="1"/>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需手動更新與調整：</w:t>
      </w:r>
      <w:r w:rsidDel="00000000" w:rsidR="00000000" w:rsidRPr="00000000">
        <w:rPr>
          <w:rFonts w:ascii="Google Sans Text" w:cs="Google Sans Text" w:eastAsia="Google Sans Text" w:hAnsi="Google Sans Text"/>
          <w:i w:val="0"/>
          <w:iCs w:val="0"/>
          <w:color w:val="1b1c1d"/>
          <w:sz w:val="36"/>
          <w:szCs w:val="36"/>
          <w:rtl w:val="0"/>
        </w:rPr>
        <w:t xml:space="preserve"> 規則和閾值需要定期審視和更新，以保持其有效性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評分卡的有效性極大地取決於其</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閾值與分數的校準</w:t>
      </w:r>
      <w:r w:rsidDel="00000000" w:rsidR="00000000" w:rsidRPr="00000000">
        <w:rPr>
          <w:rFonts w:ascii="Google Sans Text" w:cs="Google Sans Text" w:eastAsia="Google Sans Text" w:hAnsi="Google Sans Text"/>
          <w:i w:val="0"/>
          <w:iCs w:val="0"/>
          <w:color w:val="1b1c1d"/>
          <w:sz w:val="36"/>
          <w:szCs w:val="36"/>
          <w:rtl w:val="0"/>
        </w:rPr>
        <w:t xml:space="preserve">過程。如果閾值設定不當，未能準確反映風險程度的實質變化，則可能導致頻繁的誤報（在風險不高時發出高風險警報）或漏報（在風險升高時未能及時警示）</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36"/>
          <w:szCs w:val="36"/>
          <w:rtl w:val="0"/>
        </w:rPr>
        <w:t xml:space="preserve">。這需要在設計階段進行仔細的歷史數據統計分析，可能還需結合專家經驗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，並在實施後持續進行驗證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。例如，在反洗錢（AML）領域，基於規則的系統常因校準問題而產生大量誤報，耗費大量資源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36"/>
          <w:szCs w:val="36"/>
          <w:rtl w:val="0"/>
        </w:rPr>
        <w:t xml:space="preserve">，這也突顯了校準的重要性。</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B. 基於模型的方法</w:t>
      </w:r>
    </w:p>
    <w:p w:rsidR="00000000" w:rsidDel="00000000" w:rsidP="00000000" w:rsidRDefault="00000000" w:rsidRPr="00000000" w14:paraId="0000008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方法論概述：</w:t>
      </w:r>
      <w:r w:rsidDel="00000000" w:rsidR="00000000" w:rsidRPr="00000000">
        <w:rPr>
          <w:rFonts w:ascii="Google Sans Text" w:cs="Google Sans Text" w:eastAsia="Google Sans Text" w:hAnsi="Google Sans Text"/>
          <w:i w:val="0"/>
          <w:iCs w:val="0"/>
          <w:color w:val="1b1c1d"/>
          <w:sz w:val="36"/>
          <w:szCs w:val="36"/>
          <w:rtl w:val="0"/>
        </w:rPr>
        <w:t xml:space="preserve"> 此類方法運用統計學或機器學習演算法，分析歷史數據中各項指標與風險結果之間的關係，從而評估當前風險。主要可分為兩類子方法：</w:t>
      </w:r>
    </w:p>
    <w:p w:rsidR="00000000" w:rsidDel="00000000" w:rsidP="00000000" w:rsidRDefault="00000000" w:rsidRPr="00000000" w14:paraId="0000008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預測性機率模型：</w:t>
      </w:r>
      <w:r w:rsidDel="00000000" w:rsidR="00000000" w:rsidRPr="00000000">
        <w:rPr>
          <w:rFonts w:ascii="Google Sans Text" w:cs="Google Sans Text" w:eastAsia="Google Sans Text" w:hAnsi="Google Sans Text"/>
          <w:i w:val="0"/>
          <w:iCs w:val="0"/>
          <w:color w:val="1b1c1d"/>
          <w:sz w:val="36"/>
          <w:szCs w:val="36"/>
          <w:rtl w:val="0"/>
        </w:rPr>
        <w:t xml:space="preserve"> 訓練一個模型（如邏輯迴歸）來預測未來特定時間段內發生某個高風險事件（例如，TWD/USD在Y天內波動超過X%）的機率。然後將這個預測機率映射到預定義的風險位階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8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市場狀態/機制識別模型：</w:t>
      </w:r>
      <w:r w:rsidDel="00000000" w:rsidR="00000000" w:rsidRPr="00000000">
        <w:rPr>
          <w:rFonts w:ascii="Google Sans Text" w:cs="Google Sans Text" w:eastAsia="Google Sans Text" w:hAnsi="Google Sans Text"/>
          <w:i w:val="0"/>
          <w:iCs w:val="0"/>
          <w:color w:val="1b1c1d"/>
          <w:sz w:val="36"/>
          <w:szCs w:val="36"/>
          <w:rtl w:val="0"/>
        </w:rPr>
        <w:t xml:space="preserve"> 訓練一個模型（如機制轉換模型、決策樹、聚類分析等）來識別當前市場基於指標模式所處的潛在狀態或機制（regime）。這些被識別出的狀態隨後被賦予相應的風險位階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8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潛在模型及其相關性：</w:t>
      </w:r>
    </w:p>
    <w:p w:rsidR="00000000" w:rsidDel="00000000" w:rsidP="00000000" w:rsidRDefault="00000000" w:rsidRPr="00000000" w14:paraId="0000008F">
      <w:pPr>
        <w:numPr>
          <w:ilvl w:val="1"/>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邏輯迴歸 (Logistic Regression):</w:t>
      </w:r>
      <w:r w:rsidDel="00000000" w:rsidR="00000000" w:rsidRPr="00000000">
        <w:rPr>
          <w:rFonts w:ascii="Google Sans Text" w:cs="Google Sans Text" w:eastAsia="Google Sans Text" w:hAnsi="Google Sans Text"/>
          <w:i w:val="0"/>
          <w:iCs w:val="0"/>
          <w:color w:val="1b1c1d"/>
          <w:sz w:val="36"/>
          <w:szCs w:val="36"/>
          <w:rtl w:val="0"/>
        </w:rPr>
        <w:t xml:space="preserve"> 適用於預測二元結果（如高風險事件發生/未發生）。模型根據輸入指標值估算事件發生的機率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36"/>
          <w:szCs w:val="36"/>
          <w:rtl w:val="0"/>
        </w:rPr>
        <w:t xml:space="preserve">。其優點是相對容易實施，並且結果（例如勝算比 Odds Ratio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36"/>
          <w:szCs w:val="36"/>
          <w:rtl w:val="0"/>
        </w:rPr>
        <w:t xml:space="preserve">）具有一定的可解釋性。常被應用於金融領域的欺詐偵測和信用風險評估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0">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決策樹/隨機森林 (Decision Trees/Random Forests):</w:t>
      </w:r>
      <w:r w:rsidDel="00000000" w:rsidR="00000000" w:rsidRPr="00000000">
        <w:rPr>
          <w:rFonts w:ascii="Google Sans Text" w:cs="Google Sans Text" w:eastAsia="Google Sans Text" w:hAnsi="Google Sans Text"/>
          <w:i w:val="0"/>
          <w:iCs w:val="0"/>
          <w:color w:val="1b1c1d"/>
          <w:sz w:val="36"/>
          <w:szCs w:val="36"/>
          <w:rtl w:val="0"/>
        </w:rPr>
        <w:t xml:space="preserve"> 可用於根據數據學習到的指標規則來分類市場狀況或預測波動水平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iCs w:val="0"/>
          <w:color w:val="1b1c1d"/>
          <w:sz w:val="36"/>
          <w:szCs w:val="36"/>
          <w:rtl w:val="0"/>
        </w:rPr>
        <w:t xml:space="preserve">。隨機森林通過集成多個決策樹提高了單一決策樹的穩健性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33</w:t>
      </w:r>
      <w:r w:rsidDel="00000000" w:rsidR="00000000" w:rsidRPr="00000000">
        <w:rPr>
          <w:rFonts w:ascii="Google Sans Text" w:cs="Google Sans Text" w:eastAsia="Google Sans Text" w:hAnsi="Google Sans Text"/>
          <w:i w:val="0"/>
          <w:iCs w:val="0"/>
          <w:color w:val="1b1c1d"/>
          <w:sz w:val="36"/>
          <w:szCs w:val="36"/>
          <w:rtl w:val="0"/>
        </w:rPr>
        <w:t xml:space="preserve">。這類模型能夠捕捉非線性關係。</w:t>
      </w:r>
    </w:p>
    <w:p w:rsidR="00000000" w:rsidDel="00000000" w:rsidP="00000000" w:rsidRDefault="00000000" w:rsidRPr="00000000" w14:paraId="00000091">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機制轉換模型 (Regime-Switching Models):</w:t>
      </w:r>
      <w:r w:rsidDel="00000000" w:rsidR="00000000" w:rsidRPr="00000000">
        <w:rPr>
          <w:rFonts w:ascii="Google Sans Text" w:cs="Google Sans Text" w:eastAsia="Google Sans Text" w:hAnsi="Google Sans Text"/>
          <w:i w:val="0"/>
          <w:iCs w:val="0"/>
          <w:color w:val="1b1c1d"/>
          <w:sz w:val="36"/>
          <w:szCs w:val="36"/>
          <w:rtl w:val="0"/>
        </w:rPr>
        <w:t xml:space="preserve"> 這類模型明確地模擬市場存在的不同狀態（例如，高/低波動狀態、牛市/熊市狀態），這些狀態的轉換通常由一個隱藏的馬可夫鏈（Hidden Markov Chain）驅動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。模型的參數（如波動率、漂移項）會根據當前所處的狀態而變化。這對於外匯市場特別有意義，因為外匯市場常表現出隨時間變化的不同行為模式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。可以根據匯率相對於趨勢的偏離來定義不同的機制狀態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37</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2">
      <w:pPr>
        <w:numPr>
          <w:ilvl w:val="1"/>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其他機器學習模型 (簡述):</w:t>
      </w:r>
      <w:r w:rsidDel="00000000" w:rsidR="00000000" w:rsidRPr="00000000">
        <w:rPr>
          <w:rFonts w:ascii="Google Sans Text" w:cs="Google Sans Text" w:eastAsia="Google Sans Text" w:hAnsi="Google Sans Text"/>
          <w:i w:val="0"/>
          <w:iCs w:val="0"/>
          <w:color w:val="1b1c1d"/>
          <w:sz w:val="36"/>
          <w:szCs w:val="36"/>
          <w:rtl w:val="0"/>
        </w:rPr>
        <w:t xml:space="preserve"> 支持向量機（SVM）、神經網絡（包括用於時間序列的卷積神經網絡CNN和雙向長短期記憶網絡BiLSTM）等也被應用於金融風險預測，但對於初步的風險位階框架而言可能過於複雜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36"/>
          <w:szCs w:val="36"/>
          <w:rtl w:val="0"/>
        </w:rPr>
        <w:t xml:space="preserve">。風險價值（VaR）模型主要用於估計潛在損失，但其輸出或變化也可以被用來作為風險水平的信號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3">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優點：</w:t>
      </w:r>
    </w:p>
    <w:p w:rsidR="00000000" w:rsidDel="00000000" w:rsidP="00000000" w:rsidRDefault="00000000" w:rsidRPr="00000000" w14:paraId="00000094">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適應性強：</w:t>
      </w:r>
      <w:r w:rsidDel="00000000" w:rsidR="00000000" w:rsidRPr="00000000">
        <w:rPr>
          <w:rFonts w:ascii="Google Sans Text" w:cs="Google Sans Text" w:eastAsia="Google Sans Text" w:hAnsi="Google Sans Text"/>
          <w:i w:val="0"/>
          <w:iCs w:val="0"/>
          <w:color w:val="1b1c1d"/>
          <w:sz w:val="36"/>
          <w:szCs w:val="36"/>
          <w:rtl w:val="0"/>
        </w:rPr>
        <w:t xml:space="preserve"> 能夠學習複雜的數據模式，並可能適應變化的市場動態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5">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潛在的更高準確性：</w:t>
      </w:r>
      <w:r w:rsidDel="00000000" w:rsidR="00000000" w:rsidRPr="00000000">
        <w:rPr>
          <w:rFonts w:ascii="Google Sans Text" w:cs="Google Sans Text" w:eastAsia="Google Sans Text" w:hAnsi="Google Sans Text"/>
          <w:i w:val="0"/>
          <w:iCs w:val="0"/>
          <w:color w:val="1b1c1d"/>
          <w:sz w:val="36"/>
          <w:szCs w:val="36"/>
          <w:rtl w:val="0"/>
        </w:rPr>
        <w:t xml:space="preserve"> 能捕捉簡單規則可能忽略的非線性關係和指標間的交互作用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6">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客觀性：</w:t>
      </w:r>
      <w:r w:rsidDel="00000000" w:rsidR="00000000" w:rsidRPr="00000000">
        <w:rPr>
          <w:rFonts w:ascii="Google Sans Text" w:cs="Google Sans Text" w:eastAsia="Google Sans Text" w:hAnsi="Google Sans Text"/>
          <w:i w:val="0"/>
          <w:iCs w:val="0"/>
          <w:color w:val="1b1c1d"/>
          <w:sz w:val="36"/>
          <w:szCs w:val="36"/>
          <w:rtl w:val="0"/>
        </w:rPr>
        <w:t xml:space="preserve"> 評估基於數據驅動的模式識別。</w:t>
      </w:r>
    </w:p>
    <w:p w:rsidR="00000000" w:rsidDel="00000000" w:rsidP="00000000" w:rsidRDefault="00000000" w:rsidRPr="00000000" w14:paraId="00000097">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可處理大數據集：</w:t>
      </w:r>
      <w:r w:rsidDel="00000000" w:rsidR="00000000" w:rsidRPr="00000000">
        <w:rPr>
          <w:rFonts w:ascii="Google Sans Text" w:cs="Google Sans Text" w:eastAsia="Google Sans Text" w:hAnsi="Google Sans Text"/>
          <w:i w:val="0"/>
          <w:iCs w:val="0"/>
          <w:color w:val="1b1c1d"/>
          <w:sz w:val="36"/>
          <w:szCs w:val="36"/>
          <w:rtl w:val="0"/>
        </w:rPr>
        <w:t xml:space="preserve"> 機器學習模型尤其擅長處理大量數據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8">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機制轉換模型：</w:t>
      </w:r>
      <w:r w:rsidDel="00000000" w:rsidR="00000000" w:rsidRPr="00000000">
        <w:rPr>
          <w:rFonts w:ascii="Google Sans Text" w:cs="Google Sans Text" w:eastAsia="Google Sans Text" w:hAnsi="Google Sans Text"/>
          <w:i w:val="0"/>
          <w:iCs w:val="0"/>
          <w:color w:val="1b1c1d"/>
          <w:sz w:val="36"/>
          <w:szCs w:val="36"/>
          <w:rtl w:val="0"/>
        </w:rPr>
        <w:t xml:space="preserve"> 能明確捕捉市場行為的轉變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9">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缺點：</w:t>
      </w:r>
    </w:p>
    <w:p w:rsidR="00000000" w:rsidDel="00000000" w:rsidP="00000000" w:rsidRDefault="00000000" w:rsidRPr="00000000" w14:paraId="0000009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複雜性高：</w:t>
      </w:r>
      <w:r w:rsidDel="00000000" w:rsidR="00000000" w:rsidRPr="00000000">
        <w:rPr>
          <w:rFonts w:ascii="Google Sans Text" w:cs="Google Sans Text" w:eastAsia="Google Sans Text" w:hAnsi="Google Sans Text"/>
          <w:i w:val="0"/>
          <w:iCs w:val="0"/>
          <w:color w:val="1b1c1d"/>
          <w:sz w:val="36"/>
          <w:szCs w:val="36"/>
          <w:rtl w:val="0"/>
        </w:rPr>
        <w:t xml:space="preserve"> 需要專業知識來建立、訓練、驗證和維護模型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B">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「黑盒子」問題：</w:t>
      </w:r>
      <w:r w:rsidDel="00000000" w:rsidR="00000000" w:rsidRPr="00000000">
        <w:rPr>
          <w:rFonts w:ascii="Google Sans Text" w:cs="Google Sans Text" w:eastAsia="Google Sans Text" w:hAnsi="Google Sans Text"/>
          <w:i w:val="0"/>
          <w:iCs w:val="0"/>
          <w:color w:val="1b1c1d"/>
          <w:sz w:val="36"/>
          <w:szCs w:val="36"/>
          <w:rtl w:val="0"/>
        </w:rPr>
        <w:t xml:space="preserve"> 尤其是複雜的機器學習模型，可能難以解釋為何會給出特定的風險評級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C">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數據依賴性強：</w:t>
      </w:r>
      <w:r w:rsidDel="00000000" w:rsidR="00000000" w:rsidRPr="00000000">
        <w:rPr>
          <w:rFonts w:ascii="Google Sans Text" w:cs="Google Sans Text" w:eastAsia="Google Sans Text" w:hAnsi="Google Sans Text"/>
          <w:i w:val="0"/>
          <w:iCs w:val="0"/>
          <w:color w:val="1b1c1d"/>
          <w:sz w:val="36"/>
          <w:szCs w:val="36"/>
          <w:rtl w:val="0"/>
        </w:rPr>
        <w:t xml:space="preserve"> 需要足夠的高質量歷史數據進行模型訓練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9D">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模型風險：</w:t>
      </w:r>
      <w:r w:rsidDel="00000000" w:rsidR="00000000" w:rsidRPr="00000000">
        <w:rPr>
          <w:rFonts w:ascii="Google Sans Text" w:cs="Google Sans Text" w:eastAsia="Google Sans Text" w:hAnsi="Google Sans Text"/>
          <w:i w:val="0"/>
          <w:iCs w:val="0"/>
          <w:color w:val="1b1c1d"/>
          <w:sz w:val="36"/>
          <w:szCs w:val="36"/>
          <w:rtl w:val="0"/>
        </w:rPr>
        <w:t xml:space="preserve"> 存在模型設定錯誤、過度擬合歷史數據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iCs w:val="0"/>
          <w:color w:val="1b1c1d"/>
          <w:sz w:val="36"/>
          <w:szCs w:val="36"/>
          <w:rtl w:val="0"/>
        </w:rPr>
        <w:t xml:space="preserve"> 或在訓練數據未包含的新市場條件下失效的風險。</w:t>
      </w:r>
    </w:p>
    <w:p w:rsidR="00000000" w:rsidDel="00000000" w:rsidP="00000000" w:rsidRDefault="00000000" w:rsidRPr="00000000" w14:paraId="0000009E">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需持續監控與再訓練：</w:t>
      </w:r>
      <w:r w:rsidDel="00000000" w:rsidR="00000000" w:rsidRPr="00000000">
        <w:rPr>
          <w:rFonts w:ascii="Google Sans Text" w:cs="Google Sans Text" w:eastAsia="Google Sans Text" w:hAnsi="Google Sans Text"/>
          <w:i w:val="0"/>
          <w:iCs w:val="0"/>
          <w:color w:val="1b1c1d"/>
          <w:sz w:val="36"/>
          <w:szCs w:val="36"/>
          <w:rtl w:val="0"/>
        </w:rPr>
        <w:t xml:space="preserve"> 模型性能需要持續監控，並可能需要定期重新訓練。</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在選擇模型方法時，</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預測性機率模型</w:t>
      </w:r>
      <w:r w:rsidDel="00000000" w:rsidR="00000000" w:rsidRPr="00000000">
        <w:rPr>
          <w:rFonts w:ascii="Google Sans Text" w:cs="Google Sans Text" w:eastAsia="Google Sans Text" w:hAnsi="Google Sans Text"/>
          <w:i w:val="0"/>
          <w:iCs w:val="0"/>
          <w:color w:val="1b1c1d"/>
          <w:sz w:val="36"/>
          <w:szCs w:val="36"/>
          <w:rtl w:val="0"/>
        </w:rPr>
        <w:t xml:space="preserve">與</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市場狀態識別模型</w:t>
      </w:r>
      <w:r w:rsidDel="00000000" w:rsidR="00000000" w:rsidRPr="00000000">
        <w:rPr>
          <w:rFonts w:ascii="Google Sans Text" w:cs="Google Sans Text" w:eastAsia="Google Sans Text" w:hAnsi="Google Sans Text"/>
          <w:i w:val="0"/>
          <w:iCs w:val="0"/>
          <w:color w:val="1b1c1d"/>
          <w:sz w:val="36"/>
          <w:szCs w:val="36"/>
          <w:rtl w:val="0"/>
        </w:rPr>
        <w:t xml:space="preserve">之間存在著風險管理哲學上的差異。預測性模型（如邏輯迴歸預測大幅下跌的機率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36"/>
          <w:szCs w:val="36"/>
          <w:rtl w:val="0"/>
        </w:rPr>
        <w:t xml:space="preserve">）側重於回答「發生特定負面結果的可能性有多大？」。而狀態識別模型（如機制轉換模型識別出『高波動』狀態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則側重於回答「我們目前處於何種市場環境？其內在風險如何？」。前者可能觸發針對預測事件的特定避險操作，後者則可能引導更廣泛的策略調整（例如，降低整體曝險、放寬風險限額）以適應當前的市場環境。對於定義具有一定持續性的「風險位階」而言，機制轉換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 似乎特別契合，它不僅預測單點事件，更能刻畫市場的整體狀態。</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C. 方法比較分析</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直接比較：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i w:val="0"/>
          <w:iCs w:val="0"/>
          <w:color w:val="1b1c1d"/>
          <w:sz w:val="36"/>
          <w:szCs w:val="36"/>
          <w:rtl w:val="0"/>
        </w:rPr>
        <w:t xml:space="preserve">表 3：風險位階判斷方法論比較</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評估標準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基於規則的評分卡</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模型法 (預測性, 如邏輯迴歸)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模型法 (狀態識別, 如機制轉換)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適應性 (對市場變化)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中至高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透明度 (邏輯清晰度)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中至低 (取決於模型複雜度)</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實施複雜度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數據需求 (訓練/校準)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維護工作量</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 (規則更新)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(模型監控/再訓練)</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(模型監控/再訓練)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可解釋性 (為何是此位階)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 (如Odds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低至中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模型風險 (含過擬合)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低</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中至高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潛在準確性 (捕捉複雜性)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中</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iCs w:val="0"/>
                <w:color w:val="575b5f"/>
                <w:sz w:val="24"/>
                <w:szCs w:val="24"/>
                <w:vertAlign w:val="superscript"/>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高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p>
        </w:tc>
      </w:tr>
    </w:tbl>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混合方法：</w:t>
      </w:r>
      <w:r w:rsidDel="00000000" w:rsidR="00000000" w:rsidRPr="00000000">
        <w:rPr>
          <w:rFonts w:ascii="Google Sans Text" w:cs="Google Sans Text" w:eastAsia="Google Sans Text" w:hAnsi="Google Sans Text"/>
          <w:i w:val="0"/>
          <w:iCs w:val="0"/>
          <w:color w:val="1b1c1d"/>
          <w:sz w:val="36"/>
          <w:szCs w:val="36"/>
          <w:rtl w:val="0"/>
        </w:rPr>
        <w:t xml:space="preserve"> 實務中也可考慮結合不同方法的優點。例如，可以將模型的輸出（如預測機率或識別出的狀態）作為評分卡的一個輸入指標。或者，建立一個主要的評分卡或模型系統，但允許專家在特殊情況下根據其判斷進行覆核或調整（類似於ECB SREP的第三階段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36"/>
          <w:szCs w:val="36"/>
          <w:rtl w:val="0"/>
        </w:rPr>
        <w:t xml:space="preserve">，或一般風險評估中結合定量與定性方法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選擇建議：</w:t>
      </w:r>
      <w:r w:rsidDel="00000000" w:rsidR="00000000" w:rsidRPr="00000000">
        <w:rPr>
          <w:rFonts w:ascii="Google Sans Text" w:cs="Google Sans Text" w:eastAsia="Google Sans Text" w:hAnsi="Google Sans Text"/>
          <w:i w:val="0"/>
          <w:iCs w:val="0"/>
          <w:color w:val="1b1c1d"/>
          <w:sz w:val="36"/>
          <w:szCs w:val="36"/>
          <w:rtl w:val="0"/>
        </w:rPr>
        <w:t xml:space="preserve"> 最佳方法的選擇取決於機構的具體情況，包括可用的資源（數據、專業技能）、風險容忍度、對透明度的要求 vs. 對預測能力的需求，以及監管環境。對於需求較簡單或作為起步，評分卡可能是合適的選擇。模型法則能為複雜情況提供更強大的分析能力，但需要更大的投入。</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在選擇過程中，需要權衡基於規則系統的</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透明度</w:t>
      </w:r>
      <w:r w:rsidDel="00000000" w:rsidR="00000000" w:rsidRPr="00000000">
        <w:rPr>
          <w:rFonts w:ascii="Google Sans Text" w:cs="Google Sans Text" w:eastAsia="Google Sans Text" w:hAnsi="Google Sans Text"/>
          <w:i w:val="0"/>
          <w:iCs w:val="0"/>
          <w:color w:val="1b1c1d"/>
          <w:sz w:val="36"/>
          <w:szCs w:val="36"/>
          <w:rtl w:val="0"/>
        </w:rPr>
        <w:t xml:space="preserve">與基於模型系統的</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潛在準確性/適應性</w:t>
      </w:r>
      <w:r w:rsidDel="00000000" w:rsidR="00000000" w:rsidRPr="00000000">
        <w:rPr>
          <w:rFonts w:ascii="Google Sans Text" w:cs="Google Sans Text" w:eastAsia="Google Sans Text" w:hAnsi="Google Sans Text"/>
          <w:i w:val="0"/>
          <w:iCs w:val="0"/>
          <w:color w:val="1b1c1d"/>
          <w:sz w:val="36"/>
          <w:szCs w:val="36"/>
          <w:rtl w:val="0"/>
        </w:rPr>
        <w:t xml:space="preserve">。規則系統的邏輯清晰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iCs w:val="0"/>
          <w:color w:val="1b1c1d"/>
          <w:sz w:val="36"/>
          <w:szCs w:val="36"/>
          <w:rtl w:val="0"/>
        </w:rPr>
        <w:t xml:space="preserve">，易於向內部利益相關者和監管機構解釋風險評級的由來。然而，模型（尤其是複雜的機器學習模型）可能捕捉到規則忽略的細微模式，從而提供更準確的風險評估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40</w:t>
      </w:r>
      <w:r w:rsidDel="00000000" w:rsidR="00000000" w:rsidRPr="00000000">
        <w:rPr>
          <w:rFonts w:ascii="Google Sans Text" w:cs="Google Sans Text" w:eastAsia="Google Sans Text" w:hAnsi="Google Sans Text"/>
          <w:i w:val="0"/>
          <w:iCs w:val="0"/>
          <w:color w:val="1b1c1d"/>
          <w:sz w:val="36"/>
          <w:szCs w:val="36"/>
          <w:rtl w:val="0"/>
        </w:rPr>
        <w:t xml:space="preserve">，但其內部運作可能像「黑盒子」</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36"/>
          <w:szCs w:val="36"/>
          <w:rtl w:val="0"/>
        </w:rPr>
        <w:t xml:space="preserve">，增加了可解釋性的難度。金融領域日益增長的機器學習應用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iCs w:val="0"/>
          <w:color w:val="1b1c1d"/>
          <w:sz w:val="36"/>
          <w:szCs w:val="36"/>
          <w:rtl w:val="0"/>
        </w:rPr>
        <w:t xml:space="preserve"> 表明，為了追求更高的性能，對複雜性的接受度正在提高，但模型的可解釋性仍然是一個重要的考量因素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45</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IV. 決定指標權重</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權重的重要性</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在綜合多個指標來判斷風險位階時，簡單地將各指標得分相加可能並不恰當。因為這可能隱含地過度加權了某些關聯性高的指標，或未能反映不同指標在驅動TWD/USD風險方面的真實重要性差異 8。賦予指標不同的權重，可以納入關於各因素相對影響力的領域知識（專家判斷）或統計證據。明確的權重設定也提高了框架的透明度，並允許進行敏感性分析，了解不同權重假設對最終結果的影響 9。</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權重決定方法</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相等權重 (Equal Weighting):</w:t>
      </w:r>
    </w:p>
    <w:p w:rsidR="00000000" w:rsidDel="00000000" w:rsidP="00000000" w:rsidRDefault="00000000" w:rsidRPr="00000000" w14:paraId="000000CF">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這是最簡單的方法，即給予所有納入考量的指標（或指標組）相同的權重。</w:t>
      </w:r>
    </w:p>
    <w:p w:rsidR="00000000" w:rsidDel="00000000" w:rsidP="00000000" w:rsidRDefault="00000000" w:rsidRPr="00000000" w14:paraId="000000D0">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通常在缺乏充分的統計或實證依據來區分指標重要性，或者專家之間無法達成共識時採用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1">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缺點是，如果納入的指標之間存在高度相關性，相等權重可能導致重複計算某些潛在風險因素的影響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36"/>
          <w:szCs w:val="36"/>
          <w:rtl w:val="0"/>
        </w:rPr>
        <w:t xml:space="preserve">。在某些指數構建中，若未使用專家權重，則可能默認為相等權重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9</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專家判斷 (Expert Judgment):</w:t>
      </w:r>
    </w:p>
    <w:p w:rsidR="00000000" w:rsidDel="00000000" w:rsidP="00000000" w:rsidRDefault="00000000" w:rsidRPr="00000000" w14:paraId="000000D3">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權重基於領域專家（如經濟學家、外匯交易員、風險管理師）的經驗和定性評估，判斷哪些因素對TWD/USD風險最為關鍵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4">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優點是能夠融入超越歷史數據的、更細緻的理解和前瞻性觀點。</w:t>
      </w:r>
    </w:p>
    <w:p w:rsidR="00000000" w:rsidDel="00000000" w:rsidP="00000000" w:rsidRDefault="00000000" w:rsidRPr="00000000" w14:paraId="000000D5">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缺點是具有主觀性，可能存在偏見，且不同專家意見可能不一致，難以標準化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52</w:t>
      </w:r>
      <w:r w:rsidDel="00000000" w:rsidR="00000000" w:rsidRPr="00000000">
        <w:rPr>
          <w:rFonts w:ascii="Google Sans Text" w:cs="Google Sans Text" w:eastAsia="Google Sans Text" w:hAnsi="Google Sans Text"/>
          <w:i w:val="0"/>
          <w:iCs w:val="0"/>
          <w:color w:val="1b1c1d"/>
          <w:sz w:val="36"/>
          <w:szCs w:val="36"/>
          <w:rtl w:val="0"/>
        </w:rPr>
        <w:t xml:space="preserve">（例如，研究指出同行評議的權重與實際表現的相關性不高）。通常建議將專家判斷與量化分析相結合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統計分析 (Statistical Analysis):</w:t>
      </w:r>
    </w:p>
    <w:p w:rsidR="00000000" w:rsidDel="00000000" w:rsidP="00000000" w:rsidRDefault="00000000" w:rsidRPr="00000000" w14:paraId="000000D7">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主成分分析 (PCA) / 因子分析 (Factor Analysis):</w:t>
      </w:r>
      <w:r w:rsidDel="00000000" w:rsidR="00000000" w:rsidRPr="00000000">
        <w:rPr>
          <w:rFonts w:ascii="Google Sans Text" w:cs="Google Sans Text" w:eastAsia="Google Sans Text" w:hAnsi="Google Sans Text"/>
          <w:i w:val="0"/>
          <w:iCs w:val="0"/>
          <w:color w:val="1b1c1d"/>
          <w:sz w:val="36"/>
          <w:szCs w:val="36"/>
          <w:rtl w:val="0"/>
        </w:rPr>
        <w:t xml:space="preserve"> 根據每個指標對數據集總體變異或潛在共同因子的統計貢獻度來分配權重。解釋了更多變異的指標獲得更高的權重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36"/>
          <w:szCs w:val="36"/>
          <w:rtl w:val="0"/>
        </w:rPr>
        <w:t xml:space="preserve">。優點是數據驅動，有助於降低維度。缺點是可能低估那些雖然理論上重要但與其他指標相關性較低或波動性較小的指標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iCs w:val="0"/>
          <w:color w:val="1b1c1d"/>
          <w:sz w:val="36"/>
          <w:szCs w:val="36"/>
          <w:rtl w:val="0"/>
        </w:rPr>
        <w:t xml:space="preserve">，且結果的經濟意義有時不易解釋。</w:t>
      </w:r>
    </w:p>
    <w:p w:rsidR="00000000" w:rsidDel="00000000" w:rsidP="00000000" w:rsidRDefault="00000000" w:rsidRPr="00000000" w14:paraId="000000D8">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b1c1d"/>
          <w:sz w:val="36"/>
          <w:szCs w:val="36"/>
          <w:rtl w:val="0"/>
        </w:rPr>
        <w:t xml:space="preserve">迴歸分析 (Regression Analysis):</w:t>
      </w:r>
      <w:r w:rsidDel="00000000" w:rsidR="00000000" w:rsidRPr="00000000">
        <w:rPr>
          <w:rFonts w:ascii="Google Sans Text" w:cs="Google Sans Text" w:eastAsia="Google Sans Text" w:hAnsi="Google Sans Text"/>
          <w:i w:val="0"/>
          <w:iCs w:val="0"/>
          <w:color w:val="1b1c1d"/>
          <w:sz w:val="36"/>
          <w:szCs w:val="36"/>
          <w:rtl w:val="0"/>
        </w:rPr>
        <w:t xml:space="preserve"> 根據歷史數據中每個指標與某個外匯風險或波動率代理變數之間的統計關係（例如迴歸係數的顯著性或大小）來確定權重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53</w:t>
      </w:r>
      <w:r w:rsidDel="00000000" w:rsidR="00000000" w:rsidRPr="00000000">
        <w:rPr>
          <w:rFonts w:ascii="Google Sans Text" w:cs="Google Sans Text" w:eastAsia="Google Sans Text" w:hAnsi="Google Sans Text"/>
          <w:i w:val="0"/>
          <w:iCs w:val="0"/>
          <w:color w:val="1b1c1d"/>
          <w:sz w:val="36"/>
          <w:szCs w:val="36"/>
          <w:rtl w:val="0"/>
        </w:rPr>
        <w:t xml:space="preserve">。優點是直接將指標與風險結果聯繫起來。缺點是需要一個可靠的歷史風險代理變數，且結果受模型設定的影響。</w:t>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回測 / 歷史影響力分析 (Backtesting / Historical Impact Analysis):</w:t>
      </w:r>
    </w:p>
    <w:p w:rsidR="00000000" w:rsidDel="00000000" w:rsidP="00000000" w:rsidRDefault="00000000" w:rsidRPr="00000000" w14:paraId="000000DA">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根據每個指標在歷史上預測或關聯TWD/USD高風險/高波動時期的能力強弱來分配權重。可以測試不同的權重方案，觀察哪種方案在歷史數據上能產生最準確的風險位階信號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B">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優點是基於實際表現，直接驗證權重的有效性。</w:t>
      </w:r>
    </w:p>
    <w:p w:rsidR="00000000" w:rsidDel="00000000" w:rsidP="00000000" w:rsidRDefault="00000000" w:rsidRPr="00000000" w14:paraId="000000DC">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0"/>
          <w:iCs w:val="0"/>
          <w:color w:val="1b1c1d"/>
          <w:sz w:val="36"/>
          <w:szCs w:val="36"/>
          <w:rtl w:val="0"/>
        </w:rPr>
        <w:t xml:space="preserve">缺點是依賴歷史數據對未來的代表性，且如果回測設計不當，可能導致過度擬合歷史數據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51</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TWD/USD情境下的考量</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對於TWD/USD風險位階框架，建議採用一種混合方法來決定權重。可以從基於經濟理論和專家判斷的初始權重設定開始（例如，考慮資本流動、貿易差額、利差等因素對新台幣匯率的傳統重要性），然後利用統計分析（例如，檢查指標間的相關性以避免重複計算 53）和嚴謹的回測 57 來驗證和調整這些權重。最終的具體權重將取決於框架中最終選定的指標組合。</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權重方法的選擇與風險判斷方法（評分卡 vs. 模型）的選擇密切相關。對於</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評分卡</w:t>
      </w:r>
      <w:r w:rsidDel="00000000" w:rsidR="00000000" w:rsidRPr="00000000">
        <w:rPr>
          <w:rFonts w:ascii="Google Sans Text" w:cs="Google Sans Text" w:eastAsia="Google Sans Text" w:hAnsi="Google Sans Text"/>
          <w:i w:val="0"/>
          <w:iCs w:val="0"/>
          <w:color w:val="1b1c1d"/>
          <w:sz w:val="36"/>
          <w:szCs w:val="36"/>
          <w:rtl w:val="0"/>
        </w:rPr>
        <w:t xml:space="preserve">方法，</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顯式</w:t>
      </w:r>
      <w:r w:rsidDel="00000000" w:rsidR="00000000" w:rsidRPr="00000000">
        <w:rPr>
          <w:rFonts w:ascii="Google Sans Text" w:cs="Google Sans Text" w:eastAsia="Google Sans Text" w:hAnsi="Google Sans Text"/>
          <w:i w:val="0"/>
          <w:iCs w:val="0"/>
          <w:color w:val="1b1c1d"/>
          <w:sz w:val="36"/>
          <w:szCs w:val="36"/>
          <w:rtl w:val="0"/>
        </w:rPr>
        <w:t xml:space="preserve">設定權重是核心環節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。使用者需要明確定義每個指標的重要性。然而，對於</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基於模型</w:t>
      </w:r>
      <w:r w:rsidDel="00000000" w:rsidR="00000000" w:rsidRPr="00000000">
        <w:rPr>
          <w:rFonts w:ascii="Google Sans Text" w:cs="Google Sans Text" w:eastAsia="Google Sans Text" w:hAnsi="Google Sans Text"/>
          <w:i w:val="0"/>
          <w:iCs w:val="0"/>
          <w:color w:val="1b1c1d"/>
          <w:sz w:val="36"/>
          <w:szCs w:val="36"/>
          <w:rtl w:val="0"/>
        </w:rPr>
        <w:t xml:space="preserve">的方法，權重通常是在模型訓練過程中由演算法</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隱式</w:t>
      </w:r>
      <w:r w:rsidDel="00000000" w:rsidR="00000000" w:rsidRPr="00000000">
        <w:rPr>
          <w:rFonts w:ascii="Google Sans Text" w:cs="Google Sans Text" w:eastAsia="Google Sans Text" w:hAnsi="Google Sans Text"/>
          <w:i w:val="0"/>
          <w:iCs w:val="0"/>
          <w:color w:val="1b1c1d"/>
          <w:sz w:val="36"/>
          <w:szCs w:val="36"/>
          <w:rtl w:val="0"/>
        </w:rPr>
        <w:t xml:space="preserve">決定的。例如，在邏輯迴歸中，模型估計出的係數（β值）反映了每個指標與結果機率之間的學習到的關係，這些係數就扮演了隱式權重的角色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iCs w:val="0"/>
          <w:color w:val="1b1c1d"/>
          <w:sz w:val="36"/>
          <w:szCs w:val="36"/>
          <w:rtl w:val="0"/>
        </w:rPr>
        <w:t xml:space="preserve">。同樣，在決策樹或隨機森林模型中，特徵重要性分數（feature importance scores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iCs w:val="0"/>
          <w:color w:val="1b1c1d"/>
          <w:sz w:val="36"/>
          <w:szCs w:val="36"/>
          <w:rtl w:val="0"/>
        </w:rPr>
        <w:t xml:space="preserve">）也反映了模型賦予各指標的隱式權重。因此，當使用模型方法時，重點從「設定」權重轉向「理解」模型賦予的隱式權重，並從專家角度驗證這些隱式權重是否合理。顯式權重設定主要與評分卡方法相關，或者在需要整合多個模型輸出時可能用到。</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V. 時間維度考量</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外匯曝險的類型</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在評估TWD/USD風險時，需要區分不同時間維度的曝險類型，因為它們的性質、影響和管理方式各不相同：</w:t>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交易風險 (Transaction Risk):</w:t>
      </w:r>
      <w:r w:rsidDel="00000000" w:rsidR="00000000" w:rsidRPr="00000000">
        <w:rPr>
          <w:rFonts w:ascii="Google Sans Text" w:cs="Google Sans Text" w:eastAsia="Google Sans Text" w:hAnsi="Google Sans Text"/>
          <w:i w:val="0"/>
          <w:iCs w:val="0"/>
          <w:color w:val="1b1c1d"/>
          <w:sz w:val="36"/>
          <w:szCs w:val="36"/>
          <w:rtl w:val="0"/>
        </w:rPr>
        <w:t xml:space="preserve"> 這是</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短期</w:t>
      </w:r>
      <w:r w:rsidDel="00000000" w:rsidR="00000000" w:rsidRPr="00000000">
        <w:rPr>
          <w:rFonts w:ascii="Google Sans Text" w:cs="Google Sans Text" w:eastAsia="Google Sans Text" w:hAnsi="Google Sans Text"/>
          <w:i w:val="0"/>
          <w:iCs w:val="0"/>
          <w:color w:val="1b1c1d"/>
          <w:sz w:val="36"/>
          <w:szCs w:val="36"/>
          <w:rtl w:val="0"/>
        </w:rPr>
        <w:t xml:space="preserve">風險，源於從簽訂合約到實際結算期間匯率變動的可能性。它直接影響以TWD或USD計價的特定交易（如進出口付款、收款）的最終成本或收入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。管理此類風險通常涉及短期避險工具，如遠期外匯合約、外匯選擇權等。</w:t>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換算風險 (Translation Risk / Accounting Risk):</w:t>
      </w:r>
      <w:r w:rsidDel="00000000" w:rsidR="00000000" w:rsidRPr="00000000">
        <w:rPr>
          <w:rFonts w:ascii="Google Sans Text" w:cs="Google Sans Text" w:eastAsia="Google Sans Text" w:hAnsi="Google Sans Text"/>
          <w:i w:val="0"/>
          <w:iCs w:val="0"/>
          <w:color w:val="1b1c1d"/>
          <w:sz w:val="36"/>
          <w:szCs w:val="36"/>
          <w:rtl w:val="0"/>
        </w:rPr>
        <w:t xml:space="preserve"> 這是</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中期至長期</w:t>
      </w:r>
      <w:r w:rsidDel="00000000" w:rsidR="00000000" w:rsidRPr="00000000">
        <w:rPr>
          <w:rFonts w:ascii="Google Sans Text" w:cs="Google Sans Text" w:eastAsia="Google Sans Text" w:hAnsi="Google Sans Text"/>
          <w:i w:val="0"/>
          <w:iCs w:val="0"/>
          <w:color w:val="1b1c1d"/>
          <w:sz w:val="36"/>
          <w:szCs w:val="36"/>
          <w:rtl w:val="0"/>
        </w:rPr>
        <w:t xml:space="preserve">風險，與將海外子公司的財務報表換算回母公司記帳貨幣（例如，將台灣子公司的TWD報表換算為美國母公司的USD報表）相關。匯率波動會影響合併報表中的資產、負債、收入和損益數值，進而影響公司報告的財務績效和資產負債狀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。其管理策略可能與交易風險避險不同。</w:t>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經濟風險 (Economic Risk / Operating Exposure):</w:t>
      </w:r>
      <w:r w:rsidDel="00000000" w:rsidR="00000000" w:rsidRPr="00000000">
        <w:rPr>
          <w:rFonts w:ascii="Google Sans Text" w:cs="Google Sans Text" w:eastAsia="Google Sans Text" w:hAnsi="Google Sans Text"/>
          <w:i w:val="0"/>
          <w:iCs w:val="0"/>
          <w:color w:val="1b1c1d"/>
          <w:sz w:val="36"/>
          <w:szCs w:val="36"/>
          <w:rtl w:val="0"/>
        </w:rPr>
        <w:t xml:space="preserve"> 這是</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長期</w:t>
      </w:r>
      <w:r w:rsidDel="00000000" w:rsidR="00000000" w:rsidRPr="00000000">
        <w:rPr>
          <w:rFonts w:ascii="Google Sans Text" w:cs="Google Sans Text" w:eastAsia="Google Sans Text" w:hAnsi="Google Sans Text"/>
          <w:i w:val="0"/>
          <w:iCs w:val="0"/>
          <w:color w:val="1b1c1d"/>
          <w:sz w:val="36"/>
          <w:szCs w:val="36"/>
          <w:rtl w:val="0"/>
        </w:rPr>
        <w:t xml:space="preserve">風險，指非預期的、持續性的匯率變動對公司未來現金流量、市場競爭地位及整體企業價值的影響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iCs w:val="0"/>
          <w:color w:val="1b1c1d"/>
          <w:sz w:val="36"/>
          <w:szCs w:val="36"/>
          <w:rtl w:val="0"/>
        </w:rPr>
        <w:t xml:space="preserve">。即使公司沒有直接的跨國交易，也可能受到經濟風險的影響（例如，本地製造商面臨因匯率變動而變得更便宜的進口產品的競爭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36"/>
          <w:szCs w:val="36"/>
          <w:rtl w:val="0"/>
        </w:rPr>
        <w:t xml:space="preserve">）。此風險主要由市場結構和企業營運的靈活性等因素決定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36"/>
          <w:szCs w:val="36"/>
          <w:rtl w:val="0"/>
        </w:rPr>
        <w:t xml:space="preserve">，其管理需要超越單純財務避險的戰略性應對措施。</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調整框架焦點</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所定義的風險位階及其判斷方法可以根據需要側重於特定的時間維度：</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側重短期風險：</w:t>
      </w:r>
      <w:r w:rsidDel="00000000" w:rsidR="00000000" w:rsidRPr="00000000">
        <w:rPr>
          <w:rFonts w:ascii="Google Sans Text" w:cs="Google Sans Text" w:eastAsia="Google Sans Text" w:hAnsi="Google Sans Text"/>
          <w:i w:val="0"/>
          <w:iCs w:val="0"/>
          <w:color w:val="1b1c1d"/>
          <w:sz w:val="36"/>
          <w:szCs w:val="36"/>
          <w:rtl w:val="0"/>
        </w:rPr>
        <w:t xml:space="preserve"> 框架應著重於對近期波動敏感的指標，例如高頻交易數據、短天期隱含波動率、資金流動數據、市場情緒指標等。適用的方法可能包括高頻預測模型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iCs w:val="0"/>
          <w:color w:val="1b1c1d"/>
          <w:sz w:val="36"/>
          <w:szCs w:val="36"/>
          <w:rtl w:val="0"/>
        </w:rPr>
        <w:t xml:space="preserve"> 或側重於即時觸發信號的評分卡。此時，風險位階主要反映的是迫在眉睫的交易風險。</w:t>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側重長期風險：</w:t>
      </w:r>
      <w:r w:rsidDel="00000000" w:rsidR="00000000" w:rsidRPr="00000000">
        <w:rPr>
          <w:rFonts w:ascii="Google Sans Text" w:cs="Google Sans Text" w:eastAsia="Google Sans Text" w:hAnsi="Google Sans Text"/>
          <w:i w:val="0"/>
          <w:iCs w:val="0"/>
          <w:color w:val="1b1c1d"/>
          <w:sz w:val="36"/>
          <w:szCs w:val="36"/>
          <w:rtl w:val="0"/>
        </w:rPr>
        <w:t xml:space="preserve"> 框架應更重視反映宏觀經濟基本面、結構性失衡、長期估值指標（如購買力平價PPP偏離度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iCs w:val="0"/>
          <w:color w:val="1b1c1d"/>
          <w:sz w:val="36"/>
          <w:szCs w:val="36"/>
          <w:rtl w:val="0"/>
        </w:rPr>
        <w:t xml:space="preserve">）、政治風險因素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iCs w:val="0"/>
          <w:color w:val="1b1c1d"/>
          <w:sz w:val="36"/>
          <w:szCs w:val="36"/>
          <w:rtl w:val="0"/>
        </w:rPr>
        <w:t xml:space="preserve"> 等的指標。適用的方法可能包括能夠捕捉經濟週期的機制轉換模型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iCs w:val="0"/>
          <w:color w:val="1b1c1d"/>
          <w:sz w:val="36"/>
          <w:szCs w:val="36"/>
          <w:rtl w:val="0"/>
        </w:rPr>
        <w:t xml:space="preserve"> 或納入了更多基本面指標的評分卡。此時，風險位階更多地反映潛在的經濟風險或換算風險。</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整合策略</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為了獲得更全面的風險視圖，可以考慮以下整合策略：</w:t>
      </w:r>
    </w:p>
    <w:p w:rsidR="00000000" w:rsidDel="00000000" w:rsidP="00000000" w:rsidRDefault="00000000" w:rsidRPr="00000000" w14:paraId="000000E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分層方法 (Layered Approach):</w:t>
      </w:r>
      <w:r w:rsidDel="00000000" w:rsidR="00000000" w:rsidRPr="00000000">
        <w:rPr>
          <w:rFonts w:ascii="Google Sans Text" w:cs="Google Sans Text" w:eastAsia="Google Sans Text" w:hAnsi="Google Sans Text"/>
          <w:i w:val="0"/>
          <w:iCs w:val="0"/>
          <w:color w:val="1b1c1d"/>
          <w:sz w:val="36"/>
          <w:szCs w:val="36"/>
          <w:rtl w:val="0"/>
        </w:rPr>
        <w:t xml:space="preserve"> 維護兩個獨立的評估系統，一個專注於短期風險（用於戰術性避險決策），另一個專注於長期風險（用於戰略規劃）。</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整合性框架 (Integrated Scorecard/Model):</w:t>
      </w:r>
      <w:r w:rsidDel="00000000" w:rsidR="00000000" w:rsidRPr="00000000">
        <w:rPr>
          <w:rFonts w:ascii="Google Sans Text" w:cs="Google Sans Text" w:eastAsia="Google Sans Text" w:hAnsi="Google Sans Text"/>
          <w:i w:val="0"/>
          <w:iCs w:val="0"/>
          <w:color w:val="1b1c1d"/>
          <w:sz w:val="36"/>
          <w:szCs w:val="36"/>
          <w:rtl w:val="0"/>
        </w:rPr>
        <w:t xml:space="preserve"> 在單一框架內納入短期和長期指標的組合，並可能根據所需的整體焦點為不同時間維度的指標分配不同的權重。</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框架適應性調整 (Framework Adaptation):</w:t>
      </w:r>
      <w:r w:rsidDel="00000000" w:rsidR="00000000" w:rsidRPr="00000000">
        <w:rPr>
          <w:rFonts w:ascii="Google Sans Text" w:cs="Google Sans Text" w:eastAsia="Google Sans Text" w:hAnsi="Google Sans Text"/>
          <w:i w:val="0"/>
          <w:iCs w:val="0"/>
          <w:color w:val="1b1c1d"/>
          <w:sz w:val="36"/>
          <w:szCs w:val="36"/>
          <w:rtl w:val="0"/>
        </w:rPr>
        <w:t xml:space="preserve"> 使用相同的核心方法論（例如評分卡），但根據特定決策是需要短期還是長期視角，來調整所使用的指標集、閾值和權重。</w:t>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框架聯動 (Linking Frameworks):</w:t>
      </w:r>
      <w:r w:rsidDel="00000000" w:rsidR="00000000" w:rsidRPr="00000000">
        <w:rPr>
          <w:rFonts w:ascii="Google Sans Text" w:cs="Google Sans Text" w:eastAsia="Google Sans Text" w:hAnsi="Google Sans Text"/>
          <w:i w:val="0"/>
          <w:iCs w:val="0"/>
          <w:color w:val="1b1c1d"/>
          <w:sz w:val="36"/>
          <w:szCs w:val="36"/>
          <w:rtl w:val="0"/>
        </w:rPr>
        <w:t xml:space="preserve"> 確保短期的風險評估過程能夠為長期的戰略風險評估提供信息輸入，並與之保持一致性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。例如，持續的短期高風險信號可能預示著長期的經濟風險正在加劇。</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若短期風險信號與長期戰略定位之間出現脫節，可能導致次優決策。例如，過度關注短期波動（交易風險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iCs w:val="0"/>
          <w:color w:val="1b1c1d"/>
          <w:sz w:val="36"/>
          <w:szCs w:val="36"/>
          <w:rtl w:val="0"/>
        </w:rPr>
        <w:t xml:space="preserve">）可能導致頻繁且成本高昂的避險操作，卻未能解決根本的結構性問題（經濟風險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iCs w:val="0"/>
          <w:color w:val="1b1c1d"/>
          <w:sz w:val="36"/>
          <w:szCs w:val="36"/>
          <w:rtl w:val="0"/>
        </w:rPr>
        <w:t xml:space="preserve">）。反之，僅關注長期基本面可能使企業在突發的短期劇烈波動中遭受損失。一個整合性的方法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，將短期風險位階置於長期展望的背景下進行解讀（反之亦然），能夠在不同的決策時間維度上實現更精準、更有效的風險管理。</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36"/>
          <w:szCs w:val="36"/>
        </w:rPr>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VI. 結論與建議</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綜合概述</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本報告提出了一個用於評估新台幣/美元外匯風險位階的結構化框架。核心要素包括：(1) 一個五級的風險位階定義（從極低到極高風險），每個位階都與特定的市場特徵和潛在影響相關聯；(2) 兩種主要的風險位階判斷方法論——基於規則的評分卡和基於模型的系統（涵蓋預測性機率模型和市場狀態識別模型）的比較分析；(3) 關於如何決定各指標權重的探討，強調結合專家判斷與數據分析（特別是回測）的重要性；(4) 對風險評估中時間維度（短期交易風險 vs. 中長期換算/經濟風險）的考量及整合策略。</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方法論選擇指引</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選擇評分卡還是模型方法取決於機構的具體需求和能力。</w:t>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評分卡</w:t>
      </w:r>
      <w:r w:rsidDel="00000000" w:rsidR="00000000" w:rsidRPr="00000000">
        <w:rPr>
          <w:rFonts w:ascii="Google Sans Text" w:cs="Google Sans Text" w:eastAsia="Google Sans Text" w:hAnsi="Google Sans Text"/>
          <w:i w:val="0"/>
          <w:iCs w:val="0"/>
          <w:color w:val="1b1c1d"/>
          <w:sz w:val="36"/>
          <w:szCs w:val="36"/>
          <w:rtl w:val="0"/>
        </w:rPr>
        <w:t xml:space="preserve">：優點在於透明度高、易於實施和理解。適合需求相對簡單、對可解釋性要求高，或作為初步建立風險評估體系的起點。</w:t>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模型法</w:t>
      </w:r>
      <w:r w:rsidDel="00000000" w:rsidR="00000000" w:rsidRPr="00000000">
        <w:rPr>
          <w:rFonts w:ascii="Google Sans Text" w:cs="Google Sans Text" w:eastAsia="Google Sans Text" w:hAnsi="Google Sans Text"/>
          <w:i w:val="0"/>
          <w:iCs w:val="0"/>
          <w:color w:val="1b1c1d"/>
          <w:sz w:val="36"/>
          <w:szCs w:val="36"/>
          <w:rtl w:val="0"/>
        </w:rPr>
        <w:t xml:space="preserve">：能夠捕捉更複雜的市場動態和指標間的交互作用，具有更高的潛在準確性和適應性，但需要更強的數據基礎、專業技能和持續的維護投入。對於追求更精確風險信號且資源允許的機構，模型法是更優選擇。</w:t>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特別推薦</w:t>
      </w:r>
      <w:r w:rsidDel="00000000" w:rsidR="00000000" w:rsidRPr="00000000">
        <w:rPr>
          <w:rFonts w:ascii="Google Sans Text" w:cs="Google Sans Text" w:eastAsia="Google Sans Text" w:hAnsi="Google Sans Text"/>
          <w:i w:val="0"/>
          <w:iCs w:val="0"/>
          <w:color w:val="1b1c1d"/>
          <w:sz w:val="36"/>
          <w:szCs w:val="36"/>
          <w:rtl w:val="0"/>
        </w:rPr>
        <w:t xml:space="preserve">：</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機制轉換模型 (Regime-Switching Models)</w:t>
      </w:r>
      <w:r w:rsidDel="00000000" w:rsidR="00000000" w:rsidRPr="00000000">
        <w:rPr>
          <w:rFonts w:ascii="Google Sans Text" w:cs="Google Sans Text" w:eastAsia="Google Sans Text" w:hAnsi="Google Sans Text"/>
          <w:i w:val="0"/>
          <w:iCs w:val="0"/>
          <w:color w:val="1b1c1d"/>
          <w:sz w:val="36"/>
          <w:szCs w:val="36"/>
          <w:rtl w:val="0"/>
        </w:rPr>
        <w:t xml:space="preserve"> 因其能明確模擬外匯市場不同狀態（如高/低波動）的特性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34</w:t>
      </w:r>
      <w:r w:rsidDel="00000000" w:rsidR="00000000" w:rsidRPr="00000000">
        <w:rPr>
          <w:rFonts w:ascii="Google Sans Text" w:cs="Google Sans Text" w:eastAsia="Google Sans Text" w:hAnsi="Google Sans Text"/>
          <w:i w:val="0"/>
          <w:iCs w:val="0"/>
          <w:color w:val="1b1c1d"/>
          <w:sz w:val="36"/>
          <w:szCs w:val="36"/>
          <w:rtl w:val="0"/>
        </w:rPr>
        <w:t xml:space="preserve">，對於理解和評估TWD/USD風險位階具有特別的價值。</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實施考量</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無論選擇何種方法，成功的實施都需要：</w:t>
      </w:r>
    </w:p>
    <w:p w:rsidR="00000000" w:rsidDel="00000000" w:rsidP="00000000" w:rsidRDefault="00000000" w:rsidRPr="00000000" w14:paraId="000000F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高質量的數據</w:t>
      </w:r>
      <w:r w:rsidDel="00000000" w:rsidR="00000000" w:rsidRPr="00000000">
        <w:rPr>
          <w:rFonts w:ascii="Google Sans Text" w:cs="Google Sans Text" w:eastAsia="Google Sans Text" w:hAnsi="Google Sans Text"/>
          <w:i w:val="0"/>
          <w:iCs w:val="0"/>
          <w:color w:val="1b1c1d"/>
          <w:sz w:val="36"/>
          <w:szCs w:val="36"/>
          <w:rtl w:val="0"/>
        </w:rPr>
        <w:t xml:space="preserve">：準確、及時、完整的指標數據是基礎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50</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F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清晰的文件記錄</w:t>
      </w:r>
      <w:r w:rsidDel="00000000" w:rsidR="00000000" w:rsidRPr="00000000">
        <w:rPr>
          <w:rFonts w:ascii="Google Sans Text" w:cs="Google Sans Text" w:eastAsia="Google Sans Text" w:hAnsi="Google Sans Text"/>
          <w:i w:val="0"/>
          <w:iCs w:val="0"/>
          <w:color w:val="1b1c1d"/>
          <w:sz w:val="36"/>
          <w:szCs w:val="36"/>
          <w:rtl w:val="0"/>
        </w:rPr>
        <w:t xml:space="preserve">：詳細記錄方法論、指標定義、閾值/參數設定、權重來源等，便於審核、溝通和未來改進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F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明確的權責分配</w:t>
      </w:r>
      <w:r w:rsidDel="00000000" w:rsidR="00000000" w:rsidRPr="00000000">
        <w:rPr>
          <w:rFonts w:ascii="Google Sans Text" w:cs="Google Sans Text" w:eastAsia="Google Sans Text" w:hAnsi="Google Sans Text"/>
          <w:i w:val="0"/>
          <w:iCs w:val="0"/>
          <w:color w:val="1b1c1d"/>
          <w:sz w:val="36"/>
          <w:szCs w:val="36"/>
          <w:rtl w:val="0"/>
        </w:rPr>
        <w:t xml:space="preserve">：指定負責風險評估框架維護、監控和報告的團隊或個人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融入決策流程</w:t>
      </w:r>
      <w:r w:rsidDel="00000000" w:rsidR="00000000" w:rsidRPr="00000000">
        <w:rPr>
          <w:rFonts w:ascii="Google Sans Text" w:cs="Google Sans Text" w:eastAsia="Google Sans Text" w:hAnsi="Google Sans Text"/>
          <w:i w:val="0"/>
          <w:iCs w:val="0"/>
          <w:color w:val="1b1c1d"/>
          <w:sz w:val="36"/>
          <w:szCs w:val="36"/>
          <w:rtl w:val="0"/>
        </w:rPr>
        <w:t xml:space="preserve">：確保風險位階評估結果能實際應用於避險決策、風險限額管理、資本配置或戰略規劃中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驗證與迭代</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至關重要的是，任何選定的方法論——包括評分卡的閾值和分數、模型的參數、指標的權重——都必須通過使用TWD/USD歷史數據進行嚴格的回測 (Backtesting) 來驗證其有效性 51。回測有助於評估策略在過去市場條件下的表現，識別潛在弱點，並建立對框架的信心。</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此外，風險位階框架不應是一成不變的。它需要：</w:t>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持續監控</w:t>
      </w:r>
      <w:r w:rsidDel="00000000" w:rsidR="00000000" w:rsidRPr="00000000">
        <w:rPr>
          <w:rFonts w:ascii="Google Sans Text" w:cs="Google Sans Text" w:eastAsia="Google Sans Text" w:hAnsi="Google Sans Text"/>
          <w:i w:val="0"/>
          <w:iCs w:val="0"/>
          <w:color w:val="1b1c1d"/>
          <w:sz w:val="36"/>
          <w:szCs w:val="36"/>
          <w:rtl w:val="0"/>
        </w:rPr>
        <w:t xml:space="preserve">：監控指標數據的變化和模型的表現。</w:t>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定期審視</w:t>
      </w:r>
      <w:r w:rsidDel="00000000" w:rsidR="00000000" w:rsidRPr="00000000">
        <w:rPr>
          <w:rFonts w:ascii="Google Sans Text" w:cs="Google Sans Text" w:eastAsia="Google Sans Text" w:hAnsi="Google Sans Text"/>
          <w:i w:val="0"/>
          <w:iCs w:val="0"/>
          <w:color w:val="1b1c1d"/>
          <w:sz w:val="36"/>
          <w:szCs w:val="36"/>
          <w:rtl w:val="0"/>
        </w:rPr>
        <w:t xml:space="preserve">：定期（例如，每年或根據市場重大變化）重新評估框架的適用性。</w:t>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績效驗證</w:t>
      </w:r>
      <w:r w:rsidDel="00000000" w:rsidR="00000000" w:rsidRPr="00000000">
        <w:rPr>
          <w:rFonts w:ascii="Google Sans Text" w:cs="Google Sans Text" w:eastAsia="Google Sans Text" w:hAnsi="Google Sans Text"/>
          <w:i w:val="0"/>
          <w:iCs w:val="0"/>
          <w:color w:val="1b1c1d"/>
          <w:sz w:val="36"/>
          <w:szCs w:val="36"/>
          <w:rtl w:val="0"/>
        </w:rPr>
        <w:t xml:space="preserve">：將框架產生的風險信號與實際市場結果進行比較，評估其預測能力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36"/>
          <w:szCs w:val="36"/>
          <w:rtl w:val="0"/>
        </w:rPr>
        <w:t xml:space="preserve">持續改進</w:t>
      </w:r>
      <w:r w:rsidDel="00000000" w:rsidR="00000000" w:rsidRPr="00000000">
        <w:rPr>
          <w:rFonts w:ascii="Google Sans Text" w:cs="Google Sans Text" w:eastAsia="Google Sans Text" w:hAnsi="Google Sans Text"/>
          <w:i w:val="0"/>
          <w:iCs w:val="0"/>
          <w:color w:val="1b1c1d"/>
          <w:sz w:val="36"/>
          <w:szCs w:val="36"/>
          <w:rtl w:val="0"/>
        </w:rPr>
        <w:t xml:space="preserve">：根據驗證結果和對市場理解的深化，對指標選擇、閾值、權重或模型進行必要的調整和優化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最終思考</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一個設計良好且有效的新台幣/美元外匯風險位階框架，是一個動態的管理工具，而非一次性的靜態分析。其真正的價值在於其持續一致的應用、與業務流程的深度整合，以及基於績效反饋和不斷演進的市場認知的持續改進。</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iCs w:val="0"/>
          <w:color w:val="1b1c1d"/>
          <w:sz w:val="36"/>
          <w:szCs w:val="36"/>
        </w:rPr>
      </w:pPr>
      <w:r w:rsidDel="00000000" w:rsidR="00000000" w:rsidRPr="00000000">
        <w:rPr>
          <w:rFonts w:ascii="Google Sans Text" w:cs="Google Sans Text" w:eastAsia="Google Sans Text" w:hAnsi="Google Sans Text"/>
          <w:i w:val="0"/>
          <w:iCs w:val="0"/>
          <w:color w:val="1b1c1d"/>
          <w:sz w:val="36"/>
          <w:szCs w:val="36"/>
          <w:rtl w:val="0"/>
        </w:rPr>
        <w:t xml:space="preserve">開發和實施一個穩健的外匯風險位階框架，不僅僅是一個技術挑戰，更需要強有力的</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治理結構</w:t>
      </w:r>
      <w:r w:rsidDel="00000000" w:rsidR="00000000" w:rsidRPr="00000000">
        <w:rPr>
          <w:rFonts w:ascii="Google Sans Text" w:cs="Google Sans Text" w:eastAsia="Google Sans Text" w:hAnsi="Google Sans Text"/>
          <w:i w:val="0"/>
          <w:iCs w:val="0"/>
          <w:color w:val="1b1c1d"/>
          <w:sz w:val="36"/>
          <w:szCs w:val="36"/>
          <w:rtl w:val="0"/>
        </w:rPr>
        <w:t xml:space="preserve">、</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清晰的溝通機制</w:t>
      </w:r>
      <w:r w:rsidDel="00000000" w:rsidR="00000000" w:rsidRPr="00000000">
        <w:rPr>
          <w:rFonts w:ascii="Google Sans Text" w:cs="Google Sans Text" w:eastAsia="Google Sans Text" w:hAnsi="Google Sans Text"/>
          <w:i w:val="0"/>
          <w:iCs w:val="0"/>
          <w:color w:val="1b1c1d"/>
          <w:sz w:val="36"/>
          <w:szCs w:val="36"/>
          <w:rtl w:val="0"/>
        </w:rPr>
        <w:t xml:space="preserve">，以及與</w:t>
      </w:r>
      <w:r w:rsidDel="00000000" w:rsidR="00000000" w:rsidRPr="00000000">
        <w:rPr>
          <w:rFonts w:ascii="Google Sans Text" w:cs="Google Sans Text" w:eastAsia="Google Sans Text" w:hAnsi="Google Sans Text"/>
          <w:b w:val="1"/>
          <w:bCs w:val="1"/>
          <w:i w:val="0"/>
          <w:iCs w:val="0"/>
          <w:color w:val="1b1c1d"/>
          <w:sz w:val="36"/>
          <w:szCs w:val="36"/>
          <w:rtl w:val="0"/>
        </w:rPr>
        <w:t xml:space="preserve">整體業務戰略和風險偏好</w:t>
      </w:r>
      <w:r w:rsidDel="00000000" w:rsidR="00000000" w:rsidRPr="00000000">
        <w:rPr>
          <w:rFonts w:ascii="Google Sans Text" w:cs="Google Sans Text" w:eastAsia="Google Sans Text" w:hAnsi="Google Sans Text"/>
          <w:i w:val="0"/>
          <w:iCs w:val="0"/>
          <w:color w:val="1b1c1d"/>
          <w:sz w:val="36"/>
          <w:szCs w:val="36"/>
          <w:rtl w:val="0"/>
        </w:rPr>
        <w:t xml:space="preserve">的緊密結合。技術要素（指標、模型、權重）固然重要，但它們的有效性最終取決於如何在組織內部被使用。健全的治理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、關鍵利益相關者的支持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68</w:t>
      </w:r>
      <w:r w:rsidDel="00000000" w:rsidR="00000000" w:rsidRPr="00000000">
        <w:rPr>
          <w:rFonts w:ascii="Google Sans Text" w:cs="Google Sans Text" w:eastAsia="Google Sans Text" w:hAnsi="Google Sans Text"/>
          <w:i w:val="0"/>
          <w:iCs w:val="0"/>
          <w:color w:val="1b1c1d"/>
          <w:sz w:val="36"/>
          <w:szCs w:val="36"/>
          <w:rtl w:val="0"/>
        </w:rPr>
        <w:t xml:space="preserve">、與戰略目標的對齊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iCs w:val="0"/>
          <w:color w:val="1b1c1d"/>
          <w:sz w:val="36"/>
          <w:szCs w:val="36"/>
          <w:rtl w:val="0"/>
        </w:rPr>
        <w:t xml:space="preserve">，以及跨部門的有效溝通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iCs w:val="0"/>
          <w:color w:val="1b1c1d"/>
          <w:sz w:val="36"/>
          <w:szCs w:val="36"/>
          <w:rtl w:val="0"/>
        </w:rPr>
        <w:t xml:space="preserve">，是確保該框架能夠轉化為更優風險管理決策、最終保護企業價值的必要條件。這與更廣泛的整合風險管理（IRM）和戰略風險管理框架所強調的原則是一致的 </w:t>
      </w:r>
      <w:r w:rsidDel="00000000" w:rsidR="00000000" w:rsidRPr="00000000">
        <w:rPr>
          <w:rFonts w:ascii="Google Sans Text" w:cs="Google Sans Text" w:eastAsia="Google Sans Text" w:hAnsi="Google Sans Text"/>
          <w:i w:val="0"/>
          <w:iCs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iCs w:val="0"/>
          <w:color w:val="1b1c1d"/>
          <w:sz w:val="36"/>
          <w:szCs w:val="36"/>
          <w:rtl w:val="0"/>
        </w:rPr>
        <w:t xml:space="preserve">。</w:t>
      </w:r>
    </w:p>
    <w:p w:rsidR="00000000" w:rsidDel="00000000" w:rsidP="00000000" w:rsidRDefault="00000000" w:rsidRPr="00000000" w14:paraId="0000010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10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DeftHedge, SaaS software for foreign exchange risk management, 檢索日期：5月 5, 2025， </w:t>
      </w:r>
      <w:hyperlink r:id="rId6">
        <w:r w:rsidDel="00000000" w:rsidR="00000000" w:rsidRPr="00000000">
          <w:rPr>
            <w:rFonts w:ascii="Google Sans" w:cs="Google Sans" w:eastAsia="Google Sans" w:hAnsi="Google Sans"/>
            <w:color w:val="0000ee"/>
            <w:sz w:val="24"/>
            <w:szCs w:val="24"/>
            <w:u w:val="single"/>
            <w:rtl w:val="0"/>
          </w:rPr>
          <w:t xml:space="preserve">https://www.defthedge.com/en/exchange-risk-management.html</w:t>
        </w:r>
      </w:hyperlink>
      <w:r w:rsidDel="00000000" w:rsidR="00000000" w:rsidRPr="00000000">
        <w:rPr>
          <w:rtl w:val="0"/>
        </w:rPr>
      </w:r>
    </w:p>
    <w:p w:rsidR="00000000" w:rsidDel="00000000" w:rsidP="00000000" w:rsidRDefault="00000000" w:rsidRPr="00000000" w14:paraId="0000010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Exchange Risk Assessment | Business FX - Halo Financial, 檢索日期：5月 5, 2025， </w:t>
      </w:r>
      <w:hyperlink r:id="rId7">
        <w:r w:rsidDel="00000000" w:rsidR="00000000" w:rsidRPr="00000000">
          <w:rPr>
            <w:rFonts w:ascii="Google Sans" w:cs="Google Sans" w:eastAsia="Google Sans" w:hAnsi="Google Sans"/>
            <w:color w:val="0000ee"/>
            <w:sz w:val="24"/>
            <w:szCs w:val="24"/>
            <w:u w:val="single"/>
            <w:rtl w:val="0"/>
          </w:rPr>
          <w:t xml:space="preserve">https://www.halofinancial.com/corporate/expertise/risk-assessment</w:t>
        </w:r>
      </w:hyperlink>
      <w:r w:rsidDel="00000000" w:rsidR="00000000" w:rsidRPr="00000000">
        <w:rPr>
          <w:rtl w:val="0"/>
        </w:rPr>
      </w:r>
    </w:p>
    <w:p w:rsidR="00000000" w:rsidDel="00000000" w:rsidP="00000000" w:rsidRDefault="00000000" w:rsidRPr="00000000" w14:paraId="0000010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Foreign Exchange Risk Defined: Management and Strategies - NetSuite, 檢索日期：5月 5, 2025， </w:t>
      </w:r>
      <w:hyperlink r:id="rId8">
        <w:r w:rsidDel="00000000" w:rsidR="00000000" w:rsidRPr="00000000">
          <w:rPr>
            <w:rFonts w:ascii="Google Sans" w:cs="Google Sans" w:eastAsia="Google Sans" w:hAnsi="Google Sans"/>
            <w:color w:val="0000ee"/>
            <w:sz w:val="24"/>
            <w:szCs w:val="24"/>
            <w:u w:val="single"/>
            <w:rtl w:val="0"/>
          </w:rPr>
          <w:t xml:space="preserve">https://www.netsuite.com/portal/resource/articles/accounting/exchange-rate.shtml</w:t>
        </w:r>
      </w:hyperlink>
      <w:r w:rsidDel="00000000" w:rsidR="00000000" w:rsidRPr="00000000">
        <w:rPr>
          <w:rtl w:val="0"/>
        </w:rPr>
      </w:r>
    </w:p>
    <w:p w:rsidR="00000000" w:rsidDel="00000000" w:rsidP="00000000" w:rsidRDefault="00000000" w:rsidRPr="00000000" w14:paraId="0000010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FX Risk? | GTreasury, 檢索日期：5月 5, 2025， </w:t>
      </w:r>
      <w:hyperlink r:id="rId9">
        <w:r w:rsidDel="00000000" w:rsidR="00000000" w:rsidRPr="00000000">
          <w:rPr>
            <w:rFonts w:ascii="Google Sans" w:cs="Google Sans" w:eastAsia="Google Sans" w:hAnsi="Google Sans"/>
            <w:color w:val="0000ee"/>
            <w:sz w:val="24"/>
            <w:szCs w:val="24"/>
            <w:u w:val="single"/>
            <w:rtl w:val="0"/>
          </w:rPr>
          <w:t xml:space="preserve">https://www.gtreasury.com/posts/what-is-fx-risk</w:t>
        </w:r>
      </w:hyperlink>
      <w:r w:rsidDel="00000000" w:rsidR="00000000" w:rsidRPr="00000000">
        <w:rPr>
          <w:rtl w:val="0"/>
        </w:rPr>
      </w:r>
    </w:p>
    <w:p w:rsidR="00000000" w:rsidDel="00000000" w:rsidP="00000000" w:rsidRDefault="00000000" w:rsidRPr="00000000" w14:paraId="0000010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Exchange Rate Risk: Economic Exposure - Investopedia, 檢索日期：5月 5, 2025， </w:t>
      </w:r>
      <w:hyperlink r:id="rId10">
        <w:r w:rsidDel="00000000" w:rsidR="00000000" w:rsidRPr="00000000">
          <w:rPr>
            <w:rFonts w:ascii="Google Sans" w:cs="Google Sans" w:eastAsia="Google Sans" w:hAnsi="Google Sans"/>
            <w:color w:val="0000ee"/>
            <w:sz w:val="24"/>
            <w:szCs w:val="24"/>
            <w:u w:val="single"/>
            <w:rtl w:val="0"/>
          </w:rPr>
          <w:t xml:space="preserve">https://www.investopedia.com/articles/forex/021114/exchange-rate-risk-economic-exposure.asp</w:t>
        </w:r>
      </w:hyperlink>
      <w:r w:rsidDel="00000000" w:rsidR="00000000" w:rsidRPr="00000000">
        <w:rPr>
          <w:rtl w:val="0"/>
        </w:rPr>
      </w:r>
    </w:p>
    <w:p w:rsidR="00000000" w:rsidDel="00000000" w:rsidP="00000000" w:rsidRDefault="00000000" w:rsidRPr="00000000" w14:paraId="0000010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Strategies to Protect Against Foreign Exchange Risk - MineralTree, 檢索日期：5月 5, 2025， </w:t>
      </w:r>
      <w:hyperlink r:id="rId11">
        <w:r w:rsidDel="00000000" w:rsidR="00000000" w:rsidRPr="00000000">
          <w:rPr>
            <w:rFonts w:ascii="Google Sans" w:cs="Google Sans" w:eastAsia="Google Sans" w:hAnsi="Google Sans"/>
            <w:color w:val="0000ee"/>
            <w:sz w:val="24"/>
            <w:szCs w:val="24"/>
            <w:u w:val="single"/>
            <w:rtl w:val="0"/>
          </w:rPr>
          <w:t xml:space="preserve">https://www.mineraltree.com/blog/foreign-exchange-risk/</w:t>
        </w:r>
      </w:hyperlink>
      <w:r w:rsidDel="00000000" w:rsidR="00000000" w:rsidRPr="00000000">
        <w:rPr>
          <w:rtl w:val="0"/>
        </w:rPr>
      </w:r>
    </w:p>
    <w:p w:rsidR="00000000" w:rsidDel="00000000" w:rsidP="00000000" w:rsidRDefault="00000000" w:rsidRPr="00000000" w14:paraId="0000011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Exchange Rate Risk Measurement and Management: Issues and Approaches for Firms; Michael Papaioannou, 檢索日期：5月 5, 2025， </w:t>
      </w:r>
      <w:hyperlink r:id="rId12">
        <w:r w:rsidDel="00000000" w:rsidR="00000000" w:rsidRPr="00000000">
          <w:rPr>
            <w:rFonts w:ascii="Google Sans" w:cs="Google Sans" w:eastAsia="Google Sans" w:hAnsi="Google Sans"/>
            <w:color w:val="0000ee"/>
            <w:sz w:val="24"/>
            <w:szCs w:val="24"/>
            <w:u w:val="single"/>
            <w:rtl w:val="0"/>
          </w:rPr>
          <w:t xml:space="preserve">https://www.imf.org/external/pubs/ft/wp/2006/wp06255.pdf</w:t>
        </w:r>
      </w:hyperlink>
      <w:r w:rsidDel="00000000" w:rsidR="00000000" w:rsidRPr="00000000">
        <w:rPr>
          <w:rtl w:val="0"/>
        </w:rPr>
      </w:r>
    </w:p>
    <w:p w:rsidR="00000000" w:rsidDel="00000000" w:rsidP="00000000" w:rsidRDefault="00000000" w:rsidRPr="00000000" w14:paraId="0000011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scores: Overview - Thomson Reuters Legal Solutions, 檢索日期：5月 5, 2025， </w:t>
      </w:r>
      <w:hyperlink r:id="rId13">
        <w:r w:rsidDel="00000000" w:rsidR="00000000" w:rsidRPr="00000000">
          <w:rPr>
            <w:rFonts w:ascii="Google Sans" w:cs="Google Sans" w:eastAsia="Google Sans" w:hAnsi="Google Sans"/>
            <w:color w:val="0000ee"/>
            <w:sz w:val="24"/>
            <w:szCs w:val="24"/>
            <w:u w:val="single"/>
            <w:rtl w:val="0"/>
          </w:rPr>
          <w:t xml:space="preserve">https://legal.thomsonreuters.com/blog/risk-scores-overview/</w:t>
        </w:r>
      </w:hyperlink>
      <w:r w:rsidDel="00000000" w:rsidR="00000000" w:rsidRPr="00000000">
        <w:rPr>
          <w:rtl w:val="0"/>
        </w:rPr>
      </w:r>
    </w:p>
    <w:p w:rsidR="00000000" w:rsidDel="00000000" w:rsidP="00000000" w:rsidRDefault="00000000" w:rsidRPr="00000000" w14:paraId="0000011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GHS INDEX METHODOLOGY, 檢索日期：5月 5, 2025， </w:t>
      </w:r>
      <w:hyperlink r:id="rId14">
        <w:r w:rsidDel="00000000" w:rsidR="00000000" w:rsidRPr="00000000">
          <w:rPr>
            <w:rFonts w:ascii="Google Sans" w:cs="Google Sans" w:eastAsia="Google Sans" w:hAnsi="Google Sans"/>
            <w:color w:val="0000ee"/>
            <w:sz w:val="24"/>
            <w:szCs w:val="24"/>
            <w:u w:val="single"/>
            <w:rtl w:val="0"/>
          </w:rPr>
          <w:t xml:space="preserve">https://ghsindex.org/wp-content/uploads/2021/11/2021_GHSindex_Methodology_FINAL.pdf</w:t>
        </w:r>
      </w:hyperlink>
      <w:r w:rsidDel="00000000" w:rsidR="00000000" w:rsidRPr="00000000">
        <w:rPr>
          <w:rtl w:val="0"/>
        </w:rPr>
      </w:r>
    </w:p>
    <w:p w:rsidR="00000000" w:rsidDel="00000000" w:rsidP="00000000" w:rsidRDefault="00000000" w:rsidRPr="00000000" w14:paraId="0000011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Risk Categories? Types &amp; How to to Identify Risks? - Metricstream, 檢索日期：5月 5, 2025， </w:t>
      </w:r>
      <w:hyperlink r:id="rId15">
        <w:r w:rsidDel="00000000" w:rsidR="00000000" w:rsidRPr="00000000">
          <w:rPr>
            <w:rFonts w:ascii="Google Sans" w:cs="Google Sans" w:eastAsia="Google Sans" w:hAnsi="Google Sans"/>
            <w:color w:val="0000ee"/>
            <w:sz w:val="24"/>
            <w:szCs w:val="24"/>
            <w:u w:val="single"/>
            <w:rtl w:val="0"/>
          </w:rPr>
          <w:t xml:space="preserve">https://www.metricstream.com/learn/what-are-risk-categories.html</w:t>
        </w:r>
      </w:hyperlink>
      <w:r w:rsidDel="00000000" w:rsidR="00000000" w:rsidRPr="00000000">
        <w:rPr>
          <w:rtl w:val="0"/>
        </w:rPr>
      </w:r>
    </w:p>
    <w:p w:rsidR="00000000" w:rsidDel="00000000" w:rsidP="00000000" w:rsidRDefault="00000000" w:rsidRPr="00000000" w14:paraId="0000011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Categories of Risk The OCC has defined nine categories of risk for bank supervision purposes. These risks are: Credit, Interest, 檢索日期：5月 5, 2025， </w:t>
      </w:r>
      <w:hyperlink r:id="rId16">
        <w:r w:rsidDel="00000000" w:rsidR="00000000" w:rsidRPr="00000000">
          <w:rPr>
            <w:rFonts w:ascii="Google Sans" w:cs="Google Sans" w:eastAsia="Google Sans" w:hAnsi="Google Sans"/>
            <w:color w:val="0000ee"/>
            <w:sz w:val="24"/>
            <w:szCs w:val="24"/>
            <w:u w:val="single"/>
            <w:rtl w:val="0"/>
          </w:rPr>
          <w:t xml:space="preserve">https://www.occ.treas.gov/news-issuances/news-releases/1996/nr-occ-1996-2a.pdf</w:t>
        </w:r>
      </w:hyperlink>
      <w:r w:rsidDel="00000000" w:rsidR="00000000" w:rsidRPr="00000000">
        <w:rPr>
          <w:rtl w:val="0"/>
        </w:rPr>
      </w:r>
    </w:p>
    <w:p w:rsidR="00000000" w:rsidDel="00000000" w:rsidP="00000000" w:rsidRDefault="00000000" w:rsidRPr="00000000" w14:paraId="0000011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Integrated Risk Management (IRM)? - SixSigma.us, 檢索日期：5月 5, 2025， </w:t>
      </w:r>
      <w:hyperlink r:id="rId17">
        <w:r w:rsidDel="00000000" w:rsidR="00000000" w:rsidRPr="00000000">
          <w:rPr>
            <w:rFonts w:ascii="Google Sans" w:cs="Google Sans" w:eastAsia="Google Sans" w:hAnsi="Google Sans"/>
            <w:color w:val="0000ee"/>
            <w:sz w:val="24"/>
            <w:szCs w:val="24"/>
            <w:u w:val="single"/>
            <w:rtl w:val="0"/>
          </w:rPr>
          <w:t xml:space="preserve">https://www.6sigma.us/six-sigma-in-focus/integrated-risk-management-irm/</w:t>
        </w:r>
      </w:hyperlink>
      <w:r w:rsidDel="00000000" w:rsidR="00000000" w:rsidRPr="00000000">
        <w:rPr>
          <w:rtl w:val="0"/>
        </w:rPr>
      </w:r>
    </w:p>
    <w:p w:rsidR="00000000" w:rsidDel="00000000" w:rsidP="00000000" w:rsidRDefault="00000000" w:rsidRPr="00000000" w14:paraId="0000011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Correctly interpreting risk classes for funds and investments - klimaVest, 檢索日期：5月 5, 2025， </w:t>
      </w:r>
      <w:hyperlink r:id="rId18">
        <w:r w:rsidDel="00000000" w:rsidR="00000000" w:rsidRPr="00000000">
          <w:rPr>
            <w:rFonts w:ascii="Google Sans" w:cs="Google Sans" w:eastAsia="Google Sans" w:hAnsi="Google Sans"/>
            <w:color w:val="0000ee"/>
            <w:sz w:val="24"/>
            <w:szCs w:val="24"/>
            <w:u w:val="single"/>
            <w:rtl w:val="0"/>
          </w:rPr>
          <w:t xml:space="preserve">https://klimavest.de/en/knowledge/guide/risk-classes-for-funds-and-investments-/</w:t>
        </w:r>
      </w:hyperlink>
      <w:r w:rsidDel="00000000" w:rsidR="00000000" w:rsidRPr="00000000">
        <w:rPr>
          <w:rtl w:val="0"/>
        </w:rPr>
      </w:r>
    </w:p>
    <w:p w:rsidR="00000000" w:rsidDel="00000000" w:rsidP="00000000" w:rsidRDefault="00000000" w:rsidRPr="00000000" w14:paraId="0000011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Country Risk Guide Methodology | PRS Group, 檢索日期：5月 5, 2025， </w:t>
      </w:r>
      <w:hyperlink r:id="rId19">
        <w:r w:rsidDel="00000000" w:rsidR="00000000" w:rsidRPr="00000000">
          <w:rPr>
            <w:rFonts w:ascii="Google Sans" w:cs="Google Sans" w:eastAsia="Google Sans" w:hAnsi="Google Sans"/>
            <w:color w:val="0000ee"/>
            <w:sz w:val="24"/>
            <w:szCs w:val="24"/>
            <w:u w:val="single"/>
            <w:rtl w:val="0"/>
          </w:rPr>
          <w:t xml:space="preserve">https://www.prsgroup.com/wp-content/uploads/2012/11/icrgmethodology.pdf</w:t>
        </w:r>
      </w:hyperlink>
      <w:r w:rsidDel="00000000" w:rsidR="00000000" w:rsidRPr="00000000">
        <w:rPr>
          <w:rtl w:val="0"/>
        </w:rPr>
      </w:r>
    </w:p>
    <w:p w:rsidR="00000000" w:rsidDel="00000000" w:rsidP="00000000" w:rsidRDefault="00000000" w:rsidRPr="00000000" w14:paraId="0000011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Calculate Risk Scores for Better Risk Management | MetricStream, 檢索日期：5月 5, 2025， </w:t>
      </w:r>
      <w:hyperlink r:id="rId20">
        <w:r w:rsidDel="00000000" w:rsidR="00000000" w:rsidRPr="00000000">
          <w:rPr>
            <w:rFonts w:ascii="Google Sans" w:cs="Google Sans" w:eastAsia="Google Sans" w:hAnsi="Google Sans"/>
            <w:color w:val="0000ee"/>
            <w:sz w:val="24"/>
            <w:szCs w:val="24"/>
            <w:u w:val="single"/>
            <w:rtl w:val="0"/>
          </w:rPr>
          <w:t xml:space="preserve">https://www.metricstream.com/learn/risk-scores-for-better-risk-mgmt.html</w:t>
        </w:r>
      </w:hyperlink>
      <w:r w:rsidDel="00000000" w:rsidR="00000000" w:rsidRPr="00000000">
        <w:rPr>
          <w:rtl w:val="0"/>
        </w:rPr>
      </w:r>
    </w:p>
    <w:p w:rsidR="00000000" w:rsidDel="00000000" w:rsidP="00000000" w:rsidRDefault="00000000" w:rsidRPr="00000000" w14:paraId="0000011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Assessment Matrix: Overview and Guide - AuditBoard, 檢索日期：5月 5, 2025， </w:t>
      </w:r>
      <w:hyperlink r:id="rId21">
        <w:r w:rsidDel="00000000" w:rsidR="00000000" w:rsidRPr="00000000">
          <w:rPr>
            <w:rFonts w:ascii="Google Sans" w:cs="Google Sans" w:eastAsia="Google Sans" w:hAnsi="Google Sans"/>
            <w:color w:val="0000ee"/>
            <w:sz w:val="24"/>
            <w:szCs w:val="24"/>
            <w:u w:val="single"/>
            <w:rtl w:val="0"/>
          </w:rPr>
          <w:t xml:space="preserve">https://auditboard.com/blog/what-is-a-risk-assessment-matrix/</w:t>
        </w:r>
      </w:hyperlink>
      <w:r w:rsidDel="00000000" w:rsidR="00000000" w:rsidRPr="00000000">
        <w:rPr>
          <w:rtl w:val="0"/>
        </w:rPr>
      </w:r>
    </w:p>
    <w:p w:rsidR="00000000" w:rsidDel="00000000" w:rsidP="00000000" w:rsidRDefault="00000000" w:rsidRPr="00000000" w14:paraId="0000011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Types of Risk Assessment Methodologies + How to Choose - Drata, 檢索日期：5月 5, 2025， </w:t>
      </w:r>
      <w:hyperlink r:id="rId22">
        <w:r w:rsidDel="00000000" w:rsidR="00000000" w:rsidRPr="00000000">
          <w:rPr>
            <w:rFonts w:ascii="Google Sans" w:cs="Google Sans" w:eastAsia="Google Sans" w:hAnsi="Google Sans"/>
            <w:color w:val="0000ee"/>
            <w:sz w:val="24"/>
            <w:szCs w:val="24"/>
            <w:u w:val="single"/>
            <w:rtl w:val="0"/>
          </w:rPr>
          <w:t xml:space="preserve">https://drata.com/grc-central/risk/risk-assessment-methodologies</w:t>
        </w:r>
      </w:hyperlink>
      <w:r w:rsidDel="00000000" w:rsidR="00000000" w:rsidRPr="00000000">
        <w:rPr>
          <w:rtl w:val="0"/>
        </w:rPr>
      </w:r>
    </w:p>
    <w:p w:rsidR="00000000" w:rsidDel="00000000" w:rsidP="00000000" w:rsidRDefault="00000000" w:rsidRPr="00000000" w14:paraId="0000011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www.bankingsupervision.europa.eu, 檢索日期：5月 5, 2025， </w:t>
      </w:r>
      <w:hyperlink r:id="rId23">
        <w:r w:rsidDel="00000000" w:rsidR="00000000" w:rsidRPr="00000000">
          <w:rPr>
            <w:rFonts w:ascii="Google Sans" w:cs="Google Sans" w:eastAsia="Google Sans" w:hAnsi="Google Sans"/>
            <w:color w:val="0000ee"/>
            <w:sz w:val="24"/>
            <w:szCs w:val="24"/>
            <w:u w:val="single"/>
            <w:rtl w:val="0"/>
          </w:rPr>
          <w:t xml:space="preserve">https://www.bankingsupervision.europa.eu/activities/srep/2023/html/ssm.srep202312_marketriskcontrolsrepmethodology.en.pdf</w:t>
        </w:r>
      </w:hyperlink>
      <w:r w:rsidDel="00000000" w:rsidR="00000000" w:rsidRPr="00000000">
        <w:rPr>
          <w:rtl w:val="0"/>
        </w:rPr>
      </w:r>
    </w:p>
    <w:p w:rsidR="00000000" w:rsidDel="00000000" w:rsidP="00000000" w:rsidRDefault="00000000" w:rsidRPr="00000000" w14:paraId="0000011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risk SREP methodology - ECB Banking Supervision, 檢索日期：5月 5, 2025， </w:t>
      </w:r>
      <w:hyperlink r:id="rId24">
        <w:r w:rsidDel="00000000" w:rsidR="00000000" w:rsidRPr="00000000">
          <w:rPr>
            <w:rFonts w:ascii="Google Sans" w:cs="Google Sans" w:eastAsia="Google Sans" w:hAnsi="Google Sans"/>
            <w:color w:val="0000ee"/>
            <w:sz w:val="24"/>
            <w:szCs w:val="24"/>
            <w:u w:val="single"/>
            <w:rtl w:val="0"/>
          </w:rPr>
          <w:t xml:space="preserve">https://www.bankingsupervision.europa.eu/activities/srep/2023/html/ssm.srep202306_methodology~1fc7e1a523.en.pdf</w:t>
        </w:r>
      </w:hyperlink>
      <w:r w:rsidDel="00000000" w:rsidR="00000000" w:rsidRPr="00000000">
        <w:rPr>
          <w:rtl w:val="0"/>
        </w:rPr>
      </w:r>
    </w:p>
    <w:p w:rsidR="00000000" w:rsidDel="00000000" w:rsidP="00000000" w:rsidRDefault="00000000" w:rsidRPr="00000000" w14:paraId="0000011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Rules-Based System? Benefits, Types, and Applications | Nected Blogs, 檢索日期：5月 5, 2025， </w:t>
      </w:r>
      <w:hyperlink r:id="rId25">
        <w:r w:rsidDel="00000000" w:rsidR="00000000" w:rsidRPr="00000000">
          <w:rPr>
            <w:rFonts w:ascii="Google Sans" w:cs="Google Sans" w:eastAsia="Google Sans" w:hAnsi="Google Sans"/>
            <w:color w:val="0000ee"/>
            <w:sz w:val="24"/>
            <w:szCs w:val="24"/>
            <w:u w:val="single"/>
            <w:rtl w:val="0"/>
          </w:rPr>
          <w:t xml:space="preserve">https://www.nected.ai/blog/rules-based-systems</w:t>
        </w:r>
      </w:hyperlink>
      <w:r w:rsidDel="00000000" w:rsidR="00000000" w:rsidRPr="00000000">
        <w:rPr>
          <w:rtl w:val="0"/>
        </w:rPr>
      </w:r>
    </w:p>
    <w:p w:rsidR="00000000" w:rsidDel="00000000" w:rsidP="00000000" w:rsidRDefault="00000000" w:rsidRPr="00000000" w14:paraId="0000011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Rule-Based Systems in AML - ResearchGate, 檢索日期：5月 5, 2025，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https://www.researchgate.net/publication/389869404_Rule-Based_Systems_in_AML</w:t>
        </w:r>
      </w:hyperlink>
      <w:r w:rsidDel="00000000" w:rsidR="00000000" w:rsidRPr="00000000">
        <w:rPr>
          <w:rtl w:val="0"/>
        </w:rPr>
      </w:r>
    </w:p>
    <w:p w:rsidR="00000000" w:rsidDel="00000000" w:rsidP="00000000" w:rsidRDefault="00000000" w:rsidRPr="00000000" w14:paraId="0000011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Choose a Rules-Based Fraud Prevention Solution - Higson, 檢索日期：5月 5, 2025， </w:t>
      </w:r>
      <w:hyperlink r:id="rId27">
        <w:r w:rsidDel="00000000" w:rsidR="00000000" w:rsidRPr="00000000">
          <w:rPr>
            <w:rFonts w:ascii="Google Sans" w:cs="Google Sans" w:eastAsia="Google Sans" w:hAnsi="Google Sans"/>
            <w:color w:val="0000ee"/>
            <w:sz w:val="24"/>
            <w:szCs w:val="24"/>
            <w:u w:val="single"/>
            <w:rtl w:val="0"/>
          </w:rPr>
          <w:t xml:space="preserve">https://www.higson.io/blog/why-choose-a-rules-based-fraud-prevention-solution</w:t>
        </w:r>
      </w:hyperlink>
      <w:r w:rsidDel="00000000" w:rsidR="00000000" w:rsidRPr="00000000">
        <w:rPr>
          <w:rtl w:val="0"/>
        </w:rPr>
      </w:r>
    </w:p>
    <w:p w:rsidR="00000000" w:rsidDel="00000000" w:rsidP="00000000" w:rsidRDefault="00000000" w:rsidRPr="00000000" w14:paraId="0000012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AML Compliance: Rule-Based Vs Risk-Based | tic company, 檢索日期：5月 5, 2025， </w:t>
      </w:r>
      <w:hyperlink r:id="rId28">
        <w:r w:rsidDel="00000000" w:rsidR="00000000" w:rsidRPr="00000000">
          <w:rPr>
            <w:rFonts w:ascii="Google Sans" w:cs="Google Sans" w:eastAsia="Google Sans" w:hAnsi="Google Sans"/>
            <w:color w:val="0000ee"/>
            <w:sz w:val="24"/>
            <w:szCs w:val="24"/>
            <w:u w:val="single"/>
            <w:rtl w:val="0"/>
          </w:rPr>
          <w:t xml:space="preserve">https://www.ticcompany.com/aml-compliance/aml-compliance-understanding-the-differences-between-risk-based-and-rule-based-approaches//</w:t>
        </w:r>
      </w:hyperlink>
      <w:r w:rsidDel="00000000" w:rsidR="00000000" w:rsidRPr="00000000">
        <w:rPr>
          <w:rtl w:val="0"/>
        </w:rPr>
      </w:r>
    </w:p>
    <w:p w:rsidR="00000000" w:rsidDel="00000000" w:rsidP="00000000" w:rsidRDefault="00000000" w:rsidRPr="00000000" w14:paraId="0000012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Rules-Based vs Machine Learning Models in Transaction Monitoring Systems - AML UAE, 檢索日期：5月 5, 2025， </w:t>
      </w:r>
      <w:hyperlink r:id="rId29">
        <w:r w:rsidDel="00000000" w:rsidR="00000000" w:rsidRPr="00000000">
          <w:rPr>
            <w:rFonts w:ascii="Google Sans" w:cs="Google Sans" w:eastAsia="Google Sans" w:hAnsi="Google Sans"/>
            <w:color w:val="0000ee"/>
            <w:sz w:val="24"/>
            <w:szCs w:val="24"/>
            <w:u w:val="single"/>
            <w:rtl w:val="0"/>
          </w:rPr>
          <w:t xml:space="preserve">https://amluae.com/portfolio/rules-based-vs-machine-learning-models-in-transaction-monitoring-systems/</w:t>
        </w:r>
      </w:hyperlink>
      <w:r w:rsidDel="00000000" w:rsidR="00000000" w:rsidRPr="00000000">
        <w:rPr>
          <w:rtl w:val="0"/>
        </w:rPr>
      </w:r>
    </w:p>
    <w:p w:rsidR="00000000" w:rsidDel="00000000" w:rsidP="00000000" w:rsidRDefault="00000000" w:rsidRPr="00000000" w14:paraId="0000012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Weighting And Scoring Criteria In The Decision Matrix - FasterCapital, 檢索日期：5月 5, 2025， </w:t>
      </w:r>
      <w:hyperlink r:id="rId30">
        <w:r w:rsidDel="00000000" w:rsidR="00000000" w:rsidRPr="00000000">
          <w:rPr>
            <w:rFonts w:ascii="Google Sans" w:cs="Google Sans" w:eastAsia="Google Sans" w:hAnsi="Google Sans"/>
            <w:color w:val="0000ee"/>
            <w:sz w:val="24"/>
            <w:szCs w:val="24"/>
            <w:u w:val="single"/>
            <w:rtl w:val="0"/>
          </w:rPr>
          <w:t xml:space="preserve">https://fastercapital.com/topics/weighting-and-scoring-criteria-in-the-decision-matrix.html</w:t>
        </w:r>
      </w:hyperlink>
      <w:r w:rsidDel="00000000" w:rsidR="00000000" w:rsidRPr="00000000">
        <w:rPr>
          <w:rtl w:val="0"/>
        </w:rPr>
      </w:r>
    </w:p>
    <w:p w:rsidR="00000000" w:rsidDel="00000000" w:rsidP="00000000" w:rsidRDefault="00000000" w:rsidRPr="00000000" w14:paraId="0000012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Risk Definition: How to Deal with Systematic Risk - Investopedia, 檢索日期：5月 5, 2025， </w:t>
      </w:r>
      <w:hyperlink r:id="rId31">
        <w:r w:rsidDel="00000000" w:rsidR="00000000" w:rsidRPr="00000000">
          <w:rPr>
            <w:rFonts w:ascii="Google Sans" w:cs="Google Sans" w:eastAsia="Google Sans" w:hAnsi="Google Sans"/>
            <w:color w:val="0000ee"/>
            <w:sz w:val="24"/>
            <w:szCs w:val="24"/>
            <w:u w:val="single"/>
            <w:rtl w:val="0"/>
          </w:rPr>
          <w:t xml:space="preserve">https://www.investopedia.com/terms/m/marketrisk.asp</w:t>
        </w:r>
      </w:hyperlink>
      <w:r w:rsidDel="00000000" w:rsidR="00000000" w:rsidRPr="00000000">
        <w:rPr>
          <w:rtl w:val="0"/>
        </w:rPr>
      </w:r>
    </w:p>
    <w:p w:rsidR="00000000" w:rsidDel="00000000" w:rsidP="00000000" w:rsidRDefault="00000000" w:rsidRPr="00000000" w14:paraId="0000012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Risk - Overview, Types, and How To Mitigate - Corporate Finance Institute, 檢索日期：5月 5, 2025， </w:t>
      </w:r>
      <w:hyperlink r:id="rId32">
        <w:r w:rsidDel="00000000" w:rsidR="00000000" w:rsidRPr="00000000">
          <w:rPr>
            <w:rFonts w:ascii="Google Sans" w:cs="Google Sans" w:eastAsia="Google Sans" w:hAnsi="Google Sans"/>
            <w:color w:val="0000ee"/>
            <w:sz w:val="24"/>
            <w:szCs w:val="24"/>
            <w:u w:val="single"/>
            <w:rtl w:val="0"/>
          </w:rPr>
          <w:t xml:space="preserve">https://corporatefinanceinstitute.com/resources/career-map/sell-side/capital-markets/market-risk/</w:t>
        </w:r>
      </w:hyperlink>
      <w:r w:rsidDel="00000000" w:rsidR="00000000" w:rsidRPr="00000000">
        <w:rPr>
          <w:rtl w:val="0"/>
        </w:rPr>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FX Risk Assessment | ATB Financial, 檢索日期：5月 5, 2025， </w:t>
      </w:r>
      <w:hyperlink r:id="rId33">
        <w:r w:rsidDel="00000000" w:rsidR="00000000" w:rsidRPr="00000000">
          <w:rPr>
            <w:rFonts w:ascii="Google Sans" w:cs="Google Sans" w:eastAsia="Google Sans" w:hAnsi="Google Sans"/>
            <w:color w:val="0000ee"/>
            <w:sz w:val="24"/>
            <w:szCs w:val="24"/>
            <w:u w:val="single"/>
            <w:rtl w:val="0"/>
          </w:rPr>
          <w:t xml:space="preserve">https://www.atb.com/commercial/good-advice/foreign-exchange-and-global-trade/fx-risk-assessment/</w:t>
        </w:r>
      </w:hyperlink>
      <w:r w:rsidDel="00000000" w:rsidR="00000000" w:rsidRPr="00000000">
        <w:rPr>
          <w:rtl w:val="0"/>
        </w:rPr>
      </w:r>
    </w:p>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Logistic Regression? | IBM, 檢索日期：5月 5, 2025， </w:t>
      </w:r>
      <w:hyperlink r:id="rId34">
        <w:r w:rsidDel="00000000" w:rsidR="00000000" w:rsidRPr="00000000">
          <w:rPr>
            <w:rFonts w:ascii="Google Sans" w:cs="Google Sans" w:eastAsia="Google Sans" w:hAnsi="Google Sans"/>
            <w:color w:val="0000ee"/>
            <w:sz w:val="24"/>
            <w:szCs w:val="24"/>
            <w:u w:val="single"/>
            <w:rtl w:val="0"/>
          </w:rPr>
          <w:t xml:space="preserve">https://www.ibm.com/think/topics/logistic-regression</w:t>
        </w:r>
      </w:hyperlink>
      <w:r w:rsidDel="00000000" w:rsidR="00000000" w:rsidRPr="00000000">
        <w:rPr>
          <w:rtl w:val="0"/>
        </w:rPr>
      </w:r>
    </w:p>
    <w:p w:rsidR="00000000" w:rsidDel="00000000" w:rsidP="00000000" w:rsidRDefault="00000000" w:rsidRPr="00000000" w14:paraId="0000012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logistic regression model for consumer default risk - PMC, 檢索日期：5月 5, 2025， </w:t>
      </w:r>
      <w:hyperlink r:id="rId35">
        <w:r w:rsidDel="00000000" w:rsidR="00000000" w:rsidRPr="00000000">
          <w:rPr>
            <w:rFonts w:ascii="Google Sans" w:cs="Google Sans" w:eastAsia="Google Sans" w:hAnsi="Google Sans"/>
            <w:color w:val="0000ee"/>
            <w:sz w:val="24"/>
            <w:szCs w:val="24"/>
            <w:u w:val="single"/>
            <w:rtl w:val="0"/>
          </w:rPr>
          <w:t xml:space="preserve">https://pmc.ncbi.nlm.nih.gov/articles/PMC9041570/</w:t>
        </w:r>
      </w:hyperlink>
      <w:r w:rsidDel="00000000" w:rsidR="00000000" w:rsidRPr="00000000">
        <w:rPr>
          <w:rtl w:val="0"/>
        </w:rPr>
      </w:r>
    </w:p>
    <w:p w:rsidR="00000000" w:rsidDel="00000000" w:rsidP="00000000" w:rsidRDefault="00000000" w:rsidRPr="00000000" w14:paraId="0000012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Credit Risk Prediction Using Machine Learning and Deep Learning: A Study on Credit Card Customers - MDPI, 檢索日期：5月 5, 2025， </w:t>
      </w:r>
      <w:hyperlink r:id="rId36">
        <w:r w:rsidDel="00000000" w:rsidR="00000000" w:rsidRPr="00000000">
          <w:rPr>
            <w:rFonts w:ascii="Google Sans" w:cs="Google Sans" w:eastAsia="Google Sans" w:hAnsi="Google Sans"/>
            <w:color w:val="0000ee"/>
            <w:sz w:val="24"/>
            <w:szCs w:val="24"/>
            <w:u w:val="single"/>
            <w:rtl w:val="0"/>
          </w:rPr>
          <w:t xml:space="preserve">https://www.mdpi.com/2227-9091/12/11/174</w:t>
        </w:r>
      </w:hyperlink>
      <w:r w:rsidDel="00000000" w:rsidR="00000000" w:rsidRPr="00000000">
        <w:rPr>
          <w:rtl w:val="0"/>
        </w:rPr>
      </w:r>
    </w:p>
    <w:p w:rsidR="00000000" w:rsidDel="00000000" w:rsidP="00000000" w:rsidRDefault="00000000" w:rsidRPr="00000000" w14:paraId="0000012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Tree-Based Methods of Volatility Prediction for the S&amp;P 500 Index - MDPI, 檢索日期：5月 5, 2025， </w:t>
      </w:r>
      <w:hyperlink r:id="rId37">
        <w:r w:rsidDel="00000000" w:rsidR="00000000" w:rsidRPr="00000000">
          <w:rPr>
            <w:rFonts w:ascii="Google Sans" w:cs="Google Sans" w:eastAsia="Google Sans" w:hAnsi="Google Sans"/>
            <w:color w:val="0000ee"/>
            <w:sz w:val="24"/>
            <w:szCs w:val="24"/>
            <w:u w:val="single"/>
            <w:rtl w:val="0"/>
          </w:rPr>
          <w:t xml:space="preserve">https://www.mdpi.com/2079-3197/13/4/84</w:t>
        </w:r>
      </w:hyperlink>
      <w:r w:rsidDel="00000000" w:rsidR="00000000" w:rsidRPr="00000000">
        <w:rPr>
          <w:rtl w:val="0"/>
        </w:rPr>
      </w:r>
    </w:p>
    <w:p w:rsidR="00000000" w:rsidDel="00000000" w:rsidP="00000000" w:rsidRDefault="00000000" w:rsidRPr="00000000" w14:paraId="0000012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of Realised Volatility with the Random Forests Algorithm - MDPI, 檢索日期：5月 5, 2025， </w:t>
      </w:r>
      <w:hyperlink r:id="rId38">
        <w:r w:rsidDel="00000000" w:rsidR="00000000" w:rsidRPr="00000000">
          <w:rPr>
            <w:rFonts w:ascii="Google Sans" w:cs="Google Sans" w:eastAsia="Google Sans" w:hAnsi="Google Sans"/>
            <w:color w:val="0000ee"/>
            <w:sz w:val="24"/>
            <w:szCs w:val="24"/>
            <w:u w:val="single"/>
            <w:rtl w:val="0"/>
          </w:rPr>
          <w:t xml:space="preserve">https://www.mdpi.com/1911-8074/11/4/61</w:t>
        </w:r>
      </w:hyperlink>
      <w:r w:rsidDel="00000000" w:rsidR="00000000" w:rsidRPr="00000000">
        <w:rPr>
          <w:rtl w:val="0"/>
        </w:rPr>
      </w:r>
    </w:p>
    <w:p w:rsidR="00000000" w:rsidDel="00000000" w:rsidP="00000000" w:rsidRDefault="00000000" w:rsidRPr="00000000" w14:paraId="0000012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flexible regime-switching framework for foreign ... - Emerald Insight, 檢索日期：5月 5, 2025， </w:t>
      </w:r>
      <w:hyperlink r:id="rId39">
        <w:r w:rsidDel="00000000" w:rsidR="00000000" w:rsidRPr="00000000">
          <w:rPr>
            <w:rFonts w:ascii="Google Sans" w:cs="Google Sans" w:eastAsia="Google Sans" w:hAnsi="Google Sans"/>
            <w:color w:val="0000ee"/>
            <w:sz w:val="24"/>
            <w:szCs w:val="24"/>
            <w:u w:val="single"/>
            <w:rtl w:val="0"/>
          </w:rPr>
          <w:t xml:space="preserve">https://www.emerald.com/insight/content/doi/10.1108/sef-08-2024-0510/full/pdf?title=a-flexible-regime-switching-framework-for-foreign-exchange-dynamics</w:t>
        </w:r>
      </w:hyperlink>
      <w:r w:rsidDel="00000000" w:rsidR="00000000" w:rsidRPr="00000000">
        <w:rPr>
          <w:rtl w:val="0"/>
        </w:rPr>
      </w:r>
    </w:p>
    <w:p w:rsidR="00000000" w:rsidDel="00000000" w:rsidP="00000000" w:rsidRDefault="00000000" w:rsidRPr="00000000" w14:paraId="0000012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Valuation of financial derivatives under regime switching models - Macquarie University, 檢索日期：5月 5, 2025， </w:t>
      </w:r>
      <w:hyperlink r:id="rId40">
        <w:r w:rsidDel="00000000" w:rsidR="00000000" w:rsidRPr="00000000">
          <w:rPr>
            <w:rFonts w:ascii="Google Sans" w:cs="Google Sans" w:eastAsia="Google Sans" w:hAnsi="Google Sans"/>
            <w:color w:val="0000ee"/>
            <w:sz w:val="24"/>
            <w:szCs w:val="24"/>
            <w:u w:val="single"/>
            <w:rtl w:val="0"/>
          </w:rPr>
          <w:t xml:space="preserve">https://figshare.mq.edu.au/articles/thesis/Valuation_of_financial_derivatives_under_regime_switching_models/19442543</w:t>
        </w:r>
      </w:hyperlink>
      <w:r w:rsidDel="00000000" w:rsidR="00000000" w:rsidRPr="00000000">
        <w:rPr>
          <w:rtl w:val="0"/>
        </w:rPr>
      </w:r>
    </w:p>
    <w:p w:rsidR="00000000" w:rsidDel="00000000" w:rsidP="00000000" w:rsidRDefault="00000000" w:rsidRPr="00000000" w14:paraId="0000012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Regime Switching Models in the Foreign Exchange Market - ResearchGate, 檢索日期：5月 5, 2025，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https://www.researchgate.net/publication/286141685_Regime_Switching_Models_in_the_Foreign_Exchange_Market</w:t>
        </w:r>
      </w:hyperlink>
      <w:r w:rsidDel="00000000" w:rsidR="00000000" w:rsidRPr="00000000">
        <w:rPr>
          <w:rtl w:val="0"/>
        </w:rPr>
      </w:r>
    </w:p>
    <w:p w:rsidR="00000000" w:rsidDel="00000000" w:rsidP="00000000" w:rsidRDefault="00000000" w:rsidRPr="00000000" w14:paraId="0000012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openaccess.city.ac.uk, 檢索日期：5月 5, 2025， </w:t>
      </w:r>
      <w:hyperlink r:id="rId42">
        <w:r w:rsidDel="00000000" w:rsidR="00000000" w:rsidRPr="00000000">
          <w:rPr>
            <w:rFonts w:ascii="Google Sans" w:cs="Google Sans" w:eastAsia="Google Sans" w:hAnsi="Google Sans"/>
            <w:color w:val="0000ee"/>
            <w:sz w:val="24"/>
            <w:szCs w:val="24"/>
            <w:u w:val="single"/>
            <w:rtl w:val="0"/>
          </w:rPr>
          <w:t xml:space="preserve">https://openaccess.city.ac.uk/31578/11/Int%20%20J%20Fin%20Econ%20-%202023%20-%20Lee%20-%20Foreign%20exchange%20hedging%20using%20regime%E2%80%90switching%20models%20%20The%20case%20of%20pound%20sterling.pdf</w:t>
        </w:r>
      </w:hyperlink>
      <w:r w:rsidDel="00000000" w:rsidR="00000000" w:rsidRPr="00000000">
        <w:rPr>
          <w:rtl w:val="0"/>
        </w:rPr>
      </w:r>
    </w:p>
    <w:p w:rsidR="00000000" w:rsidDel="00000000" w:rsidP="00000000" w:rsidRDefault="00000000" w:rsidRPr="00000000" w14:paraId="0000012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Optimal Trend Following Rules in Two-State Regime-Switching Models, 檢索日期：5月 5, 2025， </w:t>
      </w:r>
      <w:hyperlink r:id="rId43">
        <w:r w:rsidDel="00000000" w:rsidR="00000000" w:rsidRPr="00000000">
          <w:rPr>
            <w:rFonts w:ascii="Google Sans" w:cs="Google Sans" w:eastAsia="Google Sans" w:hAnsi="Google Sans"/>
            <w:color w:val="0000ee"/>
            <w:sz w:val="24"/>
            <w:szCs w:val="24"/>
            <w:u w:val="single"/>
            <w:rtl w:val="0"/>
          </w:rPr>
          <w:t xml:space="preserve">https://alphaarchitect.com/optimal-trend-following-rules-in-two-state-regime-switching-models/</w:t>
        </w:r>
      </w:hyperlink>
      <w:r w:rsidDel="00000000" w:rsidR="00000000" w:rsidRPr="00000000">
        <w:rPr>
          <w:rtl w:val="0"/>
        </w:rPr>
      </w:r>
    </w:p>
    <w:p w:rsidR="00000000" w:rsidDel="00000000" w:rsidP="00000000" w:rsidRDefault="00000000" w:rsidRPr="00000000" w14:paraId="0000013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MACHINE LEARNING IN FINANCIAL RISK MANAGEMENT: TECHNIQUES FOR PREDICTING EARLY PAYMENT AND DEFAULT RISKS - ResearchGate, 檢索日期：5月 5, 2025， </w:t>
      </w:r>
      <w:hyperlink r:id="rId44">
        <w:r w:rsidDel="00000000" w:rsidR="00000000" w:rsidRPr="00000000">
          <w:rPr>
            <w:rFonts w:ascii="Google Sans" w:cs="Google Sans" w:eastAsia="Google Sans" w:hAnsi="Google Sans"/>
            <w:color w:val="0000ee"/>
            <w:sz w:val="24"/>
            <w:szCs w:val="24"/>
            <w:u w:val="single"/>
            <w:rtl w:val="0"/>
          </w:rPr>
          <w:t xml:space="preserve">https://www.researchgate.net/publication/387106436_MACHINE_LEARNING_IN_FINANCIAL_RISK_MANAGEMENT_TECHNIQUES_FOR_PREDICTING_EARLY_PAYMENT_AND_DEFAULT_RISKS</w:t>
        </w:r>
      </w:hyperlink>
      <w:r w:rsidDel="00000000" w:rsidR="00000000" w:rsidRPr="00000000">
        <w:rPr>
          <w:rtl w:val="0"/>
        </w:rPr>
      </w:r>
    </w:p>
    <w:p w:rsidR="00000000" w:rsidDel="00000000" w:rsidP="00000000" w:rsidRDefault="00000000" w:rsidRPr="00000000" w14:paraId="0000013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Risk Assessment with Machine Learning in Finance. - Hyperstack, 檢索日期：5月 5, 2025， </w:t>
      </w:r>
      <w:hyperlink r:id="rId45">
        <w:r w:rsidDel="00000000" w:rsidR="00000000" w:rsidRPr="00000000">
          <w:rPr>
            <w:rFonts w:ascii="Google Sans" w:cs="Google Sans" w:eastAsia="Google Sans" w:hAnsi="Google Sans"/>
            <w:color w:val="0000ee"/>
            <w:sz w:val="24"/>
            <w:szCs w:val="24"/>
            <w:u w:val="single"/>
            <w:rtl w:val="0"/>
          </w:rPr>
          <w:t xml:space="preserve">https://www.hyperstack.cloud/blog/case-study/exploring-risk-assessment-with-machine-learning-in-finance</w:t>
        </w:r>
      </w:hyperlink>
      <w:r w:rsidDel="00000000" w:rsidR="00000000" w:rsidRPr="00000000">
        <w:rPr>
          <w:rtl w:val="0"/>
        </w:rPr>
      </w:r>
    </w:p>
    <w:p w:rsidR="00000000" w:rsidDel="00000000" w:rsidP="00000000" w:rsidRDefault="00000000" w:rsidRPr="00000000" w14:paraId="0000013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Stock Prices using Permutation Decision Trees and Strategic Trailing - arXiv, 檢索日期：5月 5, 2025， </w:t>
      </w:r>
      <w:hyperlink r:id="rId46">
        <w:r w:rsidDel="00000000" w:rsidR="00000000" w:rsidRPr="00000000">
          <w:rPr>
            <w:rFonts w:ascii="Google Sans" w:cs="Google Sans" w:eastAsia="Google Sans" w:hAnsi="Google Sans"/>
            <w:color w:val="0000ee"/>
            <w:sz w:val="24"/>
            <w:szCs w:val="24"/>
            <w:u w:val="single"/>
            <w:rtl w:val="0"/>
          </w:rPr>
          <w:t xml:space="preserve">https://arxiv.org/html/2504.12828v1</w:t>
        </w:r>
      </w:hyperlink>
      <w:r w:rsidDel="00000000" w:rsidR="00000000" w:rsidRPr="00000000">
        <w:rPr>
          <w:rtl w:val="0"/>
        </w:rPr>
      </w:r>
    </w:p>
    <w:p w:rsidR="00000000" w:rsidDel="00000000" w:rsidP="00000000" w:rsidRDefault="00000000" w:rsidRPr="00000000" w14:paraId="0000013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SMEs PERFORMANCE PREDICTION USING THE DECISION TREE AND RANDOM FOREST MODELS | Corporate, 檢索日期：5月 5, 2025， </w:t>
      </w:r>
      <w:hyperlink r:id="rId47">
        <w:r w:rsidDel="00000000" w:rsidR="00000000" w:rsidRPr="00000000">
          <w:rPr>
            <w:rFonts w:ascii="Google Sans" w:cs="Google Sans" w:eastAsia="Google Sans" w:hAnsi="Google Sans"/>
            <w:color w:val="0000ee"/>
            <w:sz w:val="24"/>
            <w:szCs w:val="24"/>
            <w:u w:val="single"/>
            <w:rtl w:val="0"/>
          </w:rPr>
          <w:t xml:space="preserve">http://liu.diva-portal.org/smash/get/diva2:1737535/FULLTEXT02.pdf</w:t>
        </w:r>
      </w:hyperlink>
      <w:r w:rsidDel="00000000" w:rsidR="00000000" w:rsidRPr="00000000">
        <w:rPr>
          <w:rtl w:val="0"/>
        </w:rPr>
      </w:r>
    </w:p>
    <w:p w:rsidR="00000000" w:rsidDel="00000000" w:rsidP="00000000" w:rsidRDefault="00000000" w:rsidRPr="00000000" w14:paraId="0000013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in internet financial risk management: A systematic literature review - PMC, 檢索日期：5月 5, 2025， </w:t>
      </w:r>
      <w:hyperlink r:id="rId48">
        <w:r w:rsidDel="00000000" w:rsidR="00000000" w:rsidRPr="00000000">
          <w:rPr>
            <w:rFonts w:ascii="Google Sans" w:cs="Google Sans" w:eastAsia="Google Sans" w:hAnsi="Google Sans"/>
            <w:color w:val="0000ee"/>
            <w:sz w:val="24"/>
            <w:szCs w:val="24"/>
            <w:u w:val="single"/>
            <w:rtl w:val="0"/>
          </w:rPr>
          <w:t xml:space="preserve">https://pmc.ncbi.nlm.nih.gov/articles/PMC11020399/</w:t>
        </w:r>
      </w:hyperlink>
      <w:r w:rsidDel="00000000" w:rsidR="00000000" w:rsidRPr="00000000">
        <w:rPr>
          <w:rtl w:val="0"/>
        </w:rPr>
      </w:r>
    </w:p>
    <w:p w:rsidR="00000000" w:rsidDel="00000000" w:rsidP="00000000" w:rsidRDefault="00000000" w:rsidRPr="00000000" w14:paraId="0000013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Financial Option Volatility Prediction Based on Machine Learning Algorithm, 檢索日期：5月 5, 2025， </w:t>
      </w:r>
      <w:hyperlink r:id="rId49">
        <w:r w:rsidDel="00000000" w:rsidR="00000000" w:rsidRPr="00000000">
          <w:rPr>
            <w:rFonts w:ascii="Google Sans" w:cs="Google Sans" w:eastAsia="Google Sans" w:hAnsi="Google Sans"/>
            <w:color w:val="0000ee"/>
            <w:sz w:val="24"/>
            <w:szCs w:val="24"/>
            <w:u w:val="single"/>
            <w:rtl w:val="0"/>
          </w:rPr>
          <w:t xml:space="preserve">https://unige.org/volume-74-issue-4-2024/financial-option-volatility-prediction-based-on-machine-learning-algorithm/</w:t>
        </w:r>
      </w:hyperlink>
      <w:r w:rsidDel="00000000" w:rsidR="00000000" w:rsidRPr="00000000">
        <w:rPr>
          <w:rtl w:val="0"/>
        </w:rPr>
      </w:r>
    </w:p>
    <w:p w:rsidR="00000000" w:rsidDel="00000000" w:rsidP="00000000" w:rsidRDefault="00000000" w:rsidRPr="00000000" w14:paraId="0000013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Machine learning applications in risk management: Trends and research agenda - F1000Research, 檢索日期：5月 5, 2025， </w:t>
      </w:r>
      <w:hyperlink r:id="rId50">
        <w:r w:rsidDel="00000000" w:rsidR="00000000" w:rsidRPr="00000000">
          <w:rPr>
            <w:rFonts w:ascii="Google Sans" w:cs="Google Sans" w:eastAsia="Google Sans" w:hAnsi="Google Sans"/>
            <w:color w:val="0000ee"/>
            <w:sz w:val="24"/>
            <w:szCs w:val="24"/>
            <w:u w:val="single"/>
            <w:rtl w:val="0"/>
          </w:rPr>
          <w:t xml:space="preserve">https://f1000research.com/articles/14-233/pdf</w:t>
        </w:r>
      </w:hyperlink>
      <w:r w:rsidDel="00000000" w:rsidR="00000000" w:rsidRPr="00000000">
        <w:rPr>
          <w:rtl w:val="0"/>
        </w:rPr>
      </w:r>
    </w:p>
    <w:p w:rsidR="00000000" w:rsidDel="00000000" w:rsidP="00000000" w:rsidRDefault="00000000" w:rsidRPr="00000000" w14:paraId="0000013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[2502.06847] A Deep Learning Framework Integrating CNN and BiLSTM for Financial Systemic Risk Analysis and Prediction - arXiv, 檢索日期：5月 5, 2025， </w:t>
      </w:r>
      <w:hyperlink r:id="rId51">
        <w:r w:rsidDel="00000000" w:rsidR="00000000" w:rsidRPr="00000000">
          <w:rPr>
            <w:rFonts w:ascii="Google Sans" w:cs="Google Sans" w:eastAsia="Google Sans" w:hAnsi="Google Sans"/>
            <w:color w:val="0000ee"/>
            <w:sz w:val="24"/>
            <w:szCs w:val="24"/>
            <w:u w:val="single"/>
            <w:rtl w:val="0"/>
          </w:rPr>
          <w:t xml:space="preserve">https://arxiv.org/abs/2502.06847</w:t>
        </w:r>
      </w:hyperlink>
      <w:r w:rsidDel="00000000" w:rsidR="00000000" w:rsidRPr="00000000">
        <w:rPr>
          <w:rtl w:val="0"/>
        </w:rPr>
      </w:r>
    </w:p>
    <w:p w:rsidR="00000000" w:rsidDel="00000000" w:rsidP="00000000" w:rsidRDefault="00000000" w:rsidRPr="00000000" w14:paraId="0000013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Tips for Market Risk Analysis in Finance - Number Analytics, 檢索日期：5月 5, 2025， </w:t>
      </w:r>
      <w:hyperlink r:id="rId52">
        <w:r w:rsidDel="00000000" w:rsidR="00000000" w:rsidRPr="00000000">
          <w:rPr>
            <w:rFonts w:ascii="Google Sans" w:cs="Google Sans" w:eastAsia="Google Sans" w:hAnsi="Google Sans"/>
            <w:color w:val="0000ee"/>
            <w:sz w:val="24"/>
            <w:szCs w:val="24"/>
            <w:u w:val="single"/>
            <w:rtl w:val="0"/>
          </w:rPr>
          <w:t xml:space="preserve">https://www.numberanalytics.com/blog/top-tips-market-risk-analysis-finance</w:t>
        </w:r>
      </w:hyperlink>
      <w:r w:rsidDel="00000000" w:rsidR="00000000" w:rsidRPr="00000000">
        <w:rPr>
          <w:rtl w:val="0"/>
        </w:rPr>
      </w:r>
    </w:p>
    <w:p w:rsidR="00000000" w:rsidDel="00000000" w:rsidP="00000000" w:rsidRDefault="00000000" w:rsidRPr="00000000" w14:paraId="0000013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PREDICTION OF FOREIGN EXCHANGE RATE USING REGRESSION TECHNIQUES - ResearchGate, 檢索日期：5月 5, 2025， </w:t>
      </w:r>
      <w:hyperlink r:id="rId53">
        <w:r w:rsidDel="00000000" w:rsidR="00000000" w:rsidRPr="00000000">
          <w:rPr>
            <w:rFonts w:ascii="Google Sans" w:cs="Google Sans" w:eastAsia="Google Sans" w:hAnsi="Google Sans"/>
            <w:color w:val="0000ee"/>
            <w:sz w:val="24"/>
            <w:szCs w:val="24"/>
            <w:u w:val="single"/>
            <w:rtl w:val="0"/>
          </w:rPr>
          <w:t xml:space="preserve">https://www.researchgate.net/profile/Richa-Handa/publication/383094261_PREDICTION_OF_FOREIGN_EXCHANGE_RATE_USING_REGRESSION_TECHNIQUES/links/66bc722a311cbb0949360cc8/PREDICTION-OF-FOREIGN-EXCHANGE-RATE-USING-REGRESSION-TECHNIQUES.pdf</w:t>
        </w:r>
      </w:hyperlink>
      <w:r w:rsidDel="00000000" w:rsidR="00000000" w:rsidRPr="00000000">
        <w:rPr>
          <w:rtl w:val="0"/>
        </w:rPr>
      </w:r>
    </w:p>
    <w:p w:rsidR="00000000" w:rsidDel="00000000" w:rsidP="00000000" w:rsidRDefault="00000000" w:rsidRPr="00000000" w14:paraId="0000013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PREDICTION OF FOREIGN EXCHANGE RATE USING REGRESSION TECHNIQUES, 檢索日期：5月 5, 2025， </w:t>
      </w:r>
      <w:hyperlink r:id="rId54">
        <w:r w:rsidDel="00000000" w:rsidR="00000000" w:rsidRPr="00000000">
          <w:rPr>
            <w:rFonts w:ascii="Google Sans" w:cs="Google Sans" w:eastAsia="Google Sans" w:hAnsi="Google Sans"/>
            <w:color w:val="0000ee"/>
            <w:sz w:val="24"/>
            <w:szCs w:val="24"/>
            <w:u w:val="single"/>
            <w:rtl w:val="0"/>
          </w:rPr>
          <w:t xml:space="preserve">https://www.researchgate.net/publication/383094261_PREDICTION_OF_FOREIGN_EXCHANGE_RATE_USING_REGRESSION_TECHNIQUES</w:t>
        </w:r>
      </w:hyperlink>
      <w:r w:rsidDel="00000000" w:rsidR="00000000" w:rsidRPr="00000000">
        <w:rPr>
          <w:rtl w:val="0"/>
        </w:rPr>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Flushing out the money launderers with better customer risk-rating models - McKinsey &amp; Company, 檢索日期：5月 5, 2025， </w:t>
      </w:r>
      <w:hyperlink r:id="rId55">
        <w:r w:rsidDel="00000000" w:rsidR="00000000" w:rsidRPr="00000000">
          <w:rPr>
            <w:rFonts w:ascii="Google Sans" w:cs="Google Sans" w:eastAsia="Google Sans" w:hAnsi="Google Sans"/>
            <w:color w:val="0000ee"/>
            <w:sz w:val="24"/>
            <w:szCs w:val="24"/>
            <w:u w:val="single"/>
            <w:rtl w:val="0"/>
          </w:rPr>
          <w:t xml:space="preserve">https://www.mckinsey.com/capabilities/risk-and-resilience/our-insights/flushing-out-the-money-launderers-with-better-customer-risk-rating-models</w:t>
        </w:r>
      </w:hyperlink>
      <w:r w:rsidDel="00000000" w:rsidR="00000000" w:rsidRPr="00000000">
        <w:rPr>
          <w:rtl w:val="0"/>
        </w:rPr>
      </w:r>
    </w:p>
    <w:p w:rsidR="00000000" w:rsidDel="00000000" w:rsidP="00000000" w:rsidRDefault="00000000" w:rsidRPr="00000000" w14:paraId="0000013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Risks and Limitations of Backtesting | TrendSpider Learning Center, 檢索日期：5月 5, 2025， </w:t>
      </w:r>
      <w:hyperlink r:id="rId56">
        <w:r w:rsidDel="00000000" w:rsidR="00000000" w:rsidRPr="00000000">
          <w:rPr>
            <w:rFonts w:ascii="Google Sans" w:cs="Google Sans" w:eastAsia="Google Sans" w:hAnsi="Google Sans"/>
            <w:color w:val="0000ee"/>
            <w:sz w:val="24"/>
            <w:szCs w:val="24"/>
            <w:u w:val="single"/>
            <w:rtl w:val="0"/>
          </w:rPr>
          <w:t xml:space="preserve">https://trendspider.com/learning-center/risks-and-limitations-of-backtesting/</w:t>
        </w:r>
      </w:hyperlink>
      <w:r w:rsidDel="00000000" w:rsidR="00000000" w:rsidRPr="00000000">
        <w:rPr>
          <w:rtl w:val="0"/>
        </w:rPr>
      </w:r>
    </w:p>
    <w:p w:rsidR="00000000" w:rsidDel="00000000" w:rsidP="00000000" w:rsidRDefault="00000000" w:rsidRPr="00000000" w14:paraId="0000013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Elicitation: Using the Classical Model to Validate Experts' Judgments | Review of Environmental Economics and Policy: Vol 12, No 1, 檢索日期：5月 5, 2025， </w:t>
      </w:r>
      <w:hyperlink r:id="rId57">
        <w:r w:rsidDel="00000000" w:rsidR="00000000" w:rsidRPr="00000000">
          <w:rPr>
            <w:rFonts w:ascii="Google Sans" w:cs="Google Sans" w:eastAsia="Google Sans" w:hAnsi="Google Sans"/>
            <w:color w:val="0000ee"/>
            <w:sz w:val="24"/>
            <w:szCs w:val="24"/>
            <w:u w:val="single"/>
            <w:rtl w:val="0"/>
          </w:rPr>
          <w:t xml:space="preserve">https://www.journals.uchicago.edu/doi/full/10.1093/reep/rex022</w:t>
        </w:r>
      </w:hyperlink>
      <w:r w:rsidDel="00000000" w:rsidR="00000000" w:rsidRPr="00000000">
        <w:rPr>
          <w:rtl w:val="0"/>
        </w:rPr>
      </w:r>
    </w:p>
    <w:p w:rsidR="00000000" w:rsidDel="00000000" w:rsidP="00000000" w:rsidRDefault="00000000" w:rsidRPr="00000000" w14:paraId="0000013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Composite Indicators - Step 6: Weighting - Knowledge for policy - European Union, 檢索日期：5月 5, 2025， </w:t>
      </w:r>
      <w:hyperlink r:id="rId58">
        <w:r w:rsidDel="00000000" w:rsidR="00000000" w:rsidRPr="00000000">
          <w:rPr>
            <w:rFonts w:ascii="Google Sans" w:cs="Google Sans" w:eastAsia="Google Sans" w:hAnsi="Google Sans"/>
            <w:color w:val="0000ee"/>
            <w:sz w:val="24"/>
            <w:szCs w:val="24"/>
            <w:u w:val="single"/>
            <w:rtl w:val="0"/>
          </w:rPr>
          <w:t xml:space="preserve">https://knowledge4policy.ec.europa.eu/composite-indicators/10-step-guide/step-6-weighting_en</w:t>
        </w:r>
      </w:hyperlink>
      <w:r w:rsidDel="00000000" w:rsidR="00000000" w:rsidRPr="00000000">
        <w:rPr>
          <w:rtl w:val="0"/>
        </w:rPr>
      </w:r>
    </w:p>
    <w:p w:rsidR="00000000" w:rsidDel="00000000" w:rsidP="00000000" w:rsidRDefault="00000000" w:rsidRPr="00000000" w14:paraId="0000013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Composite Index: Methods and Properties - ResearchGate, 檢索日期：5月 5, 2025， </w:t>
      </w:r>
      <w:hyperlink r:id="rId59">
        <w:r w:rsidDel="00000000" w:rsidR="00000000" w:rsidRPr="00000000">
          <w:rPr>
            <w:rFonts w:ascii="Google Sans" w:cs="Google Sans" w:eastAsia="Google Sans" w:hAnsi="Google Sans"/>
            <w:color w:val="0000ee"/>
            <w:sz w:val="24"/>
            <w:szCs w:val="24"/>
            <w:u w:val="single"/>
            <w:rtl w:val="0"/>
          </w:rPr>
          <w:t xml:space="preserve">https://www.researchgate.net/publication/321268796_Composite_Index_Methods_and_Properties</w:t>
        </w:r>
      </w:hyperlink>
      <w:r w:rsidDel="00000000" w:rsidR="00000000" w:rsidRPr="00000000">
        <w:rPr>
          <w:rtl w:val="0"/>
        </w:rPr>
      </w:r>
    </w:p>
    <w:p w:rsidR="00000000" w:rsidDel="00000000" w:rsidP="00000000" w:rsidRDefault="00000000" w:rsidRPr="00000000" w14:paraId="0000014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Construction and Concept Validation of Indian Financial Market Composite Risk Index (IFM: CRI), 檢索日期：5月 5, 2025， </w:t>
      </w:r>
      <w:hyperlink r:id="rId60">
        <w:r w:rsidDel="00000000" w:rsidR="00000000" w:rsidRPr="00000000">
          <w:rPr>
            <w:rFonts w:ascii="Google Sans" w:cs="Google Sans" w:eastAsia="Google Sans" w:hAnsi="Google Sans"/>
            <w:color w:val="0000ee"/>
            <w:sz w:val="24"/>
            <w:szCs w:val="24"/>
            <w:u w:val="single"/>
            <w:rtl w:val="0"/>
          </w:rPr>
          <w:t xml:space="preserve">https://www.uowoajournals.org/aabfj/article/1041/galley/1035/download/</w:t>
        </w:r>
      </w:hyperlink>
      <w:r w:rsidDel="00000000" w:rsidR="00000000" w:rsidRPr="00000000">
        <w:rPr>
          <w:rtl w:val="0"/>
        </w:rPr>
      </w:r>
    </w:p>
    <w:p w:rsidR="00000000" w:rsidDel="00000000" w:rsidP="00000000" w:rsidRDefault="00000000" w:rsidRPr="00000000" w14:paraId="0000014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KV Bhanu Murthy &amp; Anjala Kalsie, Construction of Composite Index Methodological Issues in Measuring Asian Financial - SRCC, 檢索日期：5月 5, 2025， </w:t>
      </w:r>
      <w:hyperlink r:id="rId61">
        <w:r w:rsidDel="00000000" w:rsidR="00000000" w:rsidRPr="00000000">
          <w:rPr>
            <w:rFonts w:ascii="Google Sans" w:cs="Google Sans" w:eastAsia="Google Sans" w:hAnsi="Google Sans"/>
            <w:color w:val="0000ee"/>
            <w:sz w:val="24"/>
            <w:szCs w:val="24"/>
            <w:u w:val="single"/>
            <w:rtl w:val="0"/>
          </w:rPr>
          <w:t xml:space="preserve">https://srcc.edu/system/files/Pg%201-29%20K.V.%20Bhanu%20Murthy%20&amp;%20Anjala%20Kalsie,%20Construction%20of%20Composite%20Index%20Methodological%20Issues%20in%20Measuring%20Asian%20Financial%20Crisis.pdf</w:t>
        </w:r>
      </w:hyperlink>
      <w:r w:rsidDel="00000000" w:rsidR="00000000" w:rsidRPr="00000000">
        <w:rPr>
          <w:rtl w:val="0"/>
        </w:rPr>
      </w:r>
    </w:p>
    <w:p w:rsidR="00000000" w:rsidDel="00000000" w:rsidP="00000000" w:rsidRDefault="00000000" w:rsidRPr="00000000" w14:paraId="0000014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Backtesting In FX? | Financial Glossary - Equals Money, 檢索日期：5月 5, 2025， </w:t>
      </w:r>
      <w:hyperlink r:id="rId62">
        <w:r w:rsidDel="00000000" w:rsidR="00000000" w:rsidRPr="00000000">
          <w:rPr>
            <w:rFonts w:ascii="Google Sans" w:cs="Google Sans" w:eastAsia="Google Sans" w:hAnsi="Google Sans"/>
            <w:color w:val="0000ee"/>
            <w:sz w:val="24"/>
            <w:szCs w:val="24"/>
            <w:u w:val="single"/>
            <w:rtl w:val="0"/>
          </w:rPr>
          <w:t xml:space="preserve">https://equalsmoney.com/financial-glossary/backtesting</w:t>
        </w:r>
      </w:hyperlink>
      <w:r w:rsidDel="00000000" w:rsidR="00000000" w:rsidRPr="00000000">
        <w:rPr>
          <w:rtl w:val="0"/>
        </w:rPr>
      </w:r>
    </w:p>
    <w:p w:rsidR="00000000" w:rsidDel="00000000" w:rsidP="00000000" w:rsidRDefault="00000000" w:rsidRPr="00000000" w14:paraId="0000014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Backtesting in Forex Trading, 檢索日期：5月 5, 2025， </w:t>
      </w:r>
      <w:hyperlink r:id="rId63">
        <w:r w:rsidDel="00000000" w:rsidR="00000000" w:rsidRPr="00000000">
          <w:rPr>
            <w:rFonts w:ascii="Google Sans" w:cs="Google Sans" w:eastAsia="Google Sans" w:hAnsi="Google Sans"/>
            <w:color w:val="0000ee"/>
            <w:sz w:val="24"/>
            <w:szCs w:val="24"/>
            <w:u w:val="single"/>
            <w:rtl w:val="0"/>
          </w:rPr>
          <w:t xml:space="preserve">https://www.m4markets.com/about/news/the-importance-of-backtesting-in-forex-trading</w:t>
        </w:r>
      </w:hyperlink>
      <w:r w:rsidDel="00000000" w:rsidR="00000000" w:rsidRPr="00000000">
        <w:rPr>
          <w:rtl w:val="0"/>
        </w:rPr>
      </w:r>
    </w:p>
    <w:p w:rsidR="00000000" w:rsidDel="00000000" w:rsidP="00000000" w:rsidRDefault="00000000" w:rsidRPr="00000000" w14:paraId="00000144">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Backtesting a Trading Plan, 檢索日期：5月 5, 2025， </w:t>
      </w:r>
      <w:hyperlink r:id="rId64">
        <w:r w:rsidDel="00000000" w:rsidR="00000000" w:rsidRPr="00000000">
          <w:rPr>
            <w:rFonts w:ascii="Google Sans" w:cs="Google Sans" w:eastAsia="Google Sans" w:hAnsi="Google Sans"/>
            <w:color w:val="0000ee"/>
            <w:sz w:val="24"/>
            <w:szCs w:val="24"/>
            <w:u w:val="single"/>
            <w:rtl w:val="0"/>
          </w:rPr>
          <w:t xml:space="preserve">https://fenefx.com/blog/importance-of-backtesting-a-trading-plan/</w:t>
        </w:r>
      </w:hyperlink>
      <w:r w:rsidDel="00000000" w:rsidR="00000000" w:rsidRPr="00000000">
        <w:rPr>
          <w:rtl w:val="0"/>
        </w:rPr>
      </w:r>
    </w:p>
    <w:p w:rsidR="00000000" w:rsidDel="00000000" w:rsidP="00000000" w:rsidRDefault="00000000" w:rsidRPr="00000000" w14:paraId="0000014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Power of Backtesting in Forex Trading: Key Strategies for Success - Fusion Markets, 檢索日期：5月 5, 2025， </w:t>
      </w:r>
      <w:hyperlink r:id="rId65">
        <w:r w:rsidDel="00000000" w:rsidR="00000000" w:rsidRPr="00000000">
          <w:rPr>
            <w:rFonts w:ascii="Google Sans" w:cs="Google Sans" w:eastAsia="Google Sans" w:hAnsi="Google Sans"/>
            <w:color w:val="0000ee"/>
            <w:sz w:val="24"/>
            <w:szCs w:val="24"/>
            <w:u w:val="single"/>
            <w:rtl w:val="0"/>
          </w:rPr>
          <w:t xml:space="preserve">https://fusionmarkets.com/posts/power-of-backtesting-in-forex</w:t>
        </w:r>
      </w:hyperlink>
      <w:r w:rsidDel="00000000" w:rsidR="00000000" w:rsidRPr="00000000">
        <w:rPr>
          <w:rtl w:val="0"/>
        </w:rPr>
      </w:r>
    </w:p>
    <w:p w:rsidR="00000000" w:rsidDel="00000000" w:rsidP="00000000" w:rsidRDefault="00000000" w:rsidRPr="00000000" w14:paraId="0000014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How to test and refine your trading strategy - FOREX.com, 檢索日期：5月 5, 2025， </w:t>
      </w:r>
      <w:hyperlink r:id="rId66">
        <w:r w:rsidDel="00000000" w:rsidR="00000000" w:rsidRPr="00000000">
          <w:rPr>
            <w:rFonts w:ascii="Google Sans" w:cs="Google Sans" w:eastAsia="Google Sans" w:hAnsi="Google Sans"/>
            <w:color w:val="0000ee"/>
            <w:sz w:val="24"/>
            <w:szCs w:val="24"/>
            <w:u w:val="single"/>
            <w:rtl w:val="0"/>
          </w:rPr>
          <w:t xml:space="preserve">https://www.forex.com/en-us/trading-guides/how-to-backtest-your-trading-strategy/</w:t>
        </w:r>
      </w:hyperlink>
      <w:r w:rsidDel="00000000" w:rsidR="00000000" w:rsidRPr="00000000">
        <w:rPr>
          <w:rtl w:val="0"/>
        </w:rPr>
      </w:r>
    </w:p>
    <w:p w:rsidR="00000000" w:rsidDel="00000000" w:rsidP="00000000" w:rsidRDefault="00000000" w:rsidRPr="00000000" w14:paraId="0000014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MAR99 - Application guidance - Bank for International Settlements, 檢索日期：5月 5, 2025， </w:t>
      </w:r>
      <w:hyperlink r:id="rId67">
        <w:r w:rsidDel="00000000" w:rsidR="00000000" w:rsidRPr="00000000">
          <w:rPr>
            <w:rFonts w:ascii="Google Sans" w:cs="Google Sans" w:eastAsia="Google Sans" w:hAnsi="Google Sans"/>
            <w:color w:val="0000ee"/>
            <w:sz w:val="24"/>
            <w:szCs w:val="24"/>
            <w:u w:val="single"/>
            <w:rtl w:val="0"/>
          </w:rPr>
          <w:t xml:space="preserve">https://www.bis.org/basel_framework/chapter/MAR/99.htm?inforce=20191215&amp;published=20191215&amp;tldate=20180102</w:t>
        </w:r>
      </w:hyperlink>
      <w:r w:rsidDel="00000000" w:rsidR="00000000" w:rsidRPr="00000000">
        <w:rPr>
          <w:rtl w:val="0"/>
        </w:rPr>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comparison of the accuracy of short term foreign exchange forecasting methods, 檢索日期：5月 5, 2025， </w:t>
      </w:r>
      <w:hyperlink r:id="rId68">
        <w:r w:rsidDel="00000000" w:rsidR="00000000" w:rsidRPr="00000000">
          <w:rPr>
            <w:rFonts w:ascii="Google Sans" w:cs="Google Sans" w:eastAsia="Google Sans" w:hAnsi="Google Sans"/>
            <w:color w:val="0000ee"/>
            <w:sz w:val="24"/>
            <w:szCs w:val="24"/>
            <w:u w:val="single"/>
            <w:rtl w:val="0"/>
          </w:rPr>
          <w:t xml:space="preserve">https://www.researchgate.net/publication/223232625_A_comparison_of_the_accuracy_of_short_term_foreign_exchange_forecasting_methods</w:t>
        </w:r>
      </w:hyperlink>
      <w:r w:rsidDel="00000000" w:rsidR="00000000" w:rsidRPr="00000000">
        <w:rPr>
          <w:rtl w:val="0"/>
        </w:rPr>
      </w:r>
    </w:p>
    <w:p w:rsidR="00000000" w:rsidDel="00000000" w:rsidP="00000000" w:rsidRDefault="00000000" w:rsidRPr="00000000" w14:paraId="0000014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Risk Premia FX Indices Methodology, 檢索日期：5月 5, 2025， </w:t>
      </w:r>
      <w:hyperlink r:id="rId69">
        <w:r w:rsidDel="00000000" w:rsidR="00000000" w:rsidRPr="00000000">
          <w:rPr>
            <w:rFonts w:ascii="Google Sans" w:cs="Google Sans" w:eastAsia="Google Sans" w:hAnsi="Google Sans"/>
            <w:color w:val="0000ee"/>
            <w:sz w:val="24"/>
            <w:szCs w:val="24"/>
            <w:u w:val="single"/>
            <w:rtl w:val="0"/>
          </w:rPr>
          <w:t xml:space="preserve">https://www.spglobal.com/spdji/en/documents/methodologies/methodology-sp-risk-premia-fx-indices.pdf</w:t>
        </w:r>
      </w:hyperlink>
      <w:r w:rsidDel="00000000" w:rsidR="00000000" w:rsidRPr="00000000">
        <w:rPr>
          <w:rtl w:val="0"/>
        </w:rPr>
      </w:r>
    </w:p>
    <w:p w:rsidR="00000000" w:rsidDel="00000000" w:rsidP="00000000" w:rsidRDefault="00000000" w:rsidRPr="00000000" w14:paraId="0000014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Sovereign risk methodology, 檢索日期：5月 5, 2025， </w:t>
      </w:r>
      <w:hyperlink r:id="rId70">
        <w:r w:rsidDel="00000000" w:rsidR="00000000" w:rsidRPr="00000000">
          <w:rPr>
            <w:rFonts w:ascii="Google Sans" w:cs="Google Sans" w:eastAsia="Google Sans" w:hAnsi="Google Sans"/>
            <w:color w:val="0000ee"/>
            <w:sz w:val="24"/>
            <w:szCs w:val="24"/>
            <w:u w:val="single"/>
            <w:rtl w:val="0"/>
          </w:rPr>
          <w:t xml:space="preserve">https://www.spglobal.com/_assets/documents/marketplace/ihs-markit-sovereign-risk-methodology.pdf</w:t>
        </w:r>
      </w:hyperlink>
      <w:r w:rsidDel="00000000" w:rsidR="00000000" w:rsidRPr="00000000">
        <w:rPr>
          <w:rtl w:val="0"/>
        </w:rPr>
      </w:r>
    </w:p>
    <w:p w:rsidR="00000000" w:rsidDel="00000000" w:rsidP="00000000" w:rsidRDefault="00000000" w:rsidRPr="00000000" w14:paraId="0000014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Implementing a Long-Term Strategic Risk Management Strategy | TSI, 檢索日期：5月 5, 2025， </w:t>
      </w:r>
      <w:hyperlink r:id="rId71">
        <w:r w:rsidDel="00000000" w:rsidR="00000000" w:rsidRPr="00000000">
          <w:rPr>
            <w:rFonts w:ascii="Google Sans" w:cs="Google Sans" w:eastAsia="Google Sans" w:hAnsi="Google Sans"/>
            <w:color w:val="0000ee"/>
            <w:sz w:val="24"/>
            <w:szCs w:val="24"/>
            <w:u w:val="single"/>
            <w:rtl w:val="0"/>
          </w:rPr>
          <w:t xml:space="preserve">https://www.thestrategyinstitute.org/insights/implementing-a-long-term-strategic-risk-management-strategy</w:t>
        </w:r>
      </w:hyperlink>
      <w:r w:rsidDel="00000000" w:rsidR="00000000" w:rsidRPr="00000000">
        <w:rPr>
          <w:rtl w:val="0"/>
        </w:rPr>
      </w:r>
    </w:p>
    <w:p w:rsidR="00000000" w:rsidDel="00000000" w:rsidP="00000000" w:rsidRDefault="00000000" w:rsidRPr="00000000" w14:paraId="0000014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Essential Guide to Market Risk for Analysts - Number Analytics, 檢索日期：5月 5, 2025， </w:t>
      </w:r>
      <w:hyperlink r:id="rId72">
        <w:r w:rsidDel="00000000" w:rsidR="00000000" w:rsidRPr="00000000">
          <w:rPr>
            <w:rFonts w:ascii="Google Sans" w:cs="Google Sans" w:eastAsia="Google Sans" w:hAnsi="Google Sans"/>
            <w:color w:val="0000ee"/>
            <w:sz w:val="24"/>
            <w:szCs w:val="24"/>
            <w:u w:val="single"/>
            <w:rtl w:val="0"/>
          </w:rPr>
          <w:t xml:space="preserve">https://www.numberanalytics.com/blog/essential-guide-market-risk-analysts</w:t>
        </w:r>
      </w:hyperlink>
      <w:r w:rsidDel="00000000" w:rsidR="00000000" w:rsidRPr="00000000">
        <w:rPr>
          <w:rtl w:val="0"/>
        </w:rPr>
      </w:r>
    </w:p>
    <w:p w:rsidR="00000000" w:rsidDel="00000000" w:rsidP="00000000" w:rsidRDefault="00000000" w:rsidRPr="00000000" w14:paraId="0000014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INTEGRATING NATURAL CAPITAL IN RISK ASSESSMENTS: - United Nations Environment Programme Finance Initiative, 檢索日期：5月 5, 2025， </w:t>
      </w:r>
      <w:hyperlink r:id="rId73">
        <w:r w:rsidDel="00000000" w:rsidR="00000000" w:rsidRPr="00000000">
          <w:rPr>
            <w:rFonts w:ascii="Google Sans" w:cs="Google Sans" w:eastAsia="Google Sans" w:hAnsi="Google Sans"/>
            <w:color w:val="0000ee"/>
            <w:sz w:val="24"/>
            <w:szCs w:val="24"/>
            <w:u w:val="single"/>
            <w:rtl w:val="0"/>
          </w:rPr>
          <w:t xml:space="preserve">https://www.unepfi.org/wordpress/wp-content/uploads/2019/01/Integrating-Natural-Capital-Risk-Assessments.pdf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figshare.mq.edu.au/articles/thesis/Valuation_of_financial_derivatives_under_regime_switching_models/19442543" TargetMode="External"/><Relationship Id="rId42" Type="http://schemas.openxmlformats.org/officeDocument/2006/relationships/hyperlink" Target="https://openaccess.city.ac.uk/31578/11/Int%20%20J%20Fin%20Econ%20-%202023%20-%20Lee%20-%20Foreign%20exchange%20hedging%20using%20regime%E2%80%90switching%20models%20%20The%20case%20of%20pound%20sterling.pdf" TargetMode="External"/><Relationship Id="rId41" Type="http://schemas.openxmlformats.org/officeDocument/2006/relationships/hyperlink" Target="https://www.researchgate.net/publication/286141685_Regime_Switching_Models_in_the_Foreign_Exchange_Market" TargetMode="External"/><Relationship Id="rId44" Type="http://schemas.openxmlformats.org/officeDocument/2006/relationships/hyperlink" Target="https://www.researchgate.net/publication/387106436_MACHINE_LEARNING_IN_FINANCIAL_RISK_MANAGEMENT_TECHNIQUES_FOR_PREDICTING_EARLY_PAYMENT_AND_DEFAULT_RISKS" TargetMode="External"/><Relationship Id="rId43" Type="http://schemas.openxmlformats.org/officeDocument/2006/relationships/hyperlink" Target="https://alphaarchitect.com/optimal-trend-following-rules-in-two-state-regime-switching-models/" TargetMode="External"/><Relationship Id="rId46" Type="http://schemas.openxmlformats.org/officeDocument/2006/relationships/hyperlink" Target="https://arxiv.org/html/2504.12828v1" TargetMode="External"/><Relationship Id="rId45" Type="http://schemas.openxmlformats.org/officeDocument/2006/relationships/hyperlink" Target="https://www.hyperstack.cloud/blog/case-study/exploring-risk-assessment-with-machine-learning-in-finan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treasury.com/posts/what-is-fx-risk" TargetMode="External"/><Relationship Id="rId48" Type="http://schemas.openxmlformats.org/officeDocument/2006/relationships/hyperlink" Target="https://pmc.ncbi.nlm.nih.gov/articles/PMC11020399/" TargetMode="External"/><Relationship Id="rId47" Type="http://schemas.openxmlformats.org/officeDocument/2006/relationships/hyperlink" Target="http://liu.diva-portal.org/smash/get/diva2:1737535/FULLTEXT02.pdf" TargetMode="External"/><Relationship Id="rId49" Type="http://schemas.openxmlformats.org/officeDocument/2006/relationships/hyperlink" Target="https://unige.org/volume-74-issue-4-2024/financial-option-volatility-prediction-based-on-machine-learning-algorithm/" TargetMode="External"/><Relationship Id="rId5" Type="http://schemas.openxmlformats.org/officeDocument/2006/relationships/styles" Target="styles.xml"/><Relationship Id="rId6" Type="http://schemas.openxmlformats.org/officeDocument/2006/relationships/hyperlink" Target="https://www.defthedge.com/en/exchange-risk-management.html" TargetMode="External"/><Relationship Id="rId7" Type="http://schemas.openxmlformats.org/officeDocument/2006/relationships/hyperlink" Target="https://www.halofinancial.com/corporate/expertise/risk-assessment" TargetMode="External"/><Relationship Id="rId8" Type="http://schemas.openxmlformats.org/officeDocument/2006/relationships/hyperlink" Target="https://www.netsuite.com/portal/resource/articles/accounting/exchange-rate.shtml" TargetMode="External"/><Relationship Id="rId73" Type="http://schemas.openxmlformats.org/officeDocument/2006/relationships/hyperlink" Target="https://www.unepfi.org/wordpress/wp-content/uploads/2019/01/Integrating-Natural-Capital-Risk-Assessments.pdf" TargetMode="External"/><Relationship Id="rId72" Type="http://schemas.openxmlformats.org/officeDocument/2006/relationships/hyperlink" Target="https://www.numberanalytics.com/blog/essential-guide-market-risk-analysts" TargetMode="External"/><Relationship Id="rId31" Type="http://schemas.openxmlformats.org/officeDocument/2006/relationships/hyperlink" Target="https://www.investopedia.com/terms/m/marketrisk.asp" TargetMode="External"/><Relationship Id="rId30" Type="http://schemas.openxmlformats.org/officeDocument/2006/relationships/hyperlink" Target="https://fastercapital.com/topics/weighting-and-scoring-criteria-in-the-decision-matrix.html" TargetMode="External"/><Relationship Id="rId33" Type="http://schemas.openxmlformats.org/officeDocument/2006/relationships/hyperlink" Target="https://www.atb.com/commercial/good-advice/foreign-exchange-and-global-trade/fx-risk-assessment/" TargetMode="External"/><Relationship Id="rId32" Type="http://schemas.openxmlformats.org/officeDocument/2006/relationships/hyperlink" Target="https://corporatefinanceinstitute.com/resources/career-map/sell-side/capital-markets/market-risk/" TargetMode="External"/><Relationship Id="rId35" Type="http://schemas.openxmlformats.org/officeDocument/2006/relationships/hyperlink" Target="https://pmc.ncbi.nlm.nih.gov/articles/PMC9041570/" TargetMode="External"/><Relationship Id="rId34" Type="http://schemas.openxmlformats.org/officeDocument/2006/relationships/hyperlink" Target="https://www.ibm.com/think/topics/logistic-regression" TargetMode="External"/><Relationship Id="rId71" Type="http://schemas.openxmlformats.org/officeDocument/2006/relationships/hyperlink" Target="https://www.thestrategyinstitute.org/insights/implementing-a-long-term-strategic-risk-management-strategy" TargetMode="External"/><Relationship Id="rId70" Type="http://schemas.openxmlformats.org/officeDocument/2006/relationships/hyperlink" Target="https://www.spglobal.com/_assets/documents/marketplace/ihs-markit-sovereign-risk-methodology.pdf" TargetMode="External"/><Relationship Id="rId37" Type="http://schemas.openxmlformats.org/officeDocument/2006/relationships/hyperlink" Target="https://www.mdpi.com/2079-3197/13/4/84" TargetMode="External"/><Relationship Id="rId36" Type="http://schemas.openxmlformats.org/officeDocument/2006/relationships/hyperlink" Target="https://www.mdpi.com/2227-9091/12/11/174" TargetMode="External"/><Relationship Id="rId39" Type="http://schemas.openxmlformats.org/officeDocument/2006/relationships/hyperlink" Target="https://www.emerald.com/insight/content/doi/10.1108/sef-08-2024-0510/full/pdf?title=a-flexible-regime-switching-framework-for-foreign-exchange-dynamics" TargetMode="External"/><Relationship Id="rId38" Type="http://schemas.openxmlformats.org/officeDocument/2006/relationships/hyperlink" Target="https://www.mdpi.com/1911-8074/11/4/61" TargetMode="External"/><Relationship Id="rId62" Type="http://schemas.openxmlformats.org/officeDocument/2006/relationships/hyperlink" Target="https://equalsmoney.com/financial-glossary/backtesting" TargetMode="External"/><Relationship Id="rId61" Type="http://schemas.openxmlformats.org/officeDocument/2006/relationships/hyperlink" Target="https://srcc.edu/system/files/Pg%201-29%20K.V.%20Bhanu%20Murthy%20&amp;%20Anjala%20Kalsie,%20Construction%20of%20Composite%20Index%20Methodological%20Issues%20in%20Measuring%20Asian%20Financial%20Crisis.pdf" TargetMode="External"/><Relationship Id="rId20" Type="http://schemas.openxmlformats.org/officeDocument/2006/relationships/hyperlink" Target="https://www.metricstream.com/learn/risk-scores-for-better-risk-mgmt.html" TargetMode="External"/><Relationship Id="rId64" Type="http://schemas.openxmlformats.org/officeDocument/2006/relationships/hyperlink" Target="https://fenefx.com/blog/importance-of-backtesting-a-trading-plan/" TargetMode="External"/><Relationship Id="rId63" Type="http://schemas.openxmlformats.org/officeDocument/2006/relationships/hyperlink" Target="https://www.m4markets.com/about/news/the-importance-of-backtesting-in-forex-trading" TargetMode="External"/><Relationship Id="rId22" Type="http://schemas.openxmlformats.org/officeDocument/2006/relationships/hyperlink" Target="https://drata.com/grc-central/risk/risk-assessment-methodologies" TargetMode="External"/><Relationship Id="rId66" Type="http://schemas.openxmlformats.org/officeDocument/2006/relationships/hyperlink" Target="https://www.forex.com/en-us/trading-guides/how-to-backtest-your-trading-strategy/" TargetMode="External"/><Relationship Id="rId21" Type="http://schemas.openxmlformats.org/officeDocument/2006/relationships/hyperlink" Target="https://auditboard.com/blog/what-is-a-risk-assessment-matrix/" TargetMode="External"/><Relationship Id="rId65" Type="http://schemas.openxmlformats.org/officeDocument/2006/relationships/hyperlink" Target="https://fusionmarkets.com/posts/power-of-backtesting-in-forex" TargetMode="External"/><Relationship Id="rId24" Type="http://schemas.openxmlformats.org/officeDocument/2006/relationships/hyperlink" Target="https://www.bankingsupervision.europa.eu/activities/srep/2023/html/ssm.srep202306_methodology~1fc7e1a523.en.pdf" TargetMode="External"/><Relationship Id="rId68" Type="http://schemas.openxmlformats.org/officeDocument/2006/relationships/hyperlink" Target="https://www.researchgate.net/publication/223232625_A_comparison_of_the_accuracy_of_short_term_foreign_exchange_forecasting_methods" TargetMode="External"/><Relationship Id="rId23" Type="http://schemas.openxmlformats.org/officeDocument/2006/relationships/hyperlink" Target="https://www.bankingsupervision.europa.eu/activities/srep/2023/html/ssm.srep202312_marketriskcontrolsrepmethodology.en.pdf" TargetMode="External"/><Relationship Id="rId67" Type="http://schemas.openxmlformats.org/officeDocument/2006/relationships/hyperlink" Target="https://www.bis.org/basel_framework/chapter/MAR/99.htm?inforce=20191215&amp;published=20191215&amp;tldate=20180102" TargetMode="External"/><Relationship Id="rId60" Type="http://schemas.openxmlformats.org/officeDocument/2006/relationships/hyperlink" Target="https://www.uowoajournals.org/aabfj/article/1041/galley/1035/download/" TargetMode="External"/><Relationship Id="rId26" Type="http://schemas.openxmlformats.org/officeDocument/2006/relationships/hyperlink" Target="https://www.researchgate.net/publication/389869404_Rule-Based_Systems_in_AML" TargetMode="External"/><Relationship Id="rId25" Type="http://schemas.openxmlformats.org/officeDocument/2006/relationships/hyperlink" Target="https://www.nected.ai/blog/rules-based-systems" TargetMode="External"/><Relationship Id="rId69" Type="http://schemas.openxmlformats.org/officeDocument/2006/relationships/hyperlink" Target="https://www.spglobal.com/spdji/en/documents/methodologies/methodology-sp-risk-premia-fx-indices.pdf" TargetMode="External"/><Relationship Id="rId28" Type="http://schemas.openxmlformats.org/officeDocument/2006/relationships/hyperlink" Target="https://www.ticcompany.com/aml-compliance/aml-compliance-understanding-the-differences-between-risk-based-and-rule-based-approaches//" TargetMode="External"/><Relationship Id="rId27" Type="http://schemas.openxmlformats.org/officeDocument/2006/relationships/hyperlink" Target="https://www.higson.io/blog/why-choose-a-rules-based-fraud-prevention-solution" TargetMode="External"/><Relationship Id="rId29" Type="http://schemas.openxmlformats.org/officeDocument/2006/relationships/hyperlink" Target="https://amluae.com/portfolio/rules-based-vs-machine-learning-models-in-transaction-monitoring-systems/" TargetMode="External"/><Relationship Id="rId51" Type="http://schemas.openxmlformats.org/officeDocument/2006/relationships/hyperlink" Target="https://arxiv.org/abs/2502.06847" TargetMode="External"/><Relationship Id="rId50" Type="http://schemas.openxmlformats.org/officeDocument/2006/relationships/hyperlink" Target="https://f1000research.com/articles/14-233/pdf" TargetMode="External"/><Relationship Id="rId53" Type="http://schemas.openxmlformats.org/officeDocument/2006/relationships/hyperlink" Target="https://www.researchgate.net/profile/Richa-Handa/publication/383094261_PREDICTION_OF_FOREIGN_EXCHANGE_RATE_USING_REGRESSION_TECHNIQUES/links/66bc722a311cbb0949360cc8/PREDICTION-OF-FOREIGN-EXCHANGE-RATE-USING-REGRESSION-TECHNIQUES.pdf" TargetMode="External"/><Relationship Id="rId52" Type="http://schemas.openxmlformats.org/officeDocument/2006/relationships/hyperlink" Target="https://www.numberanalytics.com/blog/top-tips-market-risk-analysis-finance" TargetMode="External"/><Relationship Id="rId11" Type="http://schemas.openxmlformats.org/officeDocument/2006/relationships/hyperlink" Target="https://www.mineraltree.com/blog/foreign-exchange-risk/" TargetMode="External"/><Relationship Id="rId55" Type="http://schemas.openxmlformats.org/officeDocument/2006/relationships/hyperlink" Target="https://www.mckinsey.com/capabilities/risk-and-resilience/our-insights/flushing-out-the-money-launderers-with-better-customer-risk-rating-models" TargetMode="External"/><Relationship Id="rId10" Type="http://schemas.openxmlformats.org/officeDocument/2006/relationships/hyperlink" Target="https://www.investopedia.com/articles/forex/021114/exchange-rate-risk-economic-exposure.asp" TargetMode="External"/><Relationship Id="rId54" Type="http://schemas.openxmlformats.org/officeDocument/2006/relationships/hyperlink" Target="https://www.researchgate.net/publication/383094261_PREDICTION_OF_FOREIGN_EXCHANGE_RATE_USING_REGRESSION_TECHNIQUES" TargetMode="External"/><Relationship Id="rId13" Type="http://schemas.openxmlformats.org/officeDocument/2006/relationships/hyperlink" Target="https://legal.thomsonreuters.com/blog/risk-scores-overview/" TargetMode="External"/><Relationship Id="rId57" Type="http://schemas.openxmlformats.org/officeDocument/2006/relationships/hyperlink" Target="https://www.journals.uchicago.edu/doi/full/10.1093/reep/rex022" TargetMode="External"/><Relationship Id="rId12" Type="http://schemas.openxmlformats.org/officeDocument/2006/relationships/hyperlink" Target="https://www.imf.org/external/pubs/ft/wp/2006/wp06255.pdf" TargetMode="External"/><Relationship Id="rId56" Type="http://schemas.openxmlformats.org/officeDocument/2006/relationships/hyperlink" Target="https://trendspider.com/learning-center/risks-and-limitations-of-backtesting/" TargetMode="External"/><Relationship Id="rId15" Type="http://schemas.openxmlformats.org/officeDocument/2006/relationships/hyperlink" Target="https://www.metricstream.com/learn/what-are-risk-categories.html" TargetMode="External"/><Relationship Id="rId59" Type="http://schemas.openxmlformats.org/officeDocument/2006/relationships/hyperlink" Target="https://www.researchgate.net/publication/321268796_Composite_Index_Methods_and_Properties" TargetMode="External"/><Relationship Id="rId14" Type="http://schemas.openxmlformats.org/officeDocument/2006/relationships/hyperlink" Target="https://ghsindex.org/wp-content/uploads/2021/11/2021_GHSindex_Methodology_FINAL.pdf" TargetMode="External"/><Relationship Id="rId58" Type="http://schemas.openxmlformats.org/officeDocument/2006/relationships/hyperlink" Target="https://knowledge4policy.ec.europa.eu/composite-indicators/10-step-guide/step-6-weighting_en" TargetMode="External"/><Relationship Id="rId17" Type="http://schemas.openxmlformats.org/officeDocument/2006/relationships/hyperlink" Target="https://www.6sigma.us/six-sigma-in-focus/integrated-risk-management-irm/" TargetMode="External"/><Relationship Id="rId16" Type="http://schemas.openxmlformats.org/officeDocument/2006/relationships/hyperlink" Target="https://www.occ.treas.gov/news-issuances/news-releases/1996/nr-occ-1996-2a.pdf" TargetMode="External"/><Relationship Id="rId19" Type="http://schemas.openxmlformats.org/officeDocument/2006/relationships/hyperlink" Target="https://www.prsgroup.com/wp-content/uploads/2012/11/icrgmethodology.pdf" TargetMode="External"/><Relationship Id="rId18" Type="http://schemas.openxmlformats.org/officeDocument/2006/relationships/hyperlink" Target="https://klimavest.de/en/knowledge/guide/risk-classes-for-funds-and-invest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