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新台幣外匯市場動態、壽險業避險成本與風險管理機制深度解析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第一部分：台灣外匯市場格局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 新台幣兌美元匯率動態概覽（即期與遠期）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新台幣（TWD）兌美元（USD）的匯率走勢是觀察台灣經濟與國際金融市場互動的關鍵指標。回顧歷史，新台幣匯率經歷了顯著的波動。從1950年代中期低於10:1，到1960年代超過40:1，再到1992年約25:1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，以及1984年至2025年間在24.42至35.28區間波動的記錄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，顯示其並非固定不變。</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年來，全球宏觀經濟事件和金融市場情緒對新台幣匯率的影響日益加劇。例如，烏克蘭局勢、美國聯邦準備理事會（Fed）的貨幣政策預期（升息與降息）、全球通膨壓力以及主要經濟體的增長前景，都直接或間接地驅動了資本流動和市場預期，進而影響新台幣兌美元的匯率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。近期數據顯示，一年內匯率變動可達-7%至-10%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，52週內的波動區間亦相當寬廣（例如29.19至33.295）</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，這突顯了匯率風險管理的複雜性。2022年，新台幣兌美元平均貶值5.89%，年底貶值幅度達9.83%，主要受美國快速升息及地緣政治風險影響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。2023年，儘管年初因預期Fed放緩升息而有所升值，但隨後因持續升息、地緣政治緊張及外資流出等因素，全年平均貶值4.4%，年底貶值幅度為0.1%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些波動說明，相較於過去可能較為平緩的趨勢，新台幣匯率如今對全球衝擊和投資者情緒變化表現出更高的敏感度，這無疑增加了持有大量外幣資產（尤其是美元資產）的台灣企業，特別是壽險業者，在進行長期外匯風險管理時所面臨的挑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更深層次來看，台灣長期維持龐大的經常帳順差（過去十年超過GDP的10%）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，這從基本面上對新台幣構成了結構性的升值壓力。然而，實際觀察到的匯率路徑（包含貶值時期）</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顯示，市場並非簡單反映此順差壓力。這其中涉及到全球資本流動（例如資金匯出需求增強）</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、以及中央銀行可能採取的干預措施（無論是公開或非公開的），旨在維持外匯市場秩序和穩定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種基本面升值壓力與實際匯率表現之間的複雜互動，是理解新台幣匯率動態不可或缺的一環，對於需要對沖巨額美元資產的壽險公司而言，這種潛在的政策干預和被管理的匯率浮動特性，使得預測匯率走向和制定避險策略更具挑戰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1.1.1：近年新台幣兌美元即期匯率摘要</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年底匯率 (TWD/USD)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年平均匯率 (TWD/USD)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年變動率 (%) (年底)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年變動率 (%) (平均)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27.690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30.708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29.777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30.735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(截至年底數據)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(截至年底數據)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(截至最新數據)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(截至最新數據)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註：此表旨在說明匯率變動情況，具體數值請參考最新官方數據。2024及2025年數據為示意，需填入實際值。</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 新台幣兌美元換匯交易（FX Swap）市場分析</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1.2.1 歷史換匯點數與定價決定因素</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換匯交易（FX Swap）是台灣外匯市場中交易量最大的工具類型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。換匯點數（Swap Points），即遠期匯率與即期匯率的差額，反映了換匯交易的成本或收益，其定價核心是兩種貨幣之間的利率差異，並受到市場供需動態的調節。理論上，根據拋補利率平價理論（Covered Interest Rate Parity, CIRP），換匯點數應完全反映兩國的無風險利率差異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然而，多項研究指出，新台幣兌美元的換匯點數市場價值長期偏離CIRP理論值。具體而言，實證研究發現在2013年至2018年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以及2010年至2020年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期間，市場價值持續低於理論值。這意味著透過換匯交易所隱含的新台幣利率低於實際市場利率，或者隱含的美元利率高於實際市場利率。這種偏離（或稱為基差，Basis）通常被視為一種風險溢酬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。從美元持有者（例如需要將美元換成新台幣使用，並在未來換回美元）的角度來看，這種偏離通常表現為一個成本。一項針對2016年至2023年的研究發現，透過滾動三個月期FX Swap進行美元避險的年化平均成本約為2.83%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。該研究還指出，此避險成本分佈呈現負偏態（左偏）且具有肥尾特性，意味著發生較大避險成本的可能性高於發生較小成本的可能性，且極端成本值出現的機率較高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市場價值低於理論值的現象，暗示市場存在結構性的新台幣融資需求（透過賣出美元即期、買入美元遠期來獲取新台幣）或美元融資供給。對於持有大量美元資產並需要賣出美元遠期進行避險的壽險業者而言，如果換匯點數的負值程度 </w:t>
      </w:r>
      <w:r w:rsidDel="00000000" w:rsidR="00000000" w:rsidRPr="00000000">
        <w:rPr>
          <w:rFonts w:ascii="Google Sans Text" w:cs="Google Sans Text" w:eastAsia="Google Sans Text" w:hAnsi="Google Sans Text"/>
          <w:i w:val="1"/>
          <w:iCs w:val="1"/>
          <w:color w:val="1b1c1d"/>
          <w:sz w:val="24"/>
          <w:szCs w:val="24"/>
          <w:rtl w:val="0"/>
        </w:rPr>
        <w:t xml:space="preserve">小於</w:t>
      </w:r>
      <w:r w:rsidDel="00000000" w:rsidR="00000000" w:rsidRPr="00000000">
        <w:rPr>
          <w:rFonts w:ascii="Google Sans Text" w:cs="Google Sans Text" w:eastAsia="Google Sans Text" w:hAnsi="Google Sans Text"/>
          <w:i w:val="0"/>
          <w:iCs w:val="0"/>
          <w:color w:val="1b1c1d"/>
          <w:sz w:val="24"/>
          <w:szCs w:val="24"/>
          <w:rtl w:val="0"/>
        </w:rPr>
        <w:t xml:space="preserve"> 理論值（或正值程度 </w:t>
      </w:r>
      <w:r w:rsidDel="00000000" w:rsidR="00000000" w:rsidRPr="00000000">
        <w:rPr>
          <w:rFonts w:ascii="Google Sans Text" w:cs="Google Sans Text" w:eastAsia="Google Sans Text" w:hAnsi="Google Sans Text"/>
          <w:i w:val="1"/>
          <w:iCs w:val="1"/>
          <w:color w:val="1b1c1d"/>
          <w:sz w:val="24"/>
          <w:szCs w:val="24"/>
          <w:rtl w:val="0"/>
        </w:rPr>
        <w:t xml:space="preserve">大於</w:t>
      </w:r>
      <w:r w:rsidDel="00000000" w:rsidR="00000000" w:rsidRPr="00000000">
        <w:rPr>
          <w:rFonts w:ascii="Google Sans Text" w:cs="Google Sans Text" w:eastAsia="Google Sans Text" w:hAnsi="Google Sans Text"/>
          <w:i w:val="0"/>
          <w:iCs w:val="0"/>
          <w:color w:val="1b1c1d"/>
          <w:sz w:val="24"/>
          <w:szCs w:val="24"/>
          <w:rtl w:val="0"/>
        </w:rPr>
        <w:t xml:space="preserve"> 理論值），則其避險成本會增加。反之，若市場價值低於理論值意味著遠期新台幣價格相對理論更便宜（即換匯點數負值更大或正值更小），則有利於降低其避險成本。然而，</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的研究結果顯示平均存在2.83%的 </w:t>
      </w:r>
      <w:r w:rsidDel="00000000" w:rsidR="00000000" w:rsidRPr="00000000">
        <w:rPr>
          <w:rFonts w:ascii="Google Sans Text" w:cs="Google Sans Text" w:eastAsia="Google Sans Text" w:hAnsi="Google Sans Text"/>
          <w:i w:val="1"/>
          <w:iCs w:val="1"/>
          <w:color w:val="1b1c1d"/>
          <w:sz w:val="24"/>
          <w:szCs w:val="24"/>
          <w:rtl w:val="0"/>
        </w:rPr>
        <w:t xml:space="preserve">成本</w:t>
      </w:r>
      <w:r w:rsidDel="00000000" w:rsidR="00000000" w:rsidRPr="00000000">
        <w:rPr>
          <w:rFonts w:ascii="Google Sans Text" w:cs="Google Sans Text" w:eastAsia="Google Sans Text" w:hAnsi="Google Sans Text"/>
          <w:i w:val="0"/>
          <w:iCs w:val="0"/>
          <w:color w:val="1b1c1d"/>
          <w:sz w:val="24"/>
          <w:szCs w:val="24"/>
          <w:rtl w:val="0"/>
        </w:rPr>
        <w:t xml:space="preserve">，這表明對美元持有者而言，換匯點數提供的補償不足以抵銷美元與新台幣的利差，或者說，市場要求美元提供者支付溢價。</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進一步分析發現，這種偏離（風險溢酬）與美國公債殖利率曲線的斜率（例如10年期減2年期利率）存在顯著的正相關關係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這表明全球資金狀況和對未來美國貨幣政策的預期，直接且可量化地影響著新台幣兌美元的避險成本。當美國殖利率曲線變陡峭（通常預示經濟增長預期增強或未來升息預期）時，換匯點數的市場價值會進一步低於理論值，意味著美元融資的隱含成本上升，或新台幣融資的隱含成本下降，這可能是由於全球美元需求增加或台灣的銀行在此環境下提供新台幣融資時要求更高的風險溢價。這使得壽險公司的避險成本不僅受即期匯率或直接利差影響，也與更廣泛的全球市場風險偏好和資金壓力緊密相連。</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1.2.2 流動性與交易特性</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FX Swap佔據台灣外匯市場總交易量的半壁江山（2022年佔48.6%，2023年佔51.1%），年交易額高達數兆美元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。如此龐大的交易量通常意味著標準天期（如隔夜、一週、一個月、三個月）的市場具有良好的流動性，這對於需要進行大規模、常規性避險操作的壽險公司等機構投資者至關重要。</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然而，這種市場深度可能並非完全由自發性市場力量形成。有觀點指出，台灣中央銀行（CBC）透過外匯換匯交易進行了大規模的、可能未完全公開的干預，作為向國內壽險公司提供外匯避險的主要來源之一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。據估計，截至2018年中，此類干預規模可能高達1300億美元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。若此觀點成立，則意味著中央銀行在市場中扮演了重要的流動性提供者角色，尤其是在滿足壽險業巨大的、持續性的美元賣出遠期（買入新台幣遠期）的避險需求方面。</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潛在的政策支持性流動性具有雙重意涵。一方面，它確保了市場的穩定運作，使得壽險公司能夠以相對可控的成本執行避險策略；另一方面，它也意味著市場的「真實」流動性水平可能被高估，市場參與者可能對中央銀行持續提供流動性產生依賴。如果中央銀行的干預政策或能力發生轉變（例如，為了抑制通膨而減少釋出新台幣流動性，或因外匯存底考量而調整操作規模），可能會對FX Swap市場的流動性和定價產生不成比例的衝擊。這形成了一種潛在的系統性風險，即關鍵的避險市場功能在一定程度上依賴於政策的持續性，而這種風險可能未被市場充分定價。因此，在評估TWD FX Swap市場流動性時，不能忽視中央銀行可能扮演的關鍵角色及其政策變動的潛在影響。</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 新台幣兌美元無本金交割遠期外匯（NDF）市場</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1.3.1 歷史NDF定價與市場趨勢</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無本金交割遠期外匯（Non-Deliverable Forward, NDF）是一種現金結算的遠期外匯合約，其價值取決於合約匯率與到期時的定盤匯率之間的差額。NDF市場通常服務於那些無法或不便進入在岸（onshore）遠期市場的參與者，或者用於規避某些貨幣的交割限制。</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新台幣NDF的定價顯示出與在岸遠期市場顯著不同的特性。最明顯的是其避險成本遠高於在岸的交割遠期外匯（Deliverable Forward, DF）或FX Swap。例如，有報價顯示一個月期NDF的避險成本可能是在岸遠期成本的五倍以上（例如，每百萬美元成本為45.4萬新台幣 vs. 8.8萬新台幣）</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。這巨大的價差（NDF Basis）表明NDF市場可能反映了離岸市場（offshore）的特定預期、對潛在資本管制的擔憂、不同的流動性狀況或更高的風險溢價。</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研究也證實了NDF定價偏離CIRP的程度比FX Swap更為顯著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。除了同樣受到美國公債殖利率曲線斜率的影響外，新台幣NDF的偏離還與台灣特定的經濟因素顯著相關，例如電子產品出口訂單（正相關）和外資股市資金流動（負相關）</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這顯示NDF市場對台灣經濟的關鍵驅動因素和國際資本流動的敏感度更高。當市場預期台灣出口強勁（可能帶來未來新台幣升值壓力）或外資大舉流入推升新台幣時，NDF市場似乎會更強烈地反映這種預期，導致對沖新台幣升值風險的成本（透過買入USD/TWD NDF）急劇上升。這使得NDF成為觀察離岸市場對台灣特定風險看法的敏感指標，但也意味著其價格可能比在岸工具更為波動。例如，在2025年初新台幣僅升值0.3%的情況下，一年期NDF的避險成本就從2.24%上升至2.63%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1.3.1：新台幣兌美元 NDF 與在岸遠期價格比較（示意）</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天期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在岸遠期點數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年化成本/收益 (%)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NDF 隱含點數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年化成本/收益 (%)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NDF 基差 (點數)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個月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成本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成本 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(數值轉換)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個月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成本 2.24% -&gt; 2.63%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為示意性質，旨在說明NDF與在岸遠期之間的價差。點數和年化成本/收益需根據實際市場數據計算。點數為負表示遠期美元較即期美元貼水（TWD升水）。年化成本/收益是基於示例點數和假設即期匯率估算，僅供參考。</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1.3.2 在新台幣避險中的角色與重要性、流動性及市場參與者</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儘管成本較高，新台幣NDF市場仍然扮演著重要的角色，特別是對於無法直接參與在岸市場的離岸投資者、或有特定需求的國內機構（如部分壽險公司）</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。其交易量亦相當可觀，例如在EBS等電子交易平台上，單日交易量可達數十億美元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，顯示其具有一定的市場深度和活躍度。主要的參與者包括國際對沖基金、跨國公司以及部分國內金融機構。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近年來，台灣期貨交易所（TAIFEX）積極推動新台幣NDF的集中結算服務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一舉措旨在降低雙邊交易的交易對手信用風險，提高市場效率和透明度。透過引入中央結算對手方（CCP），可以標準化保證金要求和違約管理程序，這有望吸引更多風險規避型的機構投資者參與NDF市場。雖然集中結算本身不一定能完全消除NDF相對於在岸市場的高成本（因其仍反映不同的供需和風險預期），但透過降低信用風險溢價和提高流動性，可能在一定程度上收窄價差，並使NDF成為更安全、更具吸引力的避險工具選項。</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DF市場在台灣外匯體系中的持續活躍，即使在擁有流動性良好的在岸遠期和換匯市場的情況下，也突顯了台灣金融市場與全球資本流動的緊密聯繫，以及在岸市場在某些方面可能存在的准入壁壘或摩擦，使得離岸市場對特定國際參與者而言仍具有不可替代性。</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1.4 新台幣兌美元貨幣交換基差與拋補利率平價（CIP）偏離</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貨幣交換基差（Cross-Currency Basis），特別是透過換匯換利交易（Cross Currency Swap, CCS）體現的基差，衡量的是透過外匯衍生品市場借入一種貨幣（相對於直接在該貨幣的貨幣市場借款）的額外成本或收益。它本質上是市場價格對拋補利率平價（CIP）理論的偏離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。CIP理論認為，在沒有摩擦的情況下，兩種貨幣之間的遠期匯率應完全由其利率差異決定，使得透過外匯市場進行的套利無利可圖。</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然而，自2008年全球金融危機以來，主要貨幣對美元的換匯交易（FX Swap）和換匯換利交易（CCS）價格普遍持續偏離CIP理論定價，基差（Swap basis 或 Cross Currency basis）顯著且持續地偏離零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。對於新台幣兌美元而言，歷史數據和分析顯示，其基差長期處於負值區域（從美元融資者的角度來看，即透過換匯市場獲取新台幣的成本低於理論值，或獲取美元的成本高於理論值）</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。這種偏離反映了多種因素，包括全球美元的供需失衡、銀行資產負債表的限制（例如資本要求、風險限額）、交易對手信用風險擔憂以及市場分割等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中央銀行（CBC）在管理此基差方面扮演了關鍵角色。透過在外匯換匯市場的大規模干預，向市場（主要是壽險公司）提供美元避險（即賣出美元遠期），CBC有效地為負的美元兌新台幣基差設定了一個「下限」（flooring the basis）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意味著，若沒有CBC的干預，基差可能會更加負向（即美元透過換匯市場融資的成本會更高），這將顯著增加壽險公司對沖其龐大美元資產的成本，甚至可能威脅到其海外投資策略的可行性。因此，觀察到的新台幣兌美元基差並非純粹市場力量的結果，而是受到政策顯著影響的產物。</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由央行管理並維持的CIP偏離，對台灣的資本配置和金融體系風險承擔具有深遠影響。透過人為地降低（或穩定）美元資產的避險成本，可能在一定程度上鼓勵了台灣儲蓄的「美元化」，即促使壽險公司等機構將大量資金投向海外美元資產，因為在考慮了（被壓低的）避險成本後，這些資產的回報顯得更具吸引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創造了一種系統性的相互依賴：壽險業的龐大海外部位需要持續的避險操作，而避險成本的穩定又依賴於CBC的持續干預。如果CBC的政策發生變化或干預效果減弱，可能引發避險成本的急劇上升，對壽險業乃至整個金融體系的穩定構成挑戰。</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1.5 台灣外匯市場的結構與交易量</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台灣外匯市場（以台北外匯市場為主）展現出顯著的深度和活躍度。2023年，市場總交易量達到9兆3,410億美元，較前一年增長8.8%，日均交易量約為378億美元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市場結構：</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市場參與者主要分為銀行與客戶之間（Bank-Customer）以及銀行同業之間（Interbank）。2023年的數據顯示，銀行同業間交易佔總交易量的69.4%，其中本地銀行間交易佔21.7%，本地銀行與海外銀行間交易佔47.7%。銀行與客戶間交易則佔30.6% 6。這表明銀行同業市場，特別是與海外銀行的連接，是市場流動性的主要來源。</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交易幣別：</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一個顯著的特點是，非涉及新台幣的「第三貨幣」交易量佔比持續擴大，2022年為51.5%，2023年已增至54.9%，年增長率達16.0% 5。其中，美元兌人民幣（USD/RMB）、美元兌歐元（USD/EUR）和美元兌日圓（USD/JPY）是最主要的交易貨幣對，2023年分別佔總交易量的19.7%、8.4%和8.1% 6。相比之下，涉及新台幣的交易（主要為新台幣兌美元）佔總交易量的45.1% 6。這顯示台北外匯市場不僅是新台幣兌換的場所，更已發展成為區域性的外匯交易中心，積極參與全球主要貨幣對的交易和清算。</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交易工具：</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從交易工具來看，外匯換匯交易（FX Swaps）和即期交易（Spots）是絕對的主流，兩者合計佔總交易量的近九成。2023年，FX Swaps佔比為51.1%，即期交易佔比為38.6% 6。遠期外匯（Forwards）和選擇權（Options）的佔比較小，但2023年呈現顯著增長（年增長率分別為30.4%和25.4%），顯示這些工具的重要性可能正在提升 6。換匯換利交易（Cross Currency Swaps, CCS）的佔比則相對微小 5。FX Swaps的主導地位與前述分析一致，反映了市場參與者（尤其是大型機構）對透過此工具進行短期資金調度和避險操作的偏好。相對較小的遠期和選擇權交易量可能反映了成本考量、流動性差異，或特定參與者（如壽險公司）傾向於使用滾動的短期換匯策略來管理其長期資產的匯率風險。</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1.5.1：台北外匯市場年度交易量（按工具類型）</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交易工具類型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2022年交易量 (十億美元)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2022年佔比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2023年交易量 (十億美元)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2023年佔比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2022-2023 年增長率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即期交易 (Spots)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3,658.9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遠期外匯 (Forwards)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外匯換匯 (FX Swaps)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4,174.0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4,773.8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保證金交易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換匯換利 (CCS)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總計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8,582.6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9,341.0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8.8%</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575b5f"/>
          <w:sz w:val="24"/>
          <w:szCs w:val="24"/>
          <w:vertAlign w:val="superscript"/>
        </w:rPr>
      </w:pPr>
      <w:r w:rsidDel="00000000" w:rsidR="00000000" w:rsidRPr="00000000">
        <w:rPr>
          <w:rFonts w:ascii="Google Sans Text" w:cs="Google Sans Text" w:eastAsia="Google Sans Text" w:hAnsi="Google Sans Text"/>
          <w:i w:val="1"/>
          <w:iCs w:val="1"/>
          <w:color w:val="1b1c1d"/>
          <w:sz w:val="24"/>
          <w:szCs w:val="24"/>
          <w:rtl w:val="0"/>
        </w:rPr>
        <w:t xml:space="preserve">資料來源：改編自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第二部分：台灣壽險業的外匯避險</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 海外投資規模與內含外匯曝險</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壽險業的海外投資規模極為龐大，是其資產配置的核心部分，同時也構成了顯著的系統性外匯風險來源。由於國內投資工具收益率相對較低，難以滿足其長期負債（如保單責任準備金）的收益需求，壽險公司將大量資金投向海外市場，特別是美元計價的固定收益資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截至近年數據，台灣壽險業持有的海外資產總額約達7,670億美元（超過新台幣23兆元）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。這些海外投資佔其可運用資金的比重持續攀升，從2013年的43.58%增長至2019年的66.37%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，近年更維持在65%以上的高水平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。大型壽險公司如國泰人壽和富邦人壽，其具有外匯風險的資產佔總投資資產的比重分別達到近70%和超過60%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。這些投資主要集中在北美市場的美元債券（包括美國公債、公司債等）</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如此巨大的海外資產部位，相對於其以新台幣計價的負債，產生了巨大的貨幣錯配（currency mismatch）風險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即使是相對溫和的新台幣升值，若未進行有效避險，也可能對壽險公司的損益表和淨值造成嚴重衝擊。例如，根據模型估算，在特定情境下（如新台幣年升值幅度達到尾端機率5%），一家大型壽險公司若完全不避險，其年度外匯曝險值可能高達數千億新台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。這凸顯了外匯避險對於維持台灣壽險業財務穩健性的極端重要性。</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然而，一個值得關注的現象是，壽險公司並未對其全部外匯曝險進行避險。據估計，截至2023年底，台灣壽險業的整體避險比例約為65%，接近歷史低點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。這意味著有相當大一部分（約35%）的龐大外匯風險敞口是未被覆蓋的。這個決策背後的主要驅動因素是高昂的避險成本，以及在美元走強時未避險部位可以貢獻匯兌收益的考量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。但這無疑是一場高風險的賭注。當美元走弱、新台幣如近期般急劇升值時，未避險部位將面臨巨大的潛在損失，給業者帶來嚴峻的財務、業務和現金流挑戰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。這種在避險成本與潛在匯兌損失之間的權衡，以及由此產生的變動避險比例，是理解台灣壽險業外匯風險管理實務的核心。</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 外匯避險成本綜合分析</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2.2.1 避險成本的歷史趨勢（FX Swaps, NDFs等）</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對台灣壽險業者而言，外匯避險並非免費，其成本直接侵蝕海外投資的收益。歷史數據和研究顯示，避險成本是實質且波動的。</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FX Swap成本：</w:t>
      </w:r>
      <w:r w:rsidDel="00000000" w:rsidR="00000000" w:rsidRPr="00000000">
        <w:rPr>
          <w:rFonts w:ascii="Google Sans Text" w:cs="Google Sans Text" w:eastAsia="Google Sans Text" w:hAnsi="Google Sans Text"/>
          <w:i w:val="0"/>
          <w:iCs w:val="0"/>
          <w:color w:val="1b1c1d"/>
          <w:sz w:val="24"/>
          <w:szCs w:val="24"/>
          <w:rtl w:val="0"/>
        </w:rPr>
        <w:t xml:space="preserve"> 透過滾動短期FX Swap進行避險是常用策略。研究顯示，2016年至2023年間，使用3個月期FX Swap滾動避險的年化平均成本約為2.83%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。此成本的波動區間大多在0.5%至1%之間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，但如前所述，其分佈具有肥尾特性，意味著可能出現遠超平均水平的成本。</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NDF成本：</w:t>
      </w:r>
      <w:r w:rsidDel="00000000" w:rsidR="00000000" w:rsidRPr="00000000">
        <w:rPr>
          <w:rFonts w:ascii="Google Sans Text" w:cs="Google Sans Text" w:eastAsia="Google Sans Text" w:hAnsi="Google Sans Text"/>
          <w:i w:val="0"/>
          <w:iCs w:val="0"/>
          <w:color w:val="1b1c1d"/>
          <w:sz w:val="24"/>
          <w:szCs w:val="24"/>
          <w:rtl w:val="0"/>
        </w:rPr>
        <w:t xml:space="preserve"> NDF的避險成本通常遠高於在岸的FX Swap或遠期外匯。有市場報價顯示，一個月期NDF的成本可能是同期在岸遠期成本的五倍以上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。一年期NDF的成本也可能達到2%以上，且對匯率變動非常敏感，例如在新台幣小幅升值0.3%時，一年期NDF成本就從2.24%升至2.63%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其他工具：</w:t>
      </w:r>
      <w:r w:rsidDel="00000000" w:rsidR="00000000" w:rsidRPr="00000000">
        <w:rPr>
          <w:rFonts w:ascii="Google Sans Text" w:cs="Google Sans Text" w:eastAsia="Google Sans Text" w:hAnsi="Google Sans Text"/>
          <w:i w:val="0"/>
          <w:iCs w:val="0"/>
          <w:color w:val="1b1c1d"/>
          <w:sz w:val="24"/>
          <w:szCs w:val="24"/>
          <w:rtl w:val="0"/>
        </w:rPr>
        <w:t xml:space="preserve"> 雖然較少被量化提及，但使用貨幣交換（CS/CCS）或選擇權也會產生相應的成本（點數或權利金）。</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這些成本數字，尤其是佔比最大的FX Swap成本，相對於海外債券的收益率（例如美國公債或公司債）而言，是相當顯著的。若海外債券收益率為4-5%，扣除2-3%的避險成本後，實際轉換回新台幣的淨收益將大幅縮水。這解釋了為何避險成本的高低成為影響壽險公司避險意願和避險比例的關鍵決定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。當避險成本過高時，業者可能選擇降低避險比例，承受更高的匯率風險，以期保留更多的投資收益。</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2.2.1：新台幣兌美元避險工具成本比較（示意年化成本率）</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避險工具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參考天期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歷史平均成本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近期觀察成本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成本特性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FX Swap (滾動)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3個月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波動，受利差與基差影響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在岸遠期 (DF)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1個月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約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相對較低，但可能缺乏長期流動性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(轉換)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無本金交割 (NDF)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1個月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約 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顯著高於在岸，波動大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(轉換)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無本金交割 (NDF)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2.24% -&gt; 2.63%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隨匯率預期快速變動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貨幣交換 (CS)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(需市場數據)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適用長期，成本受基差影響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註：此表為示意性質，年化成本率根據片段信息估算或引用，僅供比較參考。實際成本隨市場條件劇烈變動。</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2.2.2 影響避險成本的因素</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避險成本並非單一因素決定，而是多重力量交互作用的結果：</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利率差異：</w:t>
      </w:r>
      <w:r w:rsidDel="00000000" w:rsidR="00000000" w:rsidRPr="00000000">
        <w:rPr>
          <w:rFonts w:ascii="Google Sans Text" w:cs="Google Sans Text" w:eastAsia="Google Sans Text" w:hAnsi="Google Sans Text"/>
          <w:i w:val="0"/>
          <w:iCs w:val="0"/>
          <w:color w:val="1b1c1d"/>
          <w:sz w:val="24"/>
          <w:szCs w:val="24"/>
          <w:rtl w:val="0"/>
        </w:rPr>
        <w:t xml:space="preserve"> 新台幣與美元之間的利率差異是決定換匯點數（FX Swap Points）和遠期點數（Forward Points）的核心因素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。當美元利率高於新台幣利率時，遠期美元通常會貼水（discount），賣出美元遠期（買入新台幣遠期）會產生收益（負成本）或較低的成本；反之則成本增加。</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CIP偏離/基差：</w:t>
      </w:r>
      <w:r w:rsidDel="00000000" w:rsidR="00000000" w:rsidRPr="00000000">
        <w:rPr>
          <w:rFonts w:ascii="Google Sans Text" w:cs="Google Sans Text" w:eastAsia="Google Sans Text" w:hAnsi="Google Sans Text"/>
          <w:i w:val="0"/>
          <w:iCs w:val="0"/>
          <w:color w:val="1b1c1d"/>
          <w:sz w:val="24"/>
          <w:szCs w:val="24"/>
          <w:rtl w:val="0"/>
        </w:rPr>
        <w:t xml:space="preserve"> 如前所述（1.4節），市場實際定價與理論CIP值之間的偏離（基差）是避險成本的重要組成部分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這個基差反映了市場對美元或新台幣的相對融資溢價、銀行資產負債表成本、信用風險以及市場分割等因素。對台灣壽險公司（通常是賣出美元遠期）而言，負基差（美元融資成本高於理論值）會增加其避險成本。</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市場波動性：</w:t>
      </w:r>
      <w:r w:rsidDel="00000000" w:rsidR="00000000" w:rsidRPr="00000000">
        <w:rPr>
          <w:rFonts w:ascii="Google Sans Text" w:cs="Google Sans Text" w:eastAsia="Google Sans Text" w:hAnsi="Google Sans Text"/>
          <w:i w:val="0"/>
          <w:iCs w:val="0"/>
          <w:color w:val="1b1c1d"/>
          <w:sz w:val="24"/>
          <w:szCs w:val="24"/>
          <w:rtl w:val="0"/>
        </w:rPr>
        <w:t xml:space="preserve"> 匯率的預期波動性主要影響選擇權的權利金。波動性越高，選擇權價格越貴。雖然選擇權在提供的片段中提及較少（可能因成本考量），但波動性也會間接影響NDF市場的定價，因為NDF市場通常更具投機性，對市場情緒和預期波動更為敏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市場流動性：</w:t>
      </w:r>
      <w:r w:rsidDel="00000000" w:rsidR="00000000" w:rsidRPr="00000000">
        <w:rPr>
          <w:rFonts w:ascii="Google Sans Text" w:cs="Google Sans Text" w:eastAsia="Google Sans Text" w:hAnsi="Google Sans Text"/>
          <w:i w:val="0"/>
          <w:iCs w:val="0"/>
          <w:color w:val="1b1c1d"/>
          <w:sz w:val="24"/>
          <w:szCs w:val="24"/>
          <w:rtl w:val="0"/>
        </w:rPr>
        <w:t xml:space="preserve"> 避險工具的流動性直接影響交易成本（買賣價差）。對於需要進行大規模交易的壽險公司而言，流動性不足的市場（例如長期遠期外匯或特定結構的衍生品）意味著更高的執行成本和潛在的市場衝擊。FX Swap市場的高流動性是其被廣泛使用的原因之一，但如前述，這種流動性可能部分依賴於央行干預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交易對手信用風險：</w:t>
      </w:r>
      <w:r w:rsidDel="00000000" w:rsidR="00000000" w:rsidRPr="00000000">
        <w:rPr>
          <w:rFonts w:ascii="Google Sans Text" w:cs="Google Sans Text" w:eastAsia="Google Sans Text" w:hAnsi="Google Sans Text"/>
          <w:i w:val="0"/>
          <w:iCs w:val="0"/>
          <w:color w:val="1b1c1d"/>
          <w:sz w:val="24"/>
          <w:szCs w:val="24"/>
          <w:rtl w:val="0"/>
        </w:rPr>
        <w:t xml:space="preserve"> 對於雙邊OTC衍生品交易（如未經清算的FX Swap, Forward, CCS），交易對手信用風險會影響定價。信用評級較低的交易對手可能需要支付更高的價格（或接受更差的價格）</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。雖然大型壽險公司和銀行通常信用良好，但在市場壓力下，對手風險擔憂會普遍上升，推高整體避險成本。中央結算（如TAIFEX的NDF結算）旨在降低此風險溢價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中央銀行政策：</w:t>
      </w:r>
      <w:r w:rsidDel="00000000" w:rsidR="00000000" w:rsidRPr="00000000">
        <w:rPr>
          <w:rFonts w:ascii="Google Sans Text" w:cs="Google Sans Text" w:eastAsia="Google Sans Text" w:hAnsi="Google Sans Text"/>
          <w:i w:val="0"/>
          <w:iCs w:val="0"/>
          <w:color w:val="1b1c1d"/>
          <w:sz w:val="24"/>
          <w:szCs w:val="24"/>
          <w:rtl w:val="0"/>
        </w:rPr>
        <w:t xml:space="preserve"> CBC在外匯市場的干預，特別是透過FX Swap提供流動性和管理基差，直接影響著壽險公司面臨的避險成本結構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。任何政策的調整都可能改變成本格局。</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綜合來看，避險成本是一個動態且複雜的變數，受到國內外利率政策、全球資金流動、市場情緒、銀行體系健康狀況以及央行干預等多重因素的影響。這使得壽險公司在制定和執行避險策略時，必須進行持續的監控和動態調整。</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 台灣壽險業採用的主要避險工具與策略</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面對龐大的外匯曝險和顯著的避險成本，台灣壽險業發展出了一套以成本效益和操作可行性為主要考量的避險策略組合。</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主要避險工具：</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外匯換匯交易 (FX Swaps)：</w:t>
      </w:r>
      <w:r w:rsidDel="00000000" w:rsidR="00000000" w:rsidRPr="00000000">
        <w:rPr>
          <w:rFonts w:ascii="Google Sans Text" w:cs="Google Sans Text" w:eastAsia="Google Sans Text" w:hAnsi="Google Sans Text"/>
          <w:i w:val="0"/>
          <w:iCs w:val="0"/>
          <w:color w:val="1b1c1d"/>
          <w:sz w:val="24"/>
          <w:szCs w:val="24"/>
          <w:rtl w:val="0"/>
        </w:rPr>
        <w:t xml:space="preserve"> 這是最主要的直接避險工具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。業者通常採用滾動短期（如三個月）FX Swap的方式來對沖長期美元資產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。其優點在於短期市場流動性較好，且換匯點數成本相對透明。缺點是存在滾動續作風險（rollover risk），未來換匯點數可能變差，且持續暴露於利差變動的風險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無本金交割遠期外匯 (NDFs)：</w:t>
      </w:r>
      <w:r w:rsidDel="00000000" w:rsidR="00000000" w:rsidRPr="00000000">
        <w:rPr>
          <w:rFonts w:ascii="Google Sans Text" w:cs="Google Sans Text" w:eastAsia="Google Sans Text" w:hAnsi="Google Sans Text"/>
          <w:i w:val="0"/>
          <w:iCs w:val="0"/>
          <w:color w:val="1b1c1d"/>
          <w:sz w:val="24"/>
          <w:szCs w:val="24"/>
          <w:rtl w:val="0"/>
        </w:rPr>
        <w:t xml:space="preserve"> 也是常用的直接避險工具之一，尤其是在特定市場環境下或作為補充策略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。其優點是不涉及本金交割，操作相對簡便。缺點是成本通常遠高於在岸工具，且價格波動性較大，對匯率預期變化非常敏感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遠期外匯 (Forwards)：</w:t>
      </w:r>
      <w:r w:rsidDel="00000000" w:rsidR="00000000" w:rsidRPr="00000000">
        <w:rPr>
          <w:rFonts w:ascii="Google Sans Text" w:cs="Google Sans Text" w:eastAsia="Google Sans Text" w:hAnsi="Google Sans Text"/>
          <w:i w:val="0"/>
          <w:iCs w:val="0"/>
          <w:color w:val="1b1c1d"/>
          <w:sz w:val="24"/>
          <w:szCs w:val="24"/>
          <w:rtl w:val="0"/>
        </w:rPr>
        <w:t xml:space="preserve"> 雖然交易量佔比較小，但仍被使用，特別是在岸的交割遠期（DF）成本可能低於NDF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替代/代理避險 (Proxy/Alternative Hedging)：</w:t>
      </w:r>
      <w:r w:rsidDel="00000000" w:rsidR="00000000" w:rsidRPr="00000000">
        <w:rPr>
          <w:rFonts w:ascii="Google Sans Text" w:cs="Google Sans Text" w:eastAsia="Google Sans Text" w:hAnsi="Google Sans Text"/>
          <w:i w:val="0"/>
          <w:iCs w:val="0"/>
          <w:color w:val="1b1c1d"/>
          <w:sz w:val="24"/>
          <w:szCs w:val="24"/>
          <w:rtl w:val="0"/>
        </w:rPr>
        <w:t xml:space="preserve"> 當直接對沖美元/新台幣成本過高時，業者會採用一籃子貨幣或交叉貨幣的間接避險策略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。具體操作上，據報導業者會利用韓元（KRW）、新加坡元（SGD）、日圓（JPY）、歐元（EUR）、英鎊（GBP）等貨幣的遠期外匯來對沖部分新台幣升值的負面影響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。這種策略的有效性取決於這些替代貨幣與新台幣之間匯率走勢的相關性，但也引入了新的基差風險（proxy basis risk）。</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其他工具：</w:t>
      </w:r>
      <w:r w:rsidDel="00000000" w:rsidR="00000000" w:rsidRPr="00000000">
        <w:rPr>
          <w:rFonts w:ascii="Google Sans Text" w:cs="Google Sans Text" w:eastAsia="Google Sans Text" w:hAnsi="Google Sans Text"/>
          <w:i w:val="0"/>
          <w:iCs w:val="0"/>
          <w:color w:val="1b1c1d"/>
          <w:sz w:val="24"/>
          <w:szCs w:val="24"/>
          <w:rtl w:val="0"/>
        </w:rPr>
        <w:t xml:space="preserve"> 換匯換利交易（CCS）也被提及作為避險工具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，但其市場交易量相對較小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。選擇權（Options）雖然理論上可用，但可能因成本較高或監管建議（如僅限買入陽春型選擇權）</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而較少作為主要避險手段。</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避險策略考量：</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成本效益：</w:t>
      </w:r>
      <w:r w:rsidDel="00000000" w:rsidR="00000000" w:rsidRPr="00000000">
        <w:rPr>
          <w:rFonts w:ascii="Google Sans Text" w:cs="Google Sans Text" w:eastAsia="Google Sans Text" w:hAnsi="Google Sans Text"/>
          <w:i w:val="0"/>
          <w:iCs w:val="0"/>
          <w:color w:val="1b1c1d"/>
          <w:sz w:val="24"/>
          <w:szCs w:val="24"/>
          <w:rtl w:val="0"/>
        </w:rPr>
        <w:t xml:space="preserve"> 在各種工具中權衡成本是核心考量。滾動短天期FX Swap通常被認為是成本相對較低的方式，但需承擔滾動風險。NDF成本高昂，可能只在特定情況下使用。替代避險則是試圖在成本與效果間找到平衡。</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w:t>
      </w:r>
      <w:r w:rsidDel="00000000" w:rsidR="00000000" w:rsidRPr="00000000">
        <w:rPr>
          <w:rFonts w:ascii="Google Sans Text" w:cs="Google Sans Text" w:eastAsia="Google Sans Text" w:hAnsi="Google Sans Text"/>
          <w:i w:val="0"/>
          <w:iCs w:val="0"/>
          <w:color w:val="1b1c1d"/>
          <w:sz w:val="24"/>
          <w:szCs w:val="24"/>
          <w:rtl w:val="0"/>
        </w:rPr>
        <w:t xml:space="preserve"> FX Swap的短期市場流動性良好，有利於大規模操作。長期遠期或複雜衍生品的流動性可能較差。</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會計處理與監管：</w:t>
      </w:r>
      <w:r w:rsidDel="00000000" w:rsidR="00000000" w:rsidRPr="00000000">
        <w:rPr>
          <w:rFonts w:ascii="Google Sans Text" w:cs="Google Sans Text" w:eastAsia="Google Sans Text" w:hAnsi="Google Sans Text"/>
          <w:i w:val="0"/>
          <w:iCs w:val="0"/>
          <w:color w:val="1b1c1d"/>
          <w:sz w:val="24"/>
          <w:szCs w:val="24"/>
          <w:rtl w:val="0"/>
        </w:rPr>
        <w:t xml:space="preserve"> 避險工具的會計處理（例如是否符合避險會計要求）以及監管機構對特定工具使用的規定（如對選擇權的限制）</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也會影響策略選擇。</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資產負債管理（ALM）：</w:t>
      </w:r>
      <w:r w:rsidDel="00000000" w:rsidR="00000000" w:rsidRPr="00000000">
        <w:rPr>
          <w:rFonts w:ascii="Google Sans Text" w:cs="Google Sans Text" w:eastAsia="Google Sans Text" w:hAnsi="Google Sans Text"/>
          <w:i w:val="0"/>
          <w:iCs w:val="0"/>
          <w:color w:val="1b1c1d"/>
          <w:sz w:val="24"/>
          <w:szCs w:val="24"/>
          <w:rtl w:val="0"/>
        </w:rPr>
        <w:t xml:space="preserve"> 避險策略需與資產（長期美元債券）和負債（長期新台幣保單）的特性相匹配。滾動短期避險與長期資產之間存在期限錯配風險。</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 業者會根據市場狀況（匯率預期、避險成本變化）動態調整避險比例和工具組合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。例如，在預期新台幣將貶值或避險成本極高時，可能降低避險比例；反之則提高。</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自然避險：</w:t>
      </w:r>
      <w:r w:rsidDel="00000000" w:rsidR="00000000" w:rsidRPr="00000000">
        <w:rPr>
          <w:rFonts w:ascii="Google Sans Text" w:cs="Google Sans Text" w:eastAsia="Google Sans Text" w:hAnsi="Google Sans Text"/>
          <w:i w:val="0"/>
          <w:iCs w:val="0"/>
          <w:color w:val="1b1c1d"/>
          <w:sz w:val="24"/>
          <w:szCs w:val="24"/>
          <w:rtl w:val="0"/>
        </w:rPr>
        <w:t xml:space="preserve"> 增加外幣保單的銷售可以在負債端產生美元現金流，部分抵銷資產端的匯率風險，形成「自然避險」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資產配置調整：</w:t>
      </w:r>
      <w:r w:rsidDel="00000000" w:rsidR="00000000" w:rsidRPr="00000000">
        <w:rPr>
          <w:rFonts w:ascii="Google Sans Text" w:cs="Google Sans Text" w:eastAsia="Google Sans Text" w:hAnsi="Google Sans Text"/>
          <w:i w:val="0"/>
          <w:iCs w:val="0"/>
          <w:color w:val="1b1c1d"/>
          <w:sz w:val="24"/>
          <w:szCs w:val="24"/>
          <w:rtl w:val="0"/>
        </w:rPr>
        <w:t xml:space="preserve"> 在極端情況下，業者也可能調整資產配置，例如增加新台幣計價資產（如債券ETF）或提高海外現金部位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總體而言，台灣壽險業的避險操作是一個在成本、風險、流動性和監管約束下不斷進行優化和動態調整的複雜過程。對滾動短天期FX Swap的依賴以及對替代避險工具的探索，反映了其在管理巨大外匯風險敞口時所面臨的現實挑戰。</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第三部分：監管框架、風險管理與市場中介</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外匯價格變動準備金（FEVR）機制</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3.1.1 目標與運作機制（提存、沖抵規則）</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外匯價格變動準備金（Foreign Exchange Valuation Reserve, FEVR）是台灣金融監督管理委員會（FSC）於2012年6月起實施的一項監管工具，旨在協助人身保險業者平穩其因持有大量海外資產而產生的匯兌損益波動，減緩短期匯率變動對財務報表的衝擊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。其核心目標是「盈餘平穩」（earnings smoothing），而非消除經濟上的匯率風險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FEVR設立於保險公司負債項下，其運作機制主要包含提存（appropriation）和沖抵（reversal）兩個方面，並受到累積上限和最低餘額的規範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提存規則：</w:t>
      </w:r>
    </w:p>
    <w:p w:rsidR="00000000" w:rsidDel="00000000" w:rsidP="00000000" w:rsidRDefault="00000000" w:rsidRPr="00000000" w14:paraId="000000F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固定提存：</w:t>
      </w:r>
      <w:r w:rsidDel="00000000" w:rsidR="00000000" w:rsidRPr="00000000">
        <w:rPr>
          <w:rFonts w:ascii="Google Sans Text" w:cs="Google Sans Text" w:eastAsia="Google Sans Text" w:hAnsi="Google Sans Text"/>
          <w:i w:val="0"/>
          <w:iCs w:val="0"/>
          <w:color w:val="1b1c1d"/>
          <w:sz w:val="24"/>
          <w:szCs w:val="24"/>
          <w:rtl w:val="0"/>
        </w:rPr>
        <w:t xml:space="preserve"> 每月依據「國外投資淨曝險部位」乘以「固定提存比率」（例如0.05%）計算應提存金額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。國外投資淨曝險部位是指國外投資扣除外幣保單負債、特定未避險股票基金及傳統避險本金後的餘額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額外提存（基於匯兌損益）：</w:t>
      </w:r>
      <w:r w:rsidDel="00000000" w:rsidR="00000000" w:rsidRPr="00000000">
        <w:rPr>
          <w:rFonts w:ascii="Google Sans Text" w:cs="Google Sans Text" w:eastAsia="Google Sans Text" w:hAnsi="Google Sans Text"/>
          <w:i w:val="0"/>
          <w:iCs w:val="0"/>
          <w:color w:val="1b1c1d"/>
          <w:sz w:val="24"/>
          <w:szCs w:val="24"/>
          <w:rtl w:val="0"/>
        </w:rPr>
        <w:t xml:space="preserve"> 當月若有「未避險外幣資產及負債」產生匯兌 </w:t>
      </w:r>
      <w:r w:rsidDel="00000000" w:rsidR="00000000" w:rsidRPr="00000000">
        <w:rPr>
          <w:rFonts w:ascii="Google Sans Text" w:cs="Google Sans Text" w:eastAsia="Google Sans Text" w:hAnsi="Google Sans Text"/>
          <w:i w:val="1"/>
          <w:iCs w:val="1"/>
          <w:color w:val="1b1c1d"/>
          <w:sz w:val="24"/>
          <w:szCs w:val="24"/>
          <w:rtl w:val="0"/>
        </w:rPr>
        <w:t xml:space="preserve">利益</w:t>
      </w:r>
      <w:r w:rsidDel="00000000" w:rsidR="00000000" w:rsidRPr="00000000">
        <w:rPr>
          <w:rFonts w:ascii="Google Sans Text" w:cs="Google Sans Text" w:eastAsia="Google Sans Text" w:hAnsi="Google Sans Text"/>
          <w:i w:val="0"/>
          <w:iCs w:val="0"/>
          <w:color w:val="1b1c1d"/>
          <w:sz w:val="24"/>
          <w:szCs w:val="24"/>
          <w:rtl w:val="0"/>
        </w:rPr>
        <w:t xml:space="preserve"> 時，應將該利益的一定比例（例如50%）額外提存至FEVR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額外提存（基於避險成本）：</w:t>
      </w:r>
      <w:r w:rsidDel="00000000" w:rsidR="00000000" w:rsidRPr="00000000">
        <w:rPr>
          <w:rFonts w:ascii="Google Sans Text" w:cs="Google Sans Text" w:eastAsia="Google Sans Text" w:hAnsi="Google Sans Text"/>
          <w:i w:val="0"/>
          <w:iCs w:val="0"/>
          <w:color w:val="1b1c1d"/>
          <w:sz w:val="24"/>
          <w:szCs w:val="24"/>
          <w:rtl w:val="0"/>
        </w:rPr>
        <w:t xml:space="preserve"> 當月特定換匯交易（如一年期新台幣兌美元CS）的平均避險成本率 </w:t>
      </w:r>
      <w:r w:rsidDel="00000000" w:rsidR="00000000" w:rsidRPr="00000000">
        <w:rPr>
          <w:rFonts w:ascii="Google Sans Text" w:cs="Google Sans Text" w:eastAsia="Google Sans Text" w:hAnsi="Google Sans Text"/>
          <w:i w:val="1"/>
          <w:iCs w:val="1"/>
          <w:color w:val="1b1c1d"/>
          <w:sz w:val="24"/>
          <w:szCs w:val="24"/>
          <w:rtl w:val="0"/>
        </w:rPr>
        <w:t xml:space="preserve">低於</w:t>
      </w:r>
      <w:r w:rsidDel="00000000" w:rsidR="00000000" w:rsidRPr="00000000">
        <w:rPr>
          <w:rFonts w:ascii="Google Sans Text" w:cs="Google Sans Text" w:eastAsia="Google Sans Text" w:hAnsi="Google Sans Text"/>
          <w:i w:val="0"/>
          <w:iCs w:val="0"/>
          <w:color w:val="1b1c1d"/>
          <w:sz w:val="24"/>
          <w:szCs w:val="24"/>
          <w:rtl w:val="0"/>
        </w:rPr>
        <w:t xml:space="preserve"> 歷史平均避險成本率時，應將「傳統避險本金」乘以「成本率差額」再乘以一定比例（例如50%）額外提存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沖抵規則：</w:t>
      </w:r>
    </w:p>
    <w:p w:rsidR="00000000" w:rsidDel="00000000" w:rsidP="00000000" w:rsidRDefault="00000000" w:rsidRPr="00000000" w14:paraId="000000F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額外沖抵（基於匯兌損益）：</w:t>
      </w:r>
      <w:r w:rsidDel="00000000" w:rsidR="00000000" w:rsidRPr="00000000">
        <w:rPr>
          <w:rFonts w:ascii="Google Sans Text" w:cs="Google Sans Text" w:eastAsia="Google Sans Text" w:hAnsi="Google Sans Text"/>
          <w:i w:val="0"/>
          <w:iCs w:val="0"/>
          <w:color w:val="1b1c1d"/>
          <w:sz w:val="24"/>
          <w:szCs w:val="24"/>
          <w:rtl w:val="0"/>
        </w:rPr>
        <w:t xml:space="preserve"> 當月若有「未避險外幣資產及負債」產生匯兌 </w:t>
      </w:r>
      <w:r w:rsidDel="00000000" w:rsidR="00000000" w:rsidRPr="00000000">
        <w:rPr>
          <w:rFonts w:ascii="Google Sans Text" w:cs="Google Sans Text" w:eastAsia="Google Sans Text" w:hAnsi="Google Sans Text"/>
          <w:i w:val="1"/>
          <w:iCs w:val="1"/>
          <w:color w:val="1b1c1d"/>
          <w:sz w:val="24"/>
          <w:szCs w:val="24"/>
          <w:rtl w:val="0"/>
        </w:rPr>
        <w:t xml:space="preserve">損失</w:t>
      </w:r>
      <w:r w:rsidDel="00000000" w:rsidR="00000000" w:rsidRPr="00000000">
        <w:rPr>
          <w:rFonts w:ascii="Google Sans Text" w:cs="Google Sans Text" w:eastAsia="Google Sans Text" w:hAnsi="Google Sans Text"/>
          <w:i w:val="0"/>
          <w:iCs w:val="0"/>
          <w:color w:val="1b1c1d"/>
          <w:sz w:val="24"/>
          <w:szCs w:val="24"/>
          <w:rtl w:val="0"/>
        </w:rPr>
        <w:t xml:space="preserve"> 時，可以該損失的一定比例（例如50%）沖抵FEVR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額外沖抵（基於避險成本）：</w:t>
      </w:r>
      <w:r w:rsidDel="00000000" w:rsidR="00000000" w:rsidRPr="00000000">
        <w:rPr>
          <w:rFonts w:ascii="Google Sans Text" w:cs="Google Sans Text" w:eastAsia="Google Sans Text" w:hAnsi="Google Sans Text"/>
          <w:i w:val="0"/>
          <w:iCs w:val="0"/>
          <w:color w:val="1b1c1d"/>
          <w:sz w:val="24"/>
          <w:szCs w:val="24"/>
          <w:rtl w:val="0"/>
        </w:rPr>
        <w:t xml:space="preserve"> 當月特定換匯交易的平均避險成本率 </w:t>
      </w:r>
      <w:r w:rsidDel="00000000" w:rsidR="00000000" w:rsidRPr="00000000">
        <w:rPr>
          <w:rFonts w:ascii="Google Sans Text" w:cs="Google Sans Text" w:eastAsia="Google Sans Text" w:hAnsi="Google Sans Text"/>
          <w:i w:val="1"/>
          <w:iCs w:val="1"/>
          <w:color w:val="1b1c1d"/>
          <w:sz w:val="24"/>
          <w:szCs w:val="24"/>
          <w:rtl w:val="0"/>
        </w:rPr>
        <w:t xml:space="preserve">高於</w:t>
      </w:r>
      <w:r w:rsidDel="00000000" w:rsidR="00000000" w:rsidRPr="00000000">
        <w:rPr>
          <w:rFonts w:ascii="Google Sans Text" w:cs="Google Sans Text" w:eastAsia="Google Sans Text" w:hAnsi="Google Sans Text"/>
          <w:i w:val="0"/>
          <w:iCs w:val="0"/>
          <w:color w:val="1b1c1d"/>
          <w:sz w:val="24"/>
          <w:szCs w:val="24"/>
          <w:rtl w:val="0"/>
        </w:rPr>
        <w:t xml:space="preserve"> 歷史平均避險成本率時，可以「傳統避險本金」乘以「成本率差額」再乘以一定比例（例如50%）沖抵FEVR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規範限制：</w:t>
      </w:r>
    </w:p>
    <w:p w:rsidR="00000000" w:rsidDel="00000000" w:rsidP="00000000" w:rsidRDefault="00000000" w:rsidRPr="00000000" w14:paraId="000000F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累積上限：</w:t>
      </w:r>
      <w:r w:rsidDel="00000000" w:rsidR="00000000" w:rsidRPr="00000000">
        <w:rPr>
          <w:rFonts w:ascii="Google Sans Text" w:cs="Google Sans Text" w:eastAsia="Google Sans Text" w:hAnsi="Google Sans Text"/>
          <w:i w:val="0"/>
          <w:iCs w:val="0"/>
          <w:color w:val="1b1c1d"/>
          <w:sz w:val="24"/>
          <w:szCs w:val="24"/>
          <w:rtl w:val="0"/>
        </w:rPr>
        <w:t xml:space="preserve"> FEVR的累積餘額有上限，通常是基於前一年度國外投資淨曝險部位計算的外匯風險值（VaR）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。但主管機關可核准業者在必要時增提，不受此限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沖抵下限：</w:t>
      </w:r>
      <w:r w:rsidDel="00000000" w:rsidR="00000000" w:rsidRPr="00000000">
        <w:rPr>
          <w:rFonts w:ascii="Google Sans Text" w:cs="Google Sans Text" w:eastAsia="Google Sans Text" w:hAnsi="Google Sans Text"/>
          <w:i w:val="0"/>
          <w:iCs w:val="0"/>
          <w:color w:val="1b1c1d"/>
          <w:sz w:val="24"/>
          <w:szCs w:val="24"/>
          <w:rtl w:val="0"/>
        </w:rPr>
        <w:t xml:space="preserve"> 每月月底的FEVR餘額不得低於特定標準（例如前五年平均每月固定提存金額之六倍）</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。若餘額持續三個月低於下限，業者需提高額外提存比率，直至餘額回復至下限的三倍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C">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資金限制：</w:t>
      </w:r>
      <w:r w:rsidDel="00000000" w:rsidR="00000000" w:rsidRPr="00000000">
        <w:rPr>
          <w:rFonts w:ascii="Google Sans Text" w:cs="Google Sans Text" w:eastAsia="Google Sans Text" w:hAnsi="Google Sans Text"/>
          <w:i w:val="0"/>
          <w:iCs w:val="0"/>
          <w:color w:val="1b1c1d"/>
          <w:sz w:val="24"/>
          <w:szCs w:val="24"/>
          <w:rtl w:val="0"/>
        </w:rPr>
        <w:t xml:space="preserve"> 提存後的FEVR必須留在公司，不能作為現金股利分配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個複雜的機制設計，使得FEVR的變動不僅反映匯率走勢，也與業者的避險決策（避險比例、工具選擇）和避險成本的實際表現緊密相連。它提供了一個緩衝區，讓業者在匯率不利或避險成本高企時，可以動用過去累積的準備金來減輕對當期損益的衝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。然而，也有觀點認為，這種平穩機制可能降低業者進行更完全經濟避險的誘因，從而潛在增加其真實的匯率風險敞口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3.1.2 FEVR餘額與變動的統計回顧（依據金管會保險局數據）</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金管會保險局會定期公布保險業的營運概況，其中包含FEVR的相關統計數據，通常體現在「保險市場重要指標」或相關新聞稿中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。這些數據提供了觀察FEVR實際運作情況和其規模變化的窗口。</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根據近期公布的數據：</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2024年5月底：</w:t>
      </w:r>
      <w:r w:rsidDel="00000000" w:rsidR="00000000" w:rsidRPr="00000000">
        <w:rPr>
          <w:rFonts w:ascii="Google Sans Text" w:cs="Google Sans Text" w:eastAsia="Google Sans Text" w:hAnsi="Google Sans Text"/>
          <w:i w:val="0"/>
          <w:iCs w:val="0"/>
          <w:color w:val="1b1c1d"/>
          <w:sz w:val="24"/>
          <w:szCs w:val="24"/>
          <w:rtl w:val="0"/>
        </w:rPr>
        <w:t xml:space="preserve"> 壽險業FEVR累積餘額為新台幣1,884億元，較2023年底增加了964億元。當月淨變動為 -964億元，表示提存金額大於沖抵金額。此期間新台幣兌美元匯率相對於2023年底貶值5.20%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2025年3月底（假設數據）：</w:t>
      </w:r>
      <w:r w:rsidDel="00000000" w:rsidR="00000000" w:rsidRPr="00000000">
        <w:rPr>
          <w:rFonts w:ascii="Google Sans Text" w:cs="Google Sans Text" w:eastAsia="Google Sans Text" w:hAnsi="Google Sans Text"/>
          <w:i w:val="0"/>
          <w:iCs w:val="0"/>
          <w:color w:val="1b1c1d"/>
          <w:sz w:val="24"/>
          <w:szCs w:val="24"/>
          <w:rtl w:val="0"/>
        </w:rPr>
        <w:t xml:space="preserve"> 壽險業FEVR累積餘額為新台幣2,836億元，較2024年底增加640億元。當月淨變動為 -64億元，同樣表示提存大於沖抵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對這些數據的解讀需要結合當時的市場環境。例如，2024年初至5月底新台幣貶值，根據FEVR規則，未避險部位產生匯兌利益，應導致FEVR提存增加，餘額上升，這與觀察到的數據一致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FEVR餘額的變動趨勢，可以視為壽險業整體匯率壓力或收益狀況的一個側面指標。當市場出現新台幣大幅升值或避險成本急劇上升時，預計會看到FEVR被大量沖抵（淨變動為正值），餘額下降；反之，在新台幣貶值或避險成本相對較低時，FEVR餘額傾向於累積（淨變動為負值）。</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然而，公開數據的粒度可能有限，通常提供的是行業總額和淨變動值，較難獲得單一公司或詳細的提存、沖抵分項歷史數據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。儘管如此，追蹤FEVR總餘額的變化趨勢，仍是評估該機制在不同市場週期下發揮緩衝作用程度的重要參考。</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 3.1.1：台灣壽險業外匯價格變動準備金（FEVR）餘額與淨變動（選定時點）</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日期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FEVR 累積餘額 (新台幣十億元)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相較前年底增減 (新台幣十億元)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當期淨變動 (新台幣十億元)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期間匯率變動 (相較前年底)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2024年5月底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-96.4 (5月)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 貶值 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2025年3月底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 (3月)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註：此表數據主要來自新聞稿，可能非完整時間序列。淨變動為負表示提存大於沖抵。匯率變動方向對FEVR變動有直接影響。</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3.1.3 對保險公司財務穩定與避險決策的影響</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FEVR機制對壽險公司的財務報告和經營決策產生多方面影響：</w:t>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損益平穩化：</w:t>
      </w:r>
      <w:r w:rsidDel="00000000" w:rsidR="00000000" w:rsidRPr="00000000">
        <w:rPr>
          <w:rFonts w:ascii="Google Sans Text" w:cs="Google Sans Text" w:eastAsia="Google Sans Text" w:hAnsi="Google Sans Text"/>
          <w:i w:val="0"/>
          <w:iCs w:val="0"/>
          <w:color w:val="1b1c1d"/>
          <w:sz w:val="24"/>
          <w:szCs w:val="24"/>
          <w:rtl w:val="0"/>
        </w:rPr>
        <w:t xml:space="preserve"> 最直接的影響是平滑了匯兌損益對損益表的衝擊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。這使得壽險公司的報告盈餘較少受到短期匯率波動的干擾，有助於維持較穩定的財務形象。</w:t>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資本適足率（RBC）影響：</w:t>
      </w:r>
      <w:r w:rsidDel="00000000" w:rsidR="00000000" w:rsidRPr="00000000">
        <w:rPr>
          <w:rFonts w:ascii="Google Sans Text" w:cs="Google Sans Text" w:eastAsia="Google Sans Text" w:hAnsi="Google Sans Text"/>
          <w:i w:val="0"/>
          <w:iCs w:val="0"/>
          <w:color w:val="1b1c1d"/>
          <w:sz w:val="24"/>
          <w:szCs w:val="24"/>
          <w:rtl w:val="0"/>
        </w:rPr>
        <w:t xml:space="preserve"> 由於FEVR影響損益，進而影響業主權益，因此也會間接影響到以淨值為基礎計算的資本適足率（RBC）。然而，FEVR本身作為負債項下的準備金，其變動對RBC的具體影響需要更詳細的計算。但若匯率劇烈波動導致FEVR不足以完全吸收損失，則RBC仍可能受到顯著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避險決策誘因：</w:t>
      </w:r>
      <w:r w:rsidDel="00000000" w:rsidR="00000000" w:rsidRPr="00000000">
        <w:rPr>
          <w:rFonts w:ascii="Google Sans Text" w:cs="Google Sans Text" w:eastAsia="Google Sans Text" w:hAnsi="Google Sans Text"/>
          <w:i w:val="0"/>
          <w:iCs w:val="0"/>
          <w:color w:val="1b1c1d"/>
          <w:sz w:val="24"/>
          <w:szCs w:val="24"/>
          <w:rtl w:val="0"/>
        </w:rPr>
        <w:t xml:space="preserve"> FEVR的存在可能改變業者的避險誘因。由於匯兌損失可以部分由FEVR沖抵，業者可能傾向於降低實際的避險比例，尤其是在避險成本高昂時，從而承擔更高的經濟風險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。這種潛在的「道德風險」是監管機構需要關注的問題。</w:t>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避險成本管理：</w:t>
      </w:r>
      <w:r w:rsidDel="00000000" w:rsidR="00000000" w:rsidRPr="00000000">
        <w:rPr>
          <w:rFonts w:ascii="Google Sans Text" w:cs="Google Sans Text" w:eastAsia="Google Sans Text" w:hAnsi="Google Sans Text"/>
          <w:i w:val="0"/>
          <w:iCs w:val="0"/>
          <w:color w:val="1b1c1d"/>
          <w:sz w:val="24"/>
          <w:szCs w:val="24"/>
          <w:rtl w:val="0"/>
        </w:rPr>
        <w:t xml:space="preserve"> FEVR允許業者在避險成本高於歷史平均時動用準備金，這在短期內有助於緩解成本壓力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。但這也可能降低業者尋求更根本、更經濟有效的長期避險策略的動力，因為短期成本的波動可以被FEVR平滑掉。業者可能更傾向於管理FEVR的會計影響，而非純粹優化經濟避險效果。</w:t>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風險揭露與透明度：</w:t>
      </w:r>
      <w:r w:rsidDel="00000000" w:rsidR="00000000" w:rsidRPr="00000000">
        <w:rPr>
          <w:rFonts w:ascii="Google Sans Text" w:cs="Google Sans Text" w:eastAsia="Google Sans Text" w:hAnsi="Google Sans Text"/>
          <w:i w:val="0"/>
          <w:iCs w:val="0"/>
          <w:color w:val="1b1c1d"/>
          <w:sz w:val="24"/>
          <w:szCs w:val="24"/>
          <w:rtl w:val="0"/>
        </w:rPr>
        <w:t xml:space="preserve"> 雖然FEVR平滑了報告損益，但它可能掩蓋了公司真實的經濟風險敞口。分析師和投資者需要穿透FEVR的會計處理，結合避險比例、海外資產規模等信息，才能更準確地評估壽險公司的實際外匯風險。</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之，FEVR作為一項特殊的監管安排，在穩定壽險業報告盈餘方面發揮了作用，但也帶來了關於風險承擔誘因和透明度的複雜問題。其有效性，特別是在應對長期或極端匯率衝擊方面的能力（有研究認為僅能覆蓋短期風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，以及其對業者避險行為的潛在影響，是持續評估該機制利弊的關鍵。若FEVR在持續的逆風匯率週期中被耗盡，可能迫使監管機構和業者重新審視其外匯風險管理的整體策略。</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 銀行資產負債管理（ALM）對外匯市場中介與定價的影響</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台灣的銀行業在外匯市場中扮演著關鍵的中介角色，特別是在FX Swap和遠期外匯市場，它們是壽險公司等終端用戶進行避險操作的主要交易對手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。因此，銀行自身的資產負債管理（ALM）考量，包括資金成本、資本要求和風險偏好，會直接影響其提供外匯衍生品服務的意願、能力和定價，進而傳導至最終的避險成本。</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銀行提供FX Swap或遠期外匯服務時，實質上是在承擔匯率風險和利率風險，並需要為這些部位配置資金和資本。其報價（換匯點數或遠期點數）必然會反映以下因素：</w:t>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資金成本：</w:t>
      </w:r>
      <w:r w:rsidDel="00000000" w:rsidR="00000000" w:rsidRPr="00000000">
        <w:rPr>
          <w:rFonts w:ascii="Google Sans Text" w:cs="Google Sans Text" w:eastAsia="Google Sans Text" w:hAnsi="Google Sans Text"/>
          <w:i w:val="0"/>
          <w:iCs w:val="0"/>
          <w:color w:val="1b1c1d"/>
          <w:sz w:val="24"/>
          <w:szCs w:val="24"/>
          <w:rtl w:val="0"/>
        </w:rPr>
        <w:t xml:space="preserve"> 銀行需要為其持有的外匯部位（例如，在與壽險公司進行FX Swap後持有的美元空頭或新台幣多頭）進行融資。其在新台幣市場（如透過存款或同業拆借）和美元市場（可能來自國內或國際市場）的相對資金成本，是決定換匯點數的基礎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。國內貨幣政策（影響新台幣利率）和國際市場狀況（影響美元利率和流動性）都會影響銀行的資金成本，並最終體現在給客戶的報價中。</w:t>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資本成本：</w:t>
      </w:r>
      <w:r w:rsidDel="00000000" w:rsidR="00000000" w:rsidRPr="00000000">
        <w:rPr>
          <w:rFonts w:ascii="Google Sans Text" w:cs="Google Sans Text" w:eastAsia="Google Sans Text" w:hAnsi="Google Sans Text"/>
          <w:i w:val="0"/>
          <w:iCs w:val="0"/>
          <w:color w:val="1b1c1d"/>
          <w:sz w:val="24"/>
          <w:szCs w:val="24"/>
          <w:rtl w:val="0"/>
        </w:rPr>
        <w:t xml:space="preserve"> 監管機構要求銀行為其承擔的市場風險（來自外匯部位本身）和交易對手信用風險（來自與客戶的衍生品合約）計提資本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。持有資本是有成本的，這部分成本也會被計入衍生品的定價中。更嚴格的資本要求或風險權重調整，會提高銀行提供衍生品服務的成本。</w:t>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風險偏好與限額：</w:t>
      </w:r>
      <w:r w:rsidDel="00000000" w:rsidR="00000000" w:rsidRPr="00000000">
        <w:rPr>
          <w:rFonts w:ascii="Google Sans Text" w:cs="Google Sans Text" w:eastAsia="Google Sans Text" w:hAnsi="Google Sans Text"/>
          <w:i w:val="0"/>
          <w:iCs w:val="0"/>
          <w:color w:val="1b1c1d"/>
          <w:sz w:val="24"/>
          <w:szCs w:val="24"/>
          <w:rtl w:val="0"/>
        </w:rPr>
        <w:t xml:space="preserve"> 銀行有自身的風險管理框架和限額，例如淨外匯敞口限額（Net Open Position limits）。當市場需求（如壽險業 massive 的單向避險需求）導致銀行接近其風險限額時，其提供進一步服務的意願會下降，報價也會變得更不利於客戶。</w:t>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利潤要求：</w:t>
      </w:r>
      <w:r w:rsidDel="00000000" w:rsidR="00000000" w:rsidRPr="00000000">
        <w:rPr>
          <w:rFonts w:ascii="Google Sans Text" w:cs="Google Sans Text" w:eastAsia="Google Sans Text" w:hAnsi="Google Sans Text"/>
          <w:i w:val="0"/>
          <w:iCs w:val="0"/>
          <w:color w:val="1b1c1d"/>
          <w:sz w:val="24"/>
          <w:szCs w:val="24"/>
          <w:rtl w:val="0"/>
        </w:rPr>
        <w:t xml:space="preserve"> 作為營利機構，銀行會在成本基礎上加上一定的利潤空間。</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壽險公司面臨的避險成本，並非僅僅是理論上的利率差異，而是經過了銀行體系成本結構和風險偏好「過濾」後的結果。銀行資產負債表狀況的變化（如流動性緊張、資本壓力增大）或監管環境的改變（如提高資本要求），都可能直接影響外匯衍生品的市場流動性和定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更進一步看，台灣銀行體系是否有足夠的容量來吸收和管理來自壽險業的巨量、持續且通常是單向的避險需求，是一個潛在的結構性問題。壽險業的避險需求可能高達數千億美元，主要集中在賣出美元遠期。如果銀行體系的資產負債表容量有限，或者其承擔這種大規模單向風險的意願下降（例如，出於風險集中度或資本效率的考量），那麼即使中央銀行提供部分流動性支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市場的深度和價格彈性也可能受到限制。這可能導致買賣價差擴大，或使得壽險公司難以完全執行其理想的避險策略，尤其是在市場壓力時期或對於較長天期的合約。這凸顯了銀行體系健康狀況、監管政策與保險業外匯風險管理之間緊密的系統性聯繫。</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 台灣外匯衍生工具市場的交易對手風險：評估與監管</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外匯衍生工具交易，特別是發生在店頭市場（OTC）的交易（如FX Swaps, Forwards, NDFs, CCS）， inherently 帶有交易對手信用風險（Counterparty Credit Risk, CCR），即交易一方在合約到期前違約，導致另一方蒙受損失的風險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。對於交易量巨大的台灣外匯衍生品市場，有效管理CCR對於維護金融穩定至關重要。</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風險評估：</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CCR的風險大小取決於兩個主要因素：違約機率（Probability of Default, PD）和違約損失率（Loss Given Default, LGD），以及潛在的未來曝險（Potential Future Exposure, PFE）。PFE是指在合約剩餘期限內，因市場價格變動（如匯率、利率）導致合約價值對非違約方有利的最大潛在金額。對於長天期、高波動性的衍生品合約，PFE可能非常巨大。台灣的壽險公司與銀行之間存在大量的、可能長達數年的FX Swap等衍生品合約，用於對沖海外資產，這意味著潛在的CCR曝險規模不容小覷。雖然主要的交易對手（大型銀行和壽險公司）通常信用評級較高 26，但在極端市場壓力下，單一大型機構的違約仍可能透過衍生品市場的相互連接，引發系統性風險 38。</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監管框架：</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台灣的金融監管機構（金管會FSC和中央銀行CBC）已建立了旨在管理CCR的監管框架，大體遵循國際標準（如巴塞爾協議）：</w:t>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資本要求：</w:t>
      </w:r>
      <w:r w:rsidDel="00000000" w:rsidR="00000000" w:rsidRPr="00000000">
        <w:rPr>
          <w:rFonts w:ascii="Google Sans Text" w:cs="Google Sans Text" w:eastAsia="Google Sans Text" w:hAnsi="Google Sans Text"/>
          <w:i w:val="0"/>
          <w:iCs w:val="0"/>
          <w:color w:val="1b1c1d"/>
          <w:sz w:val="24"/>
          <w:szCs w:val="24"/>
          <w:rtl w:val="0"/>
        </w:rPr>
        <w:t xml:space="preserve"> 銀行和票券公司需要根據其持有的OTC衍生品合約，計算交易對手信用風險加權風險性資產（CCR RWA），並計提相應的監管資本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。計算方法考慮了合約的當前市值（Current Exposure）和潛在未來曝險（PFE）。</w:t>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風險管理規範：</w:t>
      </w:r>
      <w:r w:rsidDel="00000000" w:rsidR="00000000" w:rsidRPr="00000000">
        <w:rPr>
          <w:rFonts w:ascii="Google Sans Text" w:cs="Google Sans Text" w:eastAsia="Google Sans Text" w:hAnsi="Google Sans Text"/>
          <w:i w:val="0"/>
          <w:iCs w:val="0"/>
          <w:color w:val="1b1c1d"/>
          <w:sz w:val="24"/>
          <w:szCs w:val="24"/>
          <w:rtl w:val="0"/>
        </w:rPr>
        <w:t xml:space="preserve"> 監管機構要求金融機構建立完善的信用風險管理流程，包括交易前的對手評估、授信額度管理、擔保品管理和持續監控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。台北外匯市場發展基金會也制定了市場行為準則，涵蓋交易對手關係、風險告知等方面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合格擔保品與淨額結算：</w:t>
      </w:r>
      <w:r w:rsidDel="00000000" w:rsidR="00000000" w:rsidRPr="00000000">
        <w:rPr>
          <w:rFonts w:ascii="Google Sans Text" w:cs="Google Sans Text" w:eastAsia="Google Sans Text" w:hAnsi="Google Sans Text"/>
          <w:i w:val="0"/>
          <w:iCs w:val="0"/>
          <w:color w:val="1b1c1d"/>
          <w:sz w:val="24"/>
          <w:szCs w:val="24"/>
          <w:rtl w:val="0"/>
        </w:rPr>
        <w:t xml:space="preserve"> 監管規則允許使用合格的金融擔保品（如現金、高評級債券）來抵減CCR曝險，並認可符合法律效力的淨額結算協議（Netting Agreements）的風險降低效果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中央結算：</w:t>
      </w:r>
      <w:r w:rsidDel="00000000" w:rsidR="00000000" w:rsidRPr="00000000">
        <w:rPr>
          <w:rFonts w:ascii="Google Sans Text" w:cs="Google Sans Text" w:eastAsia="Google Sans Text" w:hAnsi="Google Sans Text"/>
          <w:i w:val="0"/>
          <w:iCs w:val="0"/>
          <w:color w:val="1b1c1d"/>
          <w:sz w:val="24"/>
          <w:szCs w:val="24"/>
          <w:rtl w:val="0"/>
        </w:rPr>
        <w:t xml:space="preserve"> 認識到雙邊OTC市場CCR的潛在風險，台灣正逐步推動將部分標準化程度較高的衍生品（如新台幣IRS和NDF）納入集中結算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。由中央結算對手方（CCP）介入交易，可以顯著降低雙邊CCR，提高市場透明度和韌性。</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挑戰與展望：</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儘管已有監管框架，但台灣外匯衍生品市場的CCR管理仍面臨挑戰。首先，FX Swap作為交易量最大的工具，目前主要仍在雙邊市場交易，其潛在的系統性風險需要持續關注。其次，壽險業巨大的、長期的避險需求可能導致風險在少數大型銀行中過度集中。第三，替代避險策略（proxy hedging）的複雜性可能帶來新的、不易衡量的風險。未來，監管機構可能會繼續鼓勵或要求將更多符合條件的OTC衍生品納入中央結算，並持續強化對金融機構風險管理實踐的監管，以應對市場發展和潛在的系統性風險。</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第四部分：結論</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本報告深入分析了新台幣外匯市場的關鍵動態、台灣壽險業面臨的外匯風險與避險挑戰，以及相關的市場結構和監管機制。主要結論如下：</w:t>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新台幣匯率與市場複雜性：</w:t>
      </w:r>
      <w:r w:rsidDel="00000000" w:rsidR="00000000" w:rsidRPr="00000000">
        <w:rPr>
          <w:rFonts w:ascii="Google Sans Text" w:cs="Google Sans Text" w:eastAsia="Google Sans Text" w:hAnsi="Google Sans Text"/>
          <w:i w:val="0"/>
          <w:iCs w:val="0"/>
          <w:color w:val="1b1c1d"/>
          <w:sz w:val="24"/>
          <w:szCs w:val="24"/>
          <w:rtl w:val="0"/>
        </w:rPr>
        <w:t xml:space="preserve"> 新台幣兌美元匯率受到國內基本面（如鉅額經常帳順差）、全球宏觀因素（如美國貨幣政策、資本流動）以及中央銀行潛在干預的多重影響，呈現複雜且波動加劇的特性。FX Swap市場作為交易核心，其定價長期偏離理論值，反映了結構性的供需失衡和風險溢價，並受到全球及本地因素的共同驅動。NDF市場則提供了離岸視角的價格發現，但成本更高且波動性更大。</w:t>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壽險業的系統性外匯風險與避險困境：</w:t>
      </w:r>
      <w:r w:rsidDel="00000000" w:rsidR="00000000" w:rsidRPr="00000000">
        <w:rPr>
          <w:rFonts w:ascii="Google Sans Text" w:cs="Google Sans Text" w:eastAsia="Google Sans Text" w:hAnsi="Google Sans Text"/>
          <w:i w:val="0"/>
          <w:iCs w:val="0"/>
          <w:color w:val="1b1c1d"/>
          <w:sz w:val="24"/>
          <w:szCs w:val="24"/>
          <w:rtl w:val="0"/>
        </w:rPr>
        <w:t xml:space="preserve"> 台灣壽險業因追求收益而持有巨額海外（主要是美元）資產，產生了系統性的外匯風險敞口。高昂且波動的避險成本（無論是透過FX Swap還是NDF）是其核心挑戰，導致業者不得不在成本控制與風險覆蓋之間進行艱難權衡，並在近年出現避險比例下降的趨勢。業者採用滾動短期FX Swap、NDF及替代貨幣避險等多元策略，但均伴隨相應的風險（如滾動風險、高成本、基差風險）。</w:t>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FEVR機制的雙刃劍效應：</w:t>
      </w:r>
      <w:r w:rsidDel="00000000" w:rsidR="00000000" w:rsidRPr="00000000">
        <w:rPr>
          <w:rFonts w:ascii="Google Sans Text" w:cs="Google Sans Text" w:eastAsia="Google Sans Text" w:hAnsi="Google Sans Text"/>
          <w:i w:val="0"/>
          <w:iCs w:val="0"/>
          <w:color w:val="1b1c1d"/>
          <w:sz w:val="24"/>
          <w:szCs w:val="24"/>
          <w:rtl w:val="0"/>
        </w:rPr>
        <w:t xml:space="preserve"> 外匯價格變動準備金（FEVR）作為盈餘平穩工具，有效緩解了短期匯率波動對壽險業報告損益的衝擊。然而，它並不能消除根本的經濟風險，且可能降低業者進行充分經濟避險的誘因。FEVR餘額的變動是觀察行業整體匯率壓力的重要指標，但其充足性及在極端壓力下的有效性仍需關注。</w:t>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市場中介與政策依賴：</w:t>
      </w:r>
      <w:r w:rsidDel="00000000" w:rsidR="00000000" w:rsidRPr="00000000">
        <w:rPr>
          <w:rFonts w:ascii="Google Sans Text" w:cs="Google Sans Text" w:eastAsia="Google Sans Text" w:hAnsi="Google Sans Text"/>
          <w:i w:val="0"/>
          <w:iCs w:val="0"/>
          <w:color w:val="1b1c1d"/>
          <w:sz w:val="24"/>
          <w:szCs w:val="24"/>
          <w:rtl w:val="0"/>
        </w:rPr>
        <w:t xml:space="preserve"> 銀行業作為外匯市場的關鍵中介，其自身的資金成本、資本狀況和風險偏好直接影響避險工具的定價和流動性。同時，中央銀行在FX Swap市場的潛在干預對穩定市場、管理基差和支持壽險業避險扮演了關鍵角色，但也造成了市場對政策持續性的依賴，並可能掩蓋了真實的市場風險定價。</w:t>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風險管理與監管挑戰：</w:t>
      </w:r>
      <w:r w:rsidDel="00000000" w:rsidR="00000000" w:rsidRPr="00000000">
        <w:rPr>
          <w:rFonts w:ascii="Google Sans Text" w:cs="Google Sans Text" w:eastAsia="Google Sans Text" w:hAnsi="Google Sans Text"/>
          <w:i w:val="0"/>
          <w:iCs w:val="0"/>
          <w:color w:val="1b1c1d"/>
          <w:sz w:val="24"/>
          <w:szCs w:val="24"/>
          <w:rtl w:val="0"/>
        </w:rPr>
        <w:t xml:space="preserve"> 儘管台灣已建立符合國際標準的交易對手信用風險管理框架，但外匯衍生品市場的巨大體量和集中度（尤其在壽險和銀行之間）意味著潛在的系統性風險依然存在。推動中央結算（如已開始的NDF結算）是降低此風險的重要方向，但對於佔比最大的FX Swap市場，仍需持續評估其風險狀況。</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台灣的外匯市場和壽險業的避險實踐呈現出高度相互依存和受政策影響的特點。壽險業的海外投資策略、避險成本、FEVR機制以及中央銀行的市場操作形成了一個複雜的閉環。未來的市場穩定和發展，將取決於業者能否在成本與風險間找到更優的平衡、監管機構能否持續完善風險管理框架（包括推動市場基礎設施建設和確保FEVR機制的恰當性），以及中央銀行如何在維持市場秩序與允許市場價格發現之間取得平衡。對這些相互關聯的動態進行持續監測和深入理解，對於所有市場參與者和政策制定者都至關重要。</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Taiwan dollar - Wikipedia, 檢索日期：5月 6,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https://en.wikipedia.org/wiki/New_Taiwan_dollar</w:t>
        </w:r>
      </w:hyperlink>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Taiwanese Dollar - Quote - Chart - Historical Data - News - Trading Economics, 檢索日期：5月 6, 2025， </w:t>
      </w:r>
      <w:hyperlink r:id="rId7">
        <w:r w:rsidDel="00000000" w:rsidR="00000000" w:rsidRPr="00000000">
          <w:rPr>
            <w:rFonts w:ascii="Google Sans" w:cs="Google Sans" w:eastAsia="Google Sans" w:hAnsi="Google Sans"/>
            <w:color w:val="0000ee"/>
            <w:sz w:val="24"/>
            <w:szCs w:val="24"/>
            <w:u w:val="single"/>
            <w:rtl w:val="0"/>
          </w:rPr>
          <w:t xml:space="preserve">https://tradingeconomics.com/taiwan/currency</w:t>
        </w:r>
      </w:hyperlink>
      <w:r w:rsidDel="00000000" w:rsidR="00000000" w:rsidRPr="00000000">
        <w:rPr>
          <w:rtl w:val="0"/>
        </w:rPr>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Dollars to U.S. Dollar Spot Exchange Rate (EXTAUS) | FRED | St. Louis Fed, 檢索日期：5月 6, 2025， </w:t>
      </w:r>
      <w:hyperlink r:id="rId8">
        <w:r w:rsidDel="00000000" w:rsidR="00000000" w:rsidRPr="00000000">
          <w:rPr>
            <w:rFonts w:ascii="Google Sans" w:cs="Google Sans" w:eastAsia="Google Sans" w:hAnsi="Google Sans"/>
            <w:color w:val="0000ee"/>
            <w:sz w:val="24"/>
            <w:szCs w:val="24"/>
            <w:u w:val="single"/>
            <w:rtl w:val="0"/>
          </w:rPr>
          <w:t xml:space="preserve">https://fred.stlouisfed.org/series/EXTAUS</w:t>
        </w:r>
      </w:hyperlink>
      <w:r w:rsidDel="00000000" w:rsidR="00000000" w:rsidRPr="00000000">
        <w:rPr>
          <w:rtl w:val="0"/>
        </w:rPr>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近期外匯市場動向, 檢索日期：5月 6, 2025， </w:t>
      </w:r>
      <w:hyperlink r:id="rId9">
        <w:r w:rsidDel="00000000" w:rsidR="00000000" w:rsidRPr="00000000">
          <w:rPr>
            <w:rFonts w:ascii="Google Sans" w:cs="Google Sans" w:eastAsia="Google Sans" w:hAnsi="Google Sans"/>
            <w:color w:val="0000ee"/>
            <w:sz w:val="24"/>
            <w:szCs w:val="24"/>
            <w:u w:val="single"/>
            <w:rtl w:val="0"/>
          </w:rPr>
          <w:t xml:space="preserve">https://www.mizuhogroup.com/binaries/content/assets/pdf/taiwan/financial-information/seminar/202306_mizuho_seminar_ch_1.pdf</w:t>
        </w:r>
      </w:hyperlink>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www.cbc.gov.tw, 檢索日期：5月 6, 2025， </w:t>
      </w:r>
      <w:hyperlink r:id="rId10">
        <w:r w:rsidDel="00000000" w:rsidR="00000000" w:rsidRPr="00000000">
          <w:rPr>
            <w:rFonts w:ascii="Google Sans" w:cs="Google Sans" w:eastAsia="Google Sans" w:hAnsi="Google Sans"/>
            <w:color w:val="0000ee"/>
            <w:sz w:val="24"/>
            <w:szCs w:val="24"/>
            <w:u w:val="single"/>
            <w:rtl w:val="0"/>
          </w:rPr>
          <w:t xml:space="preserve">https://www.cbc.gov.tw/dl-196018-cb0dd8308ffe4ba98f791d35c3f4db19.html</w:t>
        </w:r>
      </w:hyperlink>
      <w:r w:rsidDel="00000000" w:rsidR="00000000" w:rsidRPr="00000000">
        <w:rPr>
          <w:rtl w:val="0"/>
        </w:rPr>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www.cbc.gov.tw, 檢索日期：5月 6, 2025， </w:t>
      </w:r>
      <w:hyperlink r:id="rId11">
        <w:r w:rsidDel="00000000" w:rsidR="00000000" w:rsidRPr="00000000">
          <w:rPr>
            <w:rFonts w:ascii="Google Sans" w:cs="Google Sans" w:eastAsia="Google Sans" w:hAnsi="Google Sans"/>
            <w:color w:val="0000ee"/>
            <w:sz w:val="24"/>
            <w:szCs w:val="24"/>
            <w:u w:val="single"/>
            <w:rtl w:val="0"/>
          </w:rPr>
          <w:t xml:space="preserve">https://www.cbc.gov.tw/dl-206085-cc09cf300ec547679ac49026b953e798.html</w:t>
        </w:r>
      </w:hyperlink>
      <w:r w:rsidDel="00000000" w:rsidR="00000000" w:rsidRPr="00000000">
        <w:rPr>
          <w:rtl w:val="0"/>
        </w:rPr>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Dollar to Taiwan New Dollar Exchange Rate Chart - XE.com, 檢索日期：5月 6, 2025， </w:t>
      </w:r>
      <w:hyperlink r:id="rId12">
        <w:r w:rsidDel="00000000" w:rsidR="00000000" w:rsidRPr="00000000">
          <w:rPr>
            <w:rFonts w:ascii="Google Sans" w:cs="Google Sans" w:eastAsia="Google Sans" w:hAnsi="Google Sans"/>
            <w:color w:val="0000ee"/>
            <w:sz w:val="24"/>
            <w:szCs w:val="24"/>
            <w:u w:val="single"/>
            <w:rtl w:val="0"/>
          </w:rPr>
          <w:t xml:space="preserve">https://www.xe.com/currencycharts/?from=USD&amp;to=TWD</w:t>
        </w:r>
      </w:hyperlink>
      <w:r w:rsidDel="00000000" w:rsidR="00000000" w:rsidRPr="00000000">
        <w:rPr>
          <w:rtl w:val="0"/>
        </w:rPr>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USDTWD FX Cross Rate - compare foreign exchange rates – FT.com - Markets data, 檢索日期：5月 6, 2025， </w:t>
      </w:r>
      <w:hyperlink r:id="rId13">
        <w:r w:rsidDel="00000000" w:rsidR="00000000" w:rsidRPr="00000000">
          <w:rPr>
            <w:rFonts w:ascii="Google Sans" w:cs="Google Sans" w:eastAsia="Google Sans" w:hAnsi="Google Sans"/>
            <w:color w:val="0000ee"/>
            <w:sz w:val="24"/>
            <w:szCs w:val="24"/>
            <w:u w:val="single"/>
            <w:rtl w:val="0"/>
          </w:rPr>
          <w:t xml:space="preserve">https://markets.ft.com/data/currencies/tearsheet/summary?s=USDTWD</w:t>
        </w:r>
      </w:hyperlink>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www.cfr.org, 檢索日期：5月 6, 2025， </w:t>
      </w:r>
      <w:hyperlink r:id="rId14">
        <w:r w:rsidDel="00000000" w:rsidR="00000000" w:rsidRPr="00000000">
          <w:rPr>
            <w:rFonts w:ascii="Google Sans" w:cs="Google Sans" w:eastAsia="Google Sans" w:hAnsi="Google Sans"/>
            <w:color w:val="0000ee"/>
            <w:sz w:val="24"/>
            <w:szCs w:val="24"/>
            <w:u w:val="single"/>
            <w:rtl w:val="0"/>
          </w:rPr>
          <w:t xml:space="preserve">https://www.cfr.org/sites/default/files/pdf/shadow-fx-intervention-in-taiwan-solving-a-usd-100-bn-enigma.pdf</w:t>
        </w:r>
      </w:hyperlink>
      <w:r w:rsidDel="00000000" w:rsidR="00000000" w:rsidRPr="00000000">
        <w:rPr>
          <w:rtl w:val="0"/>
        </w:rPr>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三、本行貨幣政策相關議題之說明 - 中央銀行, 檢索日期：5月 6, 2025， </w:t>
      </w:r>
      <w:hyperlink r:id="rId15">
        <w:r w:rsidDel="00000000" w:rsidR="00000000" w:rsidRPr="00000000">
          <w:rPr>
            <w:rFonts w:ascii="Google Sans" w:cs="Google Sans" w:eastAsia="Google Sans" w:hAnsi="Google Sans"/>
            <w:color w:val="0000ee"/>
            <w:sz w:val="24"/>
            <w:szCs w:val="24"/>
            <w:u w:val="single"/>
            <w:rtl w:val="0"/>
          </w:rPr>
          <w:t xml:space="preserve">https://www.cbc.gov.tw/dl-213487-3ba90cdae8884dfca7948eb6b3cefa28.html</w:t>
        </w:r>
      </w:hyperlink>
      <w:r w:rsidDel="00000000" w:rsidR="00000000" w:rsidRPr="00000000">
        <w:rPr>
          <w:rtl w:val="0"/>
        </w:rPr>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換匯點數之實證分析= none - 華藝線上圖書館, 檢索日期：5月 6, 2025， </w:t>
      </w:r>
      <w:hyperlink r:id="rId16">
        <w:r w:rsidDel="00000000" w:rsidR="00000000" w:rsidRPr="00000000">
          <w:rPr>
            <w:rFonts w:ascii="Google Sans" w:cs="Google Sans" w:eastAsia="Google Sans" w:hAnsi="Google Sans"/>
            <w:color w:val="0000ee"/>
            <w:sz w:val="24"/>
            <w:szCs w:val="24"/>
            <w:u w:val="single"/>
            <w:rtl w:val="0"/>
          </w:rPr>
          <w:t xml:space="preserve">https://www.airitilibrary.com/Article/Detail/U0004-G0106351019</w:t>
        </w:r>
      </w:hyperlink>
      <w:r w:rsidDel="00000000" w:rsidR="00000000" w:rsidRPr="00000000">
        <w:rPr>
          <w:rtl w:val="0"/>
        </w:rPr>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主要貨幣換匯交易價格行為之探討 - 財團法人台北外匯市場發展基金會, 檢索日期：5月 6, 2025， </w:t>
      </w:r>
      <w:hyperlink r:id="rId17">
        <w:r w:rsidDel="00000000" w:rsidR="00000000" w:rsidRPr="00000000">
          <w:rPr>
            <w:rFonts w:ascii="Google Sans" w:cs="Google Sans" w:eastAsia="Google Sans" w:hAnsi="Google Sans"/>
            <w:color w:val="0000ee"/>
            <w:sz w:val="24"/>
            <w:szCs w:val="24"/>
            <w:u w:val="single"/>
            <w:rtl w:val="0"/>
          </w:rPr>
          <w:t xml:space="preserve">https://www.tpefx.com.tw/uploads/download/tw/1.Discussion%20on%20Price%20Behavior%20of%20Major%20Currency%20Exchange%20Transactions.pdf</w:t>
        </w:r>
      </w:hyperlink>
      <w:r w:rsidDel="00000000" w:rsidR="00000000" w:rsidRPr="00000000">
        <w:rPr>
          <w:rtl w:val="0"/>
        </w:rPr>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新台幣兌美元SWAP及NDF換匯點之探討__臺灣博碩士論文知識加值 ..., 檢索日期：5月 6, 2025， </w:t>
      </w:r>
      <w:hyperlink r:id="rId18">
        <w:r w:rsidDel="00000000" w:rsidR="00000000" w:rsidRPr="00000000">
          <w:rPr>
            <w:rFonts w:ascii="Google Sans" w:cs="Google Sans" w:eastAsia="Google Sans" w:hAnsi="Google Sans"/>
            <w:color w:val="0000ee"/>
            <w:sz w:val="24"/>
            <w:szCs w:val="24"/>
            <w:u w:val="single"/>
            <w:rtl w:val="0"/>
          </w:rPr>
          <w:t xml:space="preserve">https://ndltd.ncl.edu.tw/cgi-bin/gs32/gsweb.cgi/login?o=dnclcdr&amp;s=id=%22109NYCU5303013%22.&amp;searchmode=basic</w:t>
        </w:r>
      </w:hyperlink>
      <w:r w:rsidDel="00000000" w:rsidR="00000000" w:rsidRPr="00000000">
        <w:rPr>
          <w:rtl w:val="0"/>
        </w:rPr>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以FX Swap 進行外匯避險分析FX Swap Hedging Analysis - 國立臺灣大學, 檢索日期：5月 6, 2025， </w:t>
      </w:r>
      <w:hyperlink r:id="rId19">
        <w:r w:rsidDel="00000000" w:rsidR="00000000" w:rsidRPr="00000000">
          <w:rPr>
            <w:rFonts w:ascii="Google Sans" w:cs="Google Sans" w:eastAsia="Google Sans" w:hAnsi="Google Sans"/>
            <w:color w:val="0000ee"/>
            <w:sz w:val="24"/>
            <w:szCs w:val="24"/>
            <w:u w:val="single"/>
            <w:rtl w:val="0"/>
          </w:rPr>
          <w:t xml:space="preserve">https://tdr.lib.ntu.edu.tw/retrieve/d476da6d-5641-47b6-b203-a2b72f6f1e2d/ntu-112-2.pdf</w:t>
        </w:r>
      </w:hyperlink>
      <w:r w:rsidDel="00000000" w:rsidR="00000000" w:rsidRPr="00000000">
        <w:rPr>
          <w:rtl w:val="0"/>
        </w:rPr>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台幣狂升恐釀風暴！金管會緊盯壽險業美元曝險 - 鏈新聞, 檢索日期：5月 6, 2025， </w:t>
      </w:r>
      <w:hyperlink r:id="rId20">
        <w:r w:rsidDel="00000000" w:rsidR="00000000" w:rsidRPr="00000000">
          <w:rPr>
            <w:rFonts w:ascii="Google Sans" w:cs="Google Sans" w:eastAsia="Google Sans" w:hAnsi="Google Sans"/>
            <w:color w:val="0000ee"/>
            <w:sz w:val="24"/>
            <w:szCs w:val="24"/>
            <w:u w:val="single"/>
            <w:rtl w:val="0"/>
          </w:rPr>
          <w:t xml:space="preserve">https://abmedia.io/taiwan-regulator-summons-life-insurers-as-twd-sharp-appreciation</w:t>
        </w:r>
      </w:hyperlink>
      <w:r w:rsidDel="00000000" w:rsidR="00000000" w:rsidRPr="00000000">
        <w:rPr>
          <w:rtl w:val="0"/>
        </w:rPr>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貨幣戰首部曲美債風雲篇》新台幣升值壽險業逾13兆外匯壓力大3不定時炸彈恐釀鉅額虧損, 檢索日期：5月 6, 2025， </w:t>
      </w:r>
      <w:hyperlink r:id="rId21">
        <w:r w:rsidDel="00000000" w:rsidR="00000000" w:rsidRPr="00000000">
          <w:rPr>
            <w:rFonts w:ascii="Google Sans" w:cs="Google Sans" w:eastAsia="Google Sans" w:hAnsi="Google Sans"/>
            <w:color w:val="0000ee"/>
            <w:sz w:val="24"/>
            <w:szCs w:val="24"/>
            <w:u w:val="single"/>
            <w:rtl w:val="0"/>
          </w:rPr>
          <w:t xml:space="preserve">https://www.ctee.com.tw/news/20250506700041-439901</w:t>
        </w:r>
      </w:hyperlink>
      <w:r w:rsidDel="00000000" w:rsidR="00000000" w:rsidRPr="00000000">
        <w:rPr>
          <w:rtl w:val="0"/>
        </w:rPr>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台幣暴力升值壽險高層：業界恐面臨三大嚴峻挑戰 - 聯合報, 檢索日期：5月 6, 2025， </w:t>
      </w:r>
      <w:hyperlink r:id="rId22">
        <w:r w:rsidDel="00000000" w:rsidR="00000000" w:rsidRPr="00000000">
          <w:rPr>
            <w:rFonts w:ascii="Google Sans" w:cs="Google Sans" w:eastAsia="Google Sans" w:hAnsi="Google Sans"/>
            <w:color w:val="0000ee"/>
            <w:sz w:val="24"/>
            <w:szCs w:val="24"/>
            <w:u w:val="single"/>
            <w:rtl w:val="0"/>
          </w:rPr>
          <w:t xml:space="preserve">https://udn.com/news/story/124476/8719447</w:t>
        </w:r>
      </w:hyperlink>
      <w:r w:rsidDel="00000000" w:rsidR="00000000" w:rsidRPr="00000000">
        <w:rPr>
          <w:rtl w:val="0"/>
        </w:rPr>
      </w:r>
    </w:p>
    <w:p w:rsidR="00000000" w:rsidDel="00000000" w:rsidP="00000000" w:rsidRDefault="00000000" w:rsidRPr="00000000" w14:paraId="000001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TWD NDF on EBS Market: Natural Interest and Depth of Liquidity ..., 檢索日期：5月 6, 2025， </w:t>
      </w:r>
      <w:hyperlink r:id="rId23">
        <w:r w:rsidDel="00000000" w:rsidR="00000000" w:rsidRPr="00000000">
          <w:rPr>
            <w:rFonts w:ascii="Google Sans" w:cs="Google Sans" w:eastAsia="Google Sans" w:hAnsi="Google Sans"/>
            <w:color w:val="0000ee"/>
            <w:sz w:val="24"/>
            <w:szCs w:val="24"/>
            <w:u w:val="single"/>
            <w:rtl w:val="0"/>
          </w:rPr>
          <w:t xml:space="preserve">https://www.cmegroup.com/articles/2023/twd-ndf-on-ebs-market-natural-interest-and-depth-of-liquidity.html</w:t>
        </w:r>
      </w:hyperlink>
      <w:r w:rsidDel="00000000" w:rsidR="00000000" w:rsidRPr="00000000">
        <w:rPr>
          <w:rtl w:val="0"/>
        </w:rPr>
      </w:r>
    </w:p>
    <w:p w:rsidR="00000000" w:rsidDel="00000000" w:rsidP="00000000" w:rsidRDefault="00000000" w:rsidRPr="00000000" w14:paraId="000001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FUTURES EXCHANGE-Clearing-OTC Derivatives Clearing ..., 檢索日期：5月 6, 2025， </w:t>
      </w:r>
      <w:hyperlink r:id="rId24">
        <w:r w:rsidDel="00000000" w:rsidR="00000000" w:rsidRPr="00000000">
          <w:rPr>
            <w:rFonts w:ascii="Google Sans" w:cs="Google Sans" w:eastAsia="Google Sans" w:hAnsi="Google Sans"/>
            <w:color w:val="0000ee"/>
            <w:sz w:val="24"/>
            <w:szCs w:val="24"/>
            <w:u w:val="single"/>
            <w:rtl w:val="0"/>
          </w:rPr>
          <w:t xml:space="preserve">https://www.taifex.com.tw/enl/eng5/ccpNDF</w:t>
        </w:r>
      </w:hyperlink>
      <w:r w:rsidDel="00000000" w:rsidR="00000000" w:rsidRPr="00000000">
        <w:rPr>
          <w:rtl w:val="0"/>
        </w:rPr>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臺灣期貨交易所, 檢索日期：5月 6, 2025， </w:t>
      </w:r>
      <w:hyperlink r:id="rId25">
        <w:r w:rsidDel="00000000" w:rsidR="00000000" w:rsidRPr="00000000">
          <w:rPr>
            <w:rFonts w:ascii="Google Sans" w:cs="Google Sans" w:eastAsia="Google Sans" w:hAnsi="Google Sans"/>
            <w:color w:val="0000ee"/>
            <w:sz w:val="24"/>
            <w:szCs w:val="24"/>
            <w:u w:val="single"/>
            <w:rtl w:val="0"/>
          </w:rPr>
          <w:t xml:space="preserve">https://www.taifex.com.tw/file/taifex/CHINESE/10/moth_all/202302_all.pdf</w:t>
        </w:r>
      </w:hyperlink>
      <w:r w:rsidDel="00000000" w:rsidR="00000000" w:rsidRPr="00000000">
        <w:rPr>
          <w:rtl w:val="0"/>
        </w:rPr>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臺灣期貨交易所, 檢索日期：5月 6, 2025， </w:t>
      </w:r>
      <w:hyperlink r:id="rId26">
        <w:r w:rsidDel="00000000" w:rsidR="00000000" w:rsidRPr="00000000">
          <w:rPr>
            <w:rFonts w:ascii="Google Sans" w:cs="Google Sans" w:eastAsia="Google Sans" w:hAnsi="Google Sans"/>
            <w:color w:val="0000ee"/>
            <w:sz w:val="24"/>
            <w:szCs w:val="24"/>
            <w:u w:val="single"/>
            <w:rtl w:val="0"/>
          </w:rPr>
          <w:t xml:space="preserve">https://www.taifex.com.tw/file/taifex/CHINESE/10/moth_all/202312_all.pdf</w:t>
        </w:r>
      </w:hyperlink>
      <w:r w:rsidDel="00000000" w:rsidR="00000000" w:rsidRPr="00000000">
        <w:rPr>
          <w:rtl w:val="0"/>
        </w:rPr>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Foreign Exchange Transaction: Cross Currency Swaps ..., 檢索日期：5月 6, 2025， </w:t>
      </w:r>
      <w:hyperlink r:id="rId27">
        <w:r w:rsidDel="00000000" w:rsidR="00000000" w:rsidRPr="00000000">
          <w:rPr>
            <w:rFonts w:ascii="Google Sans" w:cs="Google Sans" w:eastAsia="Google Sans" w:hAnsi="Google Sans"/>
            <w:color w:val="0000ee"/>
            <w:sz w:val="24"/>
            <w:szCs w:val="24"/>
            <w:u w:val="single"/>
            <w:rtl w:val="0"/>
          </w:rPr>
          <w:t xml:space="preserve">https://www.ceicdata.com/en/taiwan/foreign-exchange-transaction-and-position/foreign-exchange-transaction-cross-currency-swaps</w:t>
        </w:r>
      </w:hyperlink>
      <w:r w:rsidDel="00000000" w:rsidR="00000000" w:rsidRPr="00000000">
        <w:rPr>
          <w:rtl w:val="0"/>
        </w:rPr>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www.tpefx.com.tw, 檢索日期：5月 6, 2025， </w:t>
      </w:r>
      <w:hyperlink r:id="rId28">
        <w:r w:rsidDel="00000000" w:rsidR="00000000" w:rsidRPr="00000000">
          <w:rPr>
            <w:rFonts w:ascii="Google Sans" w:cs="Google Sans" w:eastAsia="Google Sans" w:hAnsi="Google Sans"/>
            <w:color w:val="0000ee"/>
            <w:sz w:val="24"/>
            <w:szCs w:val="24"/>
            <w:u w:val="single"/>
            <w:rtl w:val="0"/>
          </w:rPr>
          <w:t xml:space="preserve">https://www.tpefx.com.tw/uploads/download/tw/The%20Short,%20Median%20and%20Long%20Term%20Impacts%20of%20Currency%20Risk%20on%20Taiwan%20Life%20Insurance%20Industry.pdf</w:t>
        </w:r>
      </w:hyperlink>
      <w:r w:rsidDel="00000000" w:rsidR="00000000" w:rsidRPr="00000000">
        <w:rPr>
          <w:rtl w:val="0"/>
        </w:rPr>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台灣壽險業巨額美元資產曝風險央行示警禿鷹炒匯 - 鉅亨網, 檢索日期：5月 6, 2025， </w:t>
      </w:r>
      <w:hyperlink r:id="rId29">
        <w:r w:rsidDel="00000000" w:rsidR="00000000" w:rsidRPr="00000000">
          <w:rPr>
            <w:rFonts w:ascii="Google Sans" w:cs="Google Sans" w:eastAsia="Google Sans" w:hAnsi="Google Sans"/>
            <w:color w:val="0000ee"/>
            <w:sz w:val="24"/>
            <w:szCs w:val="24"/>
            <w:u w:val="single"/>
            <w:rtl w:val="0"/>
          </w:rPr>
          <w:t xml:space="preserve">https://news.cnyes.com/news/id/5961701</w:t>
        </w:r>
      </w:hyperlink>
      <w:r w:rsidDel="00000000" w:rsidR="00000000" w:rsidRPr="00000000">
        <w:rPr>
          <w:rtl w:val="0"/>
        </w:rPr>
      </w:r>
    </w:p>
    <w:p w:rsidR="00000000" w:rsidDel="00000000" w:rsidP="00000000" w:rsidRDefault="00000000" w:rsidRPr="00000000" w14:paraId="000001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國立臺灣大學管理學院財務金融研究所碩士論文換匯交易之偏離現象, 檢索日期：5月 6, 2025， </w:t>
      </w:r>
      <w:hyperlink r:id="rId30">
        <w:r w:rsidDel="00000000" w:rsidR="00000000" w:rsidRPr="00000000">
          <w:rPr>
            <w:rFonts w:ascii="Google Sans" w:cs="Google Sans" w:eastAsia="Google Sans" w:hAnsi="Google Sans"/>
            <w:color w:val="0000ee"/>
            <w:sz w:val="24"/>
            <w:szCs w:val="24"/>
            <w:u w:val="single"/>
            <w:rtl w:val="0"/>
          </w:rPr>
          <w:t xml:space="preserve">https://tdr.lib.ntu.edu.tw/retrieve/5d839e41-c92e-4b58-9ec6-a8ea10f514d3/ntu-112-2.pdf</w:t>
        </w:r>
      </w:hyperlink>
      <w:r w:rsidDel="00000000" w:rsidR="00000000" w:rsidRPr="00000000">
        <w:rPr>
          <w:rtl w:val="0"/>
        </w:rPr>
      </w:r>
    </w:p>
    <w:p w:rsidR="00000000" w:rsidDel="00000000" w:rsidP="00000000" w:rsidRDefault="00000000" w:rsidRPr="00000000" w14:paraId="0000016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強化保險業國外投資之匯率風險管理與監理機制之研究, 檢索日期：5月 6, 2025， </w:t>
      </w:r>
      <w:hyperlink r:id="rId31">
        <w:r w:rsidDel="00000000" w:rsidR="00000000" w:rsidRPr="00000000">
          <w:rPr>
            <w:rFonts w:ascii="Google Sans" w:cs="Google Sans" w:eastAsia="Google Sans" w:hAnsi="Google Sans"/>
            <w:color w:val="0000ee"/>
            <w:sz w:val="24"/>
            <w:szCs w:val="24"/>
            <w:u w:val="single"/>
            <w:rtl w:val="0"/>
          </w:rPr>
          <w:t xml:space="preserve">https://www.tigf.org.tw/files/file_pool/1/0m081587899959956342/%E5%BC%B7%E5%8C%96%E4%BF%9D%E9%9A%AA%E6%A5%AD%E5%9C%8B%E5%A4%96%E6%8A%95%E8%B3%87%E4%B9%8B%E5%8C%AF%E7%8E%87%E9%A2%A8%E9%9A%AA%E7%AE%A1%E7%90%86%E8%88%87%E7%9B%A3%E7%90%86%E6%A9%9F%E5%88%B6%E4%B9%8B%E7%A0%94%E7%A9%B6%E6%9C%9F%E6%9C%AB%E5%A0%B1%E5%91%8Af.pdf</w:t>
        </w:r>
      </w:hyperlink>
      <w:r w:rsidDel="00000000" w:rsidR="00000000" w:rsidRPr="00000000">
        <w:rPr>
          <w:rtl w:val="0"/>
        </w:rPr>
      </w:r>
    </w:p>
    <w:p w:rsidR="00000000" w:rsidDel="00000000" w:rsidP="00000000" w:rsidRDefault="00000000" w:rsidRPr="00000000" w14:paraId="0000016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《各報要聞》台幣升值慘業？壽險業壓力大 - Yahoo股市, 檢索日期：5月 6, 2025， </w:t>
      </w:r>
      <w:hyperlink r:id="rId32">
        <w:r w:rsidDel="00000000" w:rsidR="00000000" w:rsidRPr="00000000">
          <w:rPr>
            <w:rFonts w:ascii="Google Sans" w:cs="Google Sans" w:eastAsia="Google Sans" w:hAnsi="Google Sans"/>
            <w:color w:val="0000ee"/>
            <w:sz w:val="24"/>
            <w:szCs w:val="24"/>
            <w:u w:val="single"/>
            <w:rtl w:val="0"/>
          </w:rPr>
          <w:t xml:space="preserve">https://tw.stock.yahoo.com/news/%E5%90%84%E5%A0%B1%E8%A6%81%E8%81%9E-%E5%8F%B0%E5%B9%A3%E5%8D%87%E5%80%BC%E6%85%98%E6%A5%AD-%E5%A3%BD%E9%9A%AA%E6%A5%AD%E5%A3%93%E5%8A%9B%E5%A4%A7-233539950.html</w:t>
        </w:r>
      </w:hyperlink>
      <w:r w:rsidDel="00000000" w:rsidR="00000000" w:rsidRPr="00000000">
        <w:rPr>
          <w:rtl w:val="0"/>
        </w:rPr>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www.cbc.gov.tw, 檢索日期：5月 6, 2025， </w:t>
      </w:r>
      <w:hyperlink r:id="rId33">
        <w:r w:rsidDel="00000000" w:rsidR="00000000" w:rsidRPr="00000000">
          <w:rPr>
            <w:rFonts w:ascii="Google Sans" w:cs="Google Sans" w:eastAsia="Google Sans" w:hAnsi="Google Sans"/>
            <w:color w:val="0000ee"/>
            <w:sz w:val="24"/>
            <w:szCs w:val="24"/>
            <w:u w:val="single"/>
            <w:rtl w:val="0"/>
          </w:rPr>
          <w:t xml:space="preserve">https://www.cbc.gov.tw/tw/dl-9190-42a6cc5088dd4b0295febad23c962986.html</w:t>
        </w:r>
      </w:hyperlink>
      <w:r w:rsidDel="00000000" w:rsidR="00000000" w:rsidRPr="00000000">
        <w:rPr>
          <w:rtl w:val="0"/>
        </w:rPr>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人身保險業外匯價格變動準備金應注意事項-所有條文 - 保險相關法規查詢系統, 檢索日期：5月 6, 2025， </w:t>
      </w:r>
      <w:hyperlink r:id="rId34">
        <w:r w:rsidDel="00000000" w:rsidR="00000000" w:rsidRPr="00000000">
          <w:rPr>
            <w:rFonts w:ascii="Google Sans" w:cs="Google Sans" w:eastAsia="Google Sans" w:hAnsi="Google Sans"/>
            <w:color w:val="0000ee"/>
            <w:sz w:val="24"/>
            <w:szCs w:val="24"/>
            <w:u w:val="single"/>
            <w:rtl w:val="0"/>
          </w:rPr>
          <w:t xml:space="preserve">https://law.lia-roc.org.tw/Law/Content?lsid=FL064219</w:t>
        </w:r>
      </w:hyperlink>
      <w:r w:rsidDel="00000000" w:rsidR="00000000" w:rsidRPr="00000000">
        <w:rPr>
          <w:rtl w:val="0"/>
        </w:rPr>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台灣壽險業海外投資上限對其資產配置影響之探討A Study of the Impact of Foreign Investment Limits of Taiwan - 財團法人台北外匯市場發展基金會, 檢索日期：5月 6, 2025， </w:t>
      </w:r>
      <w:hyperlink r:id="rId35">
        <w:r w:rsidDel="00000000" w:rsidR="00000000" w:rsidRPr="00000000">
          <w:rPr>
            <w:rFonts w:ascii="Google Sans" w:cs="Google Sans" w:eastAsia="Google Sans" w:hAnsi="Google Sans"/>
            <w:color w:val="0000ee"/>
            <w:sz w:val="24"/>
            <w:szCs w:val="24"/>
            <w:u w:val="single"/>
            <w:rtl w:val="0"/>
          </w:rPr>
          <w:t xml:space="preserve">https://www.tpefx.com.tw/uploads/download/tw/A%20Study%20of%20the%20Impact%20of%20Foreign%20Investment%20Limits%20of.pdf</w:t>
        </w:r>
      </w:hyperlink>
      <w:r w:rsidDel="00000000" w:rsidR="00000000" w:rsidRPr="00000000">
        <w:rPr>
          <w:rtl w:val="0"/>
        </w:rPr>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統計資料- 金融監督管理委員會保險局全球資訊網, 檢索日期：5月 6, 2025， </w:t>
      </w:r>
      <w:hyperlink r:id="rId36">
        <w:r w:rsidDel="00000000" w:rsidR="00000000" w:rsidRPr="00000000">
          <w:rPr>
            <w:rFonts w:ascii="Google Sans" w:cs="Google Sans" w:eastAsia="Google Sans" w:hAnsi="Google Sans"/>
            <w:color w:val="0000ee"/>
            <w:sz w:val="24"/>
            <w:szCs w:val="24"/>
            <w:u w:val="single"/>
            <w:rtl w:val="0"/>
          </w:rPr>
          <w:t xml:space="preserve">https://www.ib.gov.tw/ch/home.jsp?id=48&amp;parentpath=0,4</w:t>
        </w:r>
      </w:hyperlink>
      <w:r w:rsidDel="00000000" w:rsidR="00000000" w:rsidRPr="00000000">
        <w:rPr>
          <w:rtl w:val="0"/>
        </w:rPr>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新聞稿-113年5月保險業損益、淨值，以及兌換損益、避險損益與外匯 ..., 檢索日期：5月 6, 2025， </w:t>
      </w:r>
      <w:hyperlink r:id="rId37">
        <w:r w:rsidDel="00000000" w:rsidR="00000000" w:rsidRPr="00000000">
          <w:rPr>
            <w:rFonts w:ascii="Google Sans" w:cs="Google Sans" w:eastAsia="Google Sans" w:hAnsi="Google Sans"/>
            <w:color w:val="0000ee"/>
            <w:sz w:val="24"/>
            <w:szCs w:val="24"/>
            <w:u w:val="single"/>
            <w:rtl w:val="0"/>
          </w:rPr>
          <w:t xml:space="preserve">https://www.fsc.gov.tw/ch/home.jsp?id=96&amp;parentpath=0&amp;mcustomize=news_view.jsp&amp;dataserno=202406270002&amp;dtable=News</w:t>
        </w:r>
      </w:hyperlink>
      <w:r w:rsidDel="00000000" w:rsidR="00000000" w:rsidRPr="00000000">
        <w:rPr>
          <w:rtl w:val="0"/>
        </w:rPr>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新聞稿- 114年3月保險業損益、淨值，以及兌換損益、避險損益與外匯 ..., 檢索日期：5月 6, 2025， </w:t>
      </w:r>
      <w:hyperlink r:id="rId38">
        <w:r w:rsidDel="00000000" w:rsidR="00000000" w:rsidRPr="00000000">
          <w:rPr>
            <w:rFonts w:ascii="Google Sans" w:cs="Google Sans" w:eastAsia="Google Sans" w:hAnsi="Google Sans"/>
            <w:color w:val="0000ee"/>
            <w:sz w:val="24"/>
            <w:szCs w:val="24"/>
            <w:u w:val="single"/>
            <w:rtl w:val="0"/>
          </w:rPr>
          <w:t xml:space="preserve">https://www.ib.gov.tw/ch/home.jsp?id=239&amp;parentpath=0,2,238&amp;mcustomize=multimessage_view.jsp&amp;dataserno=202504290007&amp;aplistdn=ou=news,ou=multisite,ou=chinese,ou=ap_root,o=fsc,c=tw&amp;dtable=News</w:t>
        </w:r>
      </w:hyperlink>
      <w:r w:rsidDel="00000000" w:rsidR="00000000" w:rsidRPr="00000000">
        <w:rPr>
          <w:rtl w:val="0"/>
        </w:rPr>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第五部分市場風險, 檢索日期：5月 6, 2025， </w:t>
      </w:r>
      <w:hyperlink r:id="rId39">
        <w:r w:rsidDel="00000000" w:rsidR="00000000" w:rsidRPr="00000000">
          <w:rPr>
            <w:rFonts w:ascii="Google Sans" w:cs="Google Sans" w:eastAsia="Google Sans" w:hAnsi="Google Sans"/>
            <w:color w:val="0000ee"/>
            <w:sz w:val="24"/>
            <w:szCs w:val="24"/>
            <w:u w:val="single"/>
            <w:rtl w:val="0"/>
          </w:rPr>
          <w:t xml:space="preserve">https://law.fsc.gov.tw/Download.ashx?FileID=19939&amp;id=815&amp;type=HLAW</w:t>
        </w:r>
      </w:hyperlink>
      <w:r w:rsidDel="00000000" w:rsidR="00000000" w:rsidRPr="00000000">
        <w:rPr>
          <w:rtl w:val="0"/>
        </w:rPr>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第二部分信用風險標準法及內部評等法, 檢索日期：5月 6, 2025， </w:t>
      </w:r>
      <w:hyperlink r:id="rId40">
        <w:r w:rsidDel="00000000" w:rsidR="00000000" w:rsidRPr="00000000">
          <w:rPr>
            <w:rFonts w:ascii="Google Sans" w:cs="Google Sans" w:eastAsia="Google Sans" w:hAnsi="Google Sans"/>
            <w:color w:val="0000ee"/>
            <w:sz w:val="24"/>
            <w:szCs w:val="24"/>
            <w:u w:val="single"/>
            <w:rtl w:val="0"/>
          </w:rPr>
          <w:t xml:space="preserve">https://law.banking.gov.tw/Chi/GetLawFile.ashx?FileID=0000242646</w:t>
        </w:r>
      </w:hyperlink>
      <w:r w:rsidDel="00000000" w:rsidR="00000000" w:rsidRPr="00000000">
        <w:rPr>
          <w:rtl w:val="0"/>
        </w:rPr>
      </w:r>
    </w:p>
    <w:p w:rsidR="00000000" w:rsidDel="00000000" w:rsidP="00000000" w:rsidRDefault="00000000" w:rsidRPr="00000000" w14:paraId="000001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「金融機構如何利用標準法與自建模型，衡量信用風險與市場風險的資本需求額」研討會記要 - 財團法人金融聯合徵信中心, 檢索日期：5月 6, 2025， </w:t>
      </w:r>
      <w:hyperlink r:id="rId41">
        <w:r w:rsidDel="00000000" w:rsidR="00000000" w:rsidRPr="00000000">
          <w:rPr>
            <w:rFonts w:ascii="Google Sans" w:cs="Google Sans" w:eastAsia="Google Sans" w:hAnsi="Google Sans"/>
            <w:color w:val="0000ee"/>
            <w:sz w:val="24"/>
            <w:szCs w:val="24"/>
            <w:u w:val="single"/>
            <w:rtl w:val="0"/>
          </w:rPr>
          <w:t xml:space="preserve">https://www.jcic.org.tw/main_ch/fileRename/fileRename.aspx?fid=167&amp;kid=1</w:t>
        </w:r>
      </w:hyperlink>
      <w:r w:rsidDel="00000000" w:rsidR="00000000" w:rsidRPr="00000000">
        <w:rPr>
          <w:rtl w:val="0"/>
        </w:rPr>
      </w:r>
    </w:p>
    <w:p w:rsidR="00000000" w:rsidDel="00000000" w:rsidP="00000000" w:rsidRDefault="00000000" w:rsidRPr="00000000" w14:paraId="000001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信用風險管理分論及案例彙編, 檢索日期：5月 6, 2025， </w:t>
      </w:r>
      <w:hyperlink r:id="rId42">
        <w:r w:rsidDel="00000000" w:rsidR="00000000" w:rsidRPr="00000000">
          <w:rPr>
            <w:rFonts w:ascii="Google Sans" w:cs="Google Sans" w:eastAsia="Google Sans" w:hAnsi="Google Sans"/>
            <w:color w:val="0000ee"/>
            <w:sz w:val="24"/>
            <w:szCs w:val="24"/>
            <w:u w:val="single"/>
            <w:rtl w:val="0"/>
          </w:rPr>
          <w:t xml:space="preserve">https://www.ba.org.tw/pdf/%E4%BF%A1%E7%94%A8%E9%A2%A8%E9%9A%AA%E7%AE%A1%E7%90%86%E5%88%86%E8%AB%96%E5%8F%8A%E6%A1%88%E4%BE%8B%E5%BD%99%E7%B7%A8.pdf</w:t>
        </w:r>
      </w:hyperlink>
      <w:r w:rsidDel="00000000" w:rsidR="00000000" w:rsidRPr="00000000">
        <w:rPr>
          <w:rtl w:val="0"/>
        </w:rPr>
      </w:r>
    </w:p>
    <w:p w:rsidR="00000000" w:rsidDel="00000000" w:rsidP="00000000" w:rsidRDefault="00000000" w:rsidRPr="00000000" w14:paraId="0000017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www.cbc.gov.tw, 檢索日期：5月 6, 2025， </w:t>
      </w:r>
      <w:hyperlink r:id="rId43">
        <w:r w:rsidDel="00000000" w:rsidR="00000000" w:rsidRPr="00000000">
          <w:rPr>
            <w:rFonts w:ascii="Google Sans" w:cs="Google Sans" w:eastAsia="Google Sans" w:hAnsi="Google Sans"/>
            <w:color w:val="0000ee"/>
            <w:sz w:val="24"/>
            <w:szCs w:val="24"/>
            <w:u w:val="single"/>
            <w:rtl w:val="0"/>
          </w:rPr>
          <w:t xml:space="preserve">https://www.cbc.gov.tw/tw/public/Attachment/02616214771.pdf</w:t>
        </w:r>
      </w:hyperlink>
      <w:r w:rsidDel="00000000" w:rsidR="00000000" w:rsidRPr="00000000">
        <w:rPr>
          <w:rtl w:val="0"/>
        </w:rPr>
      </w:r>
    </w:p>
    <w:p w:rsidR="00000000" w:rsidDel="00000000" w:rsidP="00000000" w:rsidRDefault="00000000" w:rsidRPr="00000000" w14:paraId="000001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外匯市場交易準則, 檢索日期：5月 6, 2025， </w:t>
      </w:r>
      <w:hyperlink r:id="rId44">
        <w:r w:rsidDel="00000000" w:rsidR="00000000" w:rsidRPr="00000000">
          <w:rPr>
            <w:rFonts w:ascii="Google Sans" w:cs="Google Sans" w:eastAsia="Google Sans" w:hAnsi="Google Sans"/>
            <w:color w:val="0000ee"/>
            <w:sz w:val="24"/>
            <w:szCs w:val="24"/>
            <w:u w:val="single"/>
            <w:rtl w:val="0"/>
          </w:rPr>
          <w:t xml:space="preserve">https://www.tpefx.com.tw/uploads/download/tw/principle.pdf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w.banking.gov.tw/Chi/GetLawFile.ashx?FileID=0000242646" TargetMode="External"/><Relationship Id="rId20" Type="http://schemas.openxmlformats.org/officeDocument/2006/relationships/hyperlink" Target="https://abmedia.io/taiwan-regulator-summons-life-insurers-as-twd-sharp-appreciation" TargetMode="External"/><Relationship Id="rId42" Type="http://schemas.openxmlformats.org/officeDocument/2006/relationships/hyperlink" Target="https://www.ba.org.tw/pdf/%E4%BF%A1%E7%94%A8%E9%A2%A8%E9%9A%AA%E7%AE%A1%E7%90%86%E5%88%86%E8%AB%96%E5%8F%8A%E6%A1%88%E4%BE%8B%E5%BD%99%E7%B7%A8.pdf" TargetMode="External"/><Relationship Id="rId41" Type="http://schemas.openxmlformats.org/officeDocument/2006/relationships/hyperlink" Target="https://www.jcic.org.tw/main_ch/fileRename/fileRename.aspx?fid=167&amp;kid=1" TargetMode="External"/><Relationship Id="rId22" Type="http://schemas.openxmlformats.org/officeDocument/2006/relationships/hyperlink" Target="https://udn.com/news/story/124476/8719447" TargetMode="External"/><Relationship Id="rId44" Type="http://schemas.openxmlformats.org/officeDocument/2006/relationships/hyperlink" Target="https://www.tpefx.com.tw/uploads/download/tw/principle.pdf" TargetMode="External"/><Relationship Id="rId21" Type="http://schemas.openxmlformats.org/officeDocument/2006/relationships/hyperlink" Target="https://www.ctee.com.tw/news/20250506700041-439901" TargetMode="External"/><Relationship Id="rId43" Type="http://schemas.openxmlformats.org/officeDocument/2006/relationships/hyperlink" Target="https://www.cbc.gov.tw/tw/public/Attachment/02616214771.pdf" TargetMode="External"/><Relationship Id="rId24" Type="http://schemas.openxmlformats.org/officeDocument/2006/relationships/hyperlink" Target="https://www.taifex.com.tw/enl/eng5/ccpNDF" TargetMode="External"/><Relationship Id="rId23" Type="http://schemas.openxmlformats.org/officeDocument/2006/relationships/hyperlink" Target="https://www.cmegroup.com/articles/2023/twd-ndf-on-ebs-market-natural-interest-and-depth-of-liquidit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zuhogroup.com/binaries/content/assets/pdf/taiwan/financial-information/seminar/202306_mizuho_seminar_ch_1.pdf" TargetMode="External"/><Relationship Id="rId26" Type="http://schemas.openxmlformats.org/officeDocument/2006/relationships/hyperlink" Target="https://www.taifex.com.tw/file/taifex/CHINESE/10/moth_all/202312_all.pdf" TargetMode="External"/><Relationship Id="rId25" Type="http://schemas.openxmlformats.org/officeDocument/2006/relationships/hyperlink" Target="https://www.taifex.com.tw/file/taifex/CHINESE/10/moth_all/202302_all.pdf" TargetMode="External"/><Relationship Id="rId28" Type="http://schemas.openxmlformats.org/officeDocument/2006/relationships/hyperlink" Target="https://www.tpefx.com.tw/uploads/download/tw/The%20Short,%20Median%20and%20Long%20Term%20Impacts%20of%20Currency%20Risk%20on%20Taiwan%20Life%20Insurance%20Industry.pdf" TargetMode="External"/><Relationship Id="rId27" Type="http://schemas.openxmlformats.org/officeDocument/2006/relationships/hyperlink" Target="https://www.ceicdata.com/en/taiwan/foreign-exchange-transaction-and-position/foreign-exchange-transaction-cross-currency-swaps" TargetMode="External"/><Relationship Id="rId5" Type="http://schemas.openxmlformats.org/officeDocument/2006/relationships/styles" Target="styles.xml"/><Relationship Id="rId6" Type="http://schemas.openxmlformats.org/officeDocument/2006/relationships/hyperlink" Target="https://en.wikipedia.org/wiki/New_Taiwan_dollar" TargetMode="External"/><Relationship Id="rId29" Type="http://schemas.openxmlformats.org/officeDocument/2006/relationships/hyperlink" Target="https://news.cnyes.com/news/id/5961701" TargetMode="External"/><Relationship Id="rId7" Type="http://schemas.openxmlformats.org/officeDocument/2006/relationships/hyperlink" Target="https://tradingeconomics.com/taiwan/currency" TargetMode="External"/><Relationship Id="rId8" Type="http://schemas.openxmlformats.org/officeDocument/2006/relationships/hyperlink" Target="https://fred.stlouisfed.org/series/EXTAUS" TargetMode="External"/><Relationship Id="rId31" Type="http://schemas.openxmlformats.org/officeDocument/2006/relationships/hyperlink" Target="https://www.tigf.org.tw/files/file_pool/1/0m081587899959956342/%E5%BC%B7%E5%8C%96%E4%BF%9D%E9%9A%AA%E6%A5%AD%E5%9C%8B%E5%A4%96%E6%8A%95%E8%B3%87%E4%B9%8B%E5%8C%AF%E7%8E%87%E9%A2%A8%E9%9A%AA%E7%AE%A1%E7%90%86%E8%88%87%E7%9B%A3%E7%90%86%E6%A9%9F%E5%88%B6%E4%B9%8B%E7%A0%94%E7%A9%B6%E6%9C%9F%E6%9C%AB%E5%A0%B1%E5%91%8Af.pdf" TargetMode="External"/><Relationship Id="rId30" Type="http://schemas.openxmlformats.org/officeDocument/2006/relationships/hyperlink" Target="https://tdr.lib.ntu.edu.tw/retrieve/5d839e41-c92e-4b58-9ec6-a8ea10f514d3/ntu-112-2.pdf" TargetMode="External"/><Relationship Id="rId11" Type="http://schemas.openxmlformats.org/officeDocument/2006/relationships/hyperlink" Target="https://www.cbc.gov.tw/dl-206085-cc09cf300ec547679ac49026b953e798.html" TargetMode="External"/><Relationship Id="rId33" Type="http://schemas.openxmlformats.org/officeDocument/2006/relationships/hyperlink" Target="https://www.cbc.gov.tw/tw/dl-9190-42a6cc5088dd4b0295febad23c962986.html" TargetMode="External"/><Relationship Id="rId10" Type="http://schemas.openxmlformats.org/officeDocument/2006/relationships/hyperlink" Target="https://www.cbc.gov.tw/dl-196018-cb0dd8308ffe4ba98f791d35c3f4db19.html" TargetMode="External"/><Relationship Id="rId32" Type="http://schemas.openxmlformats.org/officeDocument/2006/relationships/hyperlink" Target="https://tw.stock.yahoo.com/news/%E5%90%84%E5%A0%B1%E8%A6%81%E8%81%9E-%E5%8F%B0%E5%B9%A3%E5%8D%87%E5%80%BC%E6%85%98%E6%A5%AD-%E5%A3%BD%E9%9A%AA%E6%A5%AD%E5%A3%93%E5%8A%9B%E5%A4%A7-233539950.html" TargetMode="External"/><Relationship Id="rId13" Type="http://schemas.openxmlformats.org/officeDocument/2006/relationships/hyperlink" Target="https://markets.ft.com/data/currencies/tearsheet/summary?s=USDTWD" TargetMode="External"/><Relationship Id="rId35" Type="http://schemas.openxmlformats.org/officeDocument/2006/relationships/hyperlink" Target="https://www.tpefx.com.tw/uploads/download/tw/A%20Study%20of%20the%20Impact%20of%20Foreign%20Investment%20Limits%20of.pdf" TargetMode="External"/><Relationship Id="rId12" Type="http://schemas.openxmlformats.org/officeDocument/2006/relationships/hyperlink" Target="https://www.xe.com/currencycharts/?from=USD&amp;to=TWD" TargetMode="External"/><Relationship Id="rId34" Type="http://schemas.openxmlformats.org/officeDocument/2006/relationships/hyperlink" Target="https://law.lia-roc.org.tw/Law/Content?lsid=FL064219" TargetMode="External"/><Relationship Id="rId15" Type="http://schemas.openxmlformats.org/officeDocument/2006/relationships/hyperlink" Target="https://www.cbc.gov.tw/dl-213487-3ba90cdae8884dfca7948eb6b3cefa28.html" TargetMode="External"/><Relationship Id="rId37" Type="http://schemas.openxmlformats.org/officeDocument/2006/relationships/hyperlink" Target="https://www.fsc.gov.tw/ch/home.jsp?id=96&amp;parentpath=0&amp;mcustomize=news_view.jsp&amp;dataserno=202406270002&amp;dtable=News" TargetMode="External"/><Relationship Id="rId14" Type="http://schemas.openxmlformats.org/officeDocument/2006/relationships/hyperlink" Target="https://www.cfr.org/sites/default/files/pdf/shadow-fx-intervention-in-taiwan-solving-a-usd-100-bn-enigma.pdf" TargetMode="External"/><Relationship Id="rId36" Type="http://schemas.openxmlformats.org/officeDocument/2006/relationships/hyperlink" Target="https://www.ib.gov.tw/ch/home.jsp?id=48&amp;parentpath=0,4" TargetMode="External"/><Relationship Id="rId17" Type="http://schemas.openxmlformats.org/officeDocument/2006/relationships/hyperlink" Target="https://www.tpefx.com.tw/uploads/download/tw/1.Discussion%20on%20Price%20Behavior%20of%20Major%20Currency%20Exchange%20Transactions.pdf" TargetMode="External"/><Relationship Id="rId39" Type="http://schemas.openxmlformats.org/officeDocument/2006/relationships/hyperlink" Target="https://law.fsc.gov.tw/Download.ashx?FileID=19939&amp;id=815&amp;type=HLAW" TargetMode="External"/><Relationship Id="rId16" Type="http://schemas.openxmlformats.org/officeDocument/2006/relationships/hyperlink" Target="https://www.airitilibrary.com/Article/Detail/U0004-G0106351019" TargetMode="External"/><Relationship Id="rId38" Type="http://schemas.openxmlformats.org/officeDocument/2006/relationships/hyperlink" Target="https://www.ib.gov.tw/ch/home.jsp?id=239&amp;parentpath=0,2,238&amp;mcustomize=multimessage_view.jsp&amp;dataserno=202504290007&amp;aplistdn=ou%3Dnews,ou%3Dmultisite,ou%3Dchinese,ou%3Dap_root,o%3Dfsc,c%3Dtw&amp;dtable=News" TargetMode="External"/><Relationship Id="rId19" Type="http://schemas.openxmlformats.org/officeDocument/2006/relationships/hyperlink" Target="https://tdr.lib.ntu.edu.tw/retrieve/d476da6d-5641-47b6-b203-a2b72f6f1e2d/ntu-112-2.pdf" TargetMode="External"/><Relationship Id="rId18" Type="http://schemas.openxmlformats.org/officeDocument/2006/relationships/hyperlink" Target="https://ndltd.ncl.edu.tw/cgi-bin/gs32/gsweb.cgi/login?o=dnclcdr&amp;s=id%3D%22109NYCU5303013%22.&amp;searchmode=bas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