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【股海戰神】鄧哥交易策略紀錄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核心投資哲學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本策略框架的核心並非追求單一筆交易的極致報酬，而是透過對多種金融商品特性的深度理解，建立一個在多變市場環境下能實現「穩定獲利」的投資組合。其精髓在於風險控制，透過多空部位的精準計算與對沖，確保資產在市場劇烈波動下的穩健性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策略一：可轉債 (CB) 價值投資核心策略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策略目標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建立投資組合的「保底」基石，在有效控制下檔風險的前提下，獲取穩健的資本增長。此為長期資產配置的核心。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適用時機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建倉時機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：市場出現恐慌性或非理性下跌，導致體質良好的公司其可轉債 (CB) 價格跌破票面價值 100 元時，為最佳進場時機。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持有期間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：作為中長期投資，耐心持有至公司價值回歸或市場情緒恢復穩定。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獲利方式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資本利得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：在 CB 價格低於 100 元時買入，待價格回升至 100 元以上時賣出，賺取價差。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轉換價值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：若標的股票價格大幅上漲，超過轉換價格，CB 市價會隨之上漲，此時可直接賣出 CB 或將其轉換為股票後賣出獲利。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利息收入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：持有至到期，發行公司將以票面價 100 元加上約定的利息補償金（若有）買回。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選股與標的篩選標準 (Execution Criteria)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財務狀況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現金流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：優先選擇具備持續且穩定現金流入的公司。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股價淨值比 (PBR)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：尋找股價接近或低於每股淨值的公司。此舉可確保即便公司倒閉清算，資產回收價值仍有一定保障。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負債比分析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：需根據產業特性進行判斷。例如，營建業因其商業模式，負債比普遍偏高（70%-80%），屬正常現象，應與同業比較。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公司背景與風險規避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排除 KY 股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：明確避開註冊於開曼群島等地的 KY 股，因其財務報告透明度較低且法律管轄權模糊，風險較高。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排除新創公司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：避開成立時間較短的公司，因其應對重大經濟危機的能力未經市場驗證。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優先選擇「老公司」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：選擇成立歷史悠久（10 年以上），且成功度過數次市場空頭考驗的公司。這類公司通常具備更強的風險管理能力與韌性。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風險與報酬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信用風險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：最大的風險是公司倒閉導致無法履約。但債權人的求償順位優於股東，仍有機會回收部分本金（如 VHQ 案例拿回 68%）。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流動性風險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：部分 CB 成交量小，可能在需要時無法以理想價格快速賣出。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報酬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下檔有 100 元票面價值作為支撐，虧損有限。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上檔報酬取決於標的股票的上漲潛力，雖不如直接持有股票，但風險遠低於後者。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策略二：指數期貨避險策略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策略目標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在持有大量多頭部位（如股票、可轉債）時，對沖市場系統性風險（大盤下跌風險），保護整體投資組合的淨值。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適用時機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預期市場將因特定重大事件（如選舉、央行決策、地緣政治衝突）而產生劇烈波動時。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當市場已進入明顯的空頭趨勢，但不想賣出核心持股時。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獲利與避險方式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避險原理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：透過建立與持有資產相反方向的部位（放空），來實現避險。當大盤下跌時，持有的現貨部位雖會虧損，但期貨空單的獲利可以彌補部分或全部損失，甚至可能產生淨利。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執行步驟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計算曝險總額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：統計持有的股票與可轉債總市值。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建立空方部位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：在期貨市場「賣出」等值的指數期貨。例如，持有 500 萬台幣的現貨，可賣出一口價值 400 萬的大台指 (TX) 與一口 價值 100 萬的小台指 (MTX)。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持有與平倉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：持有空單直到不確定性事件結束或市場趨勢反轉，再將期貨空單「買回」平倉。鄧哥的實例是在川普事件前建立空單，保護了價值 700 萬的部位，使其在大跌中僅受輕微損失。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風險與報酬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：若市場走勢與預期相反（即大盤非跌反漲），期貨空單的虧損會侵蝕現貨部位的獲利，導致整體報酬率下降。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報酬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：此策略的主要目的為「控制虧損」而非「創造利潤」。其報酬體現在成功規避了市場大幅下跌的風險。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策略三：高波動率之選擇權信用價差策略 (賣出牛市賣權價差)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策略目標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在市場極度恐慌、隱含波動率 (IV) 飆升時，透過賣出選擇權價差組合，賺取高額的時間價值與波動率下降所帶來的利潤。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適用時機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絕對前提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：僅適用於「股災」或類似的黑天鵝事件中，此時市場極度恐慌，選擇權的隱含波動率被推升至歷史高位。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此策略不適用於平穩市場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獲利方式 (Profit Mechanism)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高額權利金收入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：在 IV 極高時，賣出選擇權可收取遠高於平時的權利金。這是初始獲利的核心。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時間價值衰減 (Theta Decay)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：隨著時間流逝，選擇權的價值會自然減少，對賣方有利。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波動率下降 (IV Crush)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：當市場情緒從極度恐慌中稍微平復，IV 會從高點回落，導致選擇權價格大幅下跌。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獲利操作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：在高點「賣出」價差單，收取高額權利金；待價格因上述因素下跌後，在低點「買回」此價差單平倉，賺取中間的差價。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詳細執行步驟 (Step-by-Step Execution)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策略建立 (Bull Put Spread)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判斷大盤已超跌，選擇一個你認為「跌不破」的價位作為支撐。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賣出 (Sell)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一個該支撐點的賣權 (Put)。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同時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買入 (Buy)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一個更下方履約價的賣權 (Put) 作為保險，以鎖定最大虧損。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此組合單會產生一筆「權利金淨收入 (Net Credit)」。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下單指令：連續 IOC (Immediate-Or-Cancel)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設定目標價格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：設定一個你希望收到的、非常優渥的權利金價格。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使用 IOC 指令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：在券商平台的下單條件中，選擇「IOC」。此指令代表訂單送出後，若無法「立即」以指定價格或更優價格成交，則「立即」取消，不會留在市場上等待。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連續下單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：手動或透過程式，反覆送出此 IOC 訂單。此操作目的是在流動性極差、買賣價差巨大的混亂市場中，「捕捉」到可能僅出現一瞬間的、願意支付高價的恐慌性買盤或造市者掛單。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成交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：一旦成交，代表你已成功在高價賣出此價差組合。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平倉管理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成功建倉後，等待市場情緒穩定、IV 回落。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當該價差組合的市場價格下跌至你的目標時（例如，賣 100，跌到 80 或 75 時），執行反向操作（買入該價差組合）以平倉，鎖定利潤。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風險與報酬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最大虧損（已鎖定）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= (兩履約價的差距 - 初始收到的權利金淨額) x 合約乘數。此風險在建倉時即已確定。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若市場持續非理性下跌，跌破你的保險履約價，將會造成最大虧損。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報酬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最大利潤（已鎖定）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= 初始收到的權利金淨額 x 合約乘數。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此利潤在建倉時也已確定，是此策略的主要目標。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