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40"/>
          <w:szCs w:val="40"/>
        </w:rPr>
      </w:pPr>
      <w:r w:rsidDel="00000000" w:rsidR="00000000" w:rsidRPr="00000000">
        <w:rPr>
          <w:rFonts w:ascii="Google Sans" w:cs="Google Sans" w:eastAsia="Google Sans" w:hAnsi="Google Sans"/>
          <w:b w:val="1"/>
          <w:bCs w:val="1"/>
          <w:i w:val="0"/>
          <w:iCs w:val="0"/>
          <w:color w:val="1b1c1d"/>
          <w:sz w:val="40"/>
          <w:szCs w:val="40"/>
          <w:rtl w:val="0"/>
        </w:rPr>
        <w:t xml:space="preserve">新台幣匯率風險視覺化工具：關鍵市場與宏觀圖表規劃報告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8"/>
          <w:szCs w:val="38"/>
        </w:rPr>
      </w:pPr>
      <w:r w:rsidDel="00000000" w:rsidR="00000000" w:rsidRPr="00000000">
        <w:rPr>
          <w:rFonts w:ascii="Google Sans" w:cs="Google Sans" w:eastAsia="Google Sans" w:hAnsi="Google Sans"/>
          <w:b w:val="1"/>
          <w:bCs w:val="1"/>
          <w:i w:val="0"/>
          <w:iCs w:val="0"/>
          <w:color w:val="1b1c1d"/>
          <w:sz w:val="38"/>
          <w:szCs w:val="38"/>
          <w:rtl w:val="0"/>
        </w:rPr>
        <w:t xml:space="preserve">I. 引言</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本報告旨在規劃一套視覺化工具中應包含的關鍵市場圖表與宏觀經濟圖表，以有效監測、分析及視覺化新台幣兌美元 (TWD/USD) 匯率相關的風險。此工具的目標是整合高、中、低頻率的關鍵指標，為使用者（如交易員、風險管理人員、策略分析師）提供一個全面且動態的視角，以判斷短期市場情緒、中期資金流動壓力以及長期結構性風險。</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新台幣市場具有其獨特性質。雖然台灣經濟基本面穩健，擁有龐大的經常帳順差和外匯存底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，但其匯率並非完全自由浮動。台灣央行 (CBC) 會在必要時進行干預，以維持市場秩序及匯率穩定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。此外，外國機構投資者 (FPI) 的資金流動對台灣股市 (TAIEX) 和新台幣匯率具有顯著影響力，其持有市值佔台股總市值約四成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36"/>
          <w:szCs w:val="36"/>
          <w:rtl w:val="0"/>
        </w:rPr>
        <w:t xml:space="preserve">。因此，一個有效的風險視覺化工具必須能捕捉這些市場特性，結合技術指標、衍生性商品市場信號、資金流動數據以及宏觀經濟背景。</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本報告將依據使用者需求，詳細規劃兩大類圖表：關鍵市場圖表（高/中頻）和宏觀背景圖表（低頻/長期），並闡述圖表整合與互動功能設計，最終目標是為此風險視覺化工具的功能、目標、風險維度及儀表板概念提供清晰定義。</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8"/>
          <w:szCs w:val="38"/>
        </w:rPr>
      </w:pPr>
      <w:r w:rsidDel="00000000" w:rsidR="00000000" w:rsidRPr="00000000">
        <w:rPr>
          <w:rFonts w:ascii="Google Sans" w:cs="Google Sans" w:eastAsia="Google Sans" w:hAnsi="Google Sans"/>
          <w:b w:val="1"/>
          <w:bCs w:val="1"/>
          <w:i w:val="0"/>
          <w:iCs w:val="0"/>
          <w:color w:val="1b1c1d"/>
          <w:sz w:val="38"/>
          <w:szCs w:val="38"/>
          <w:rtl w:val="0"/>
        </w:rPr>
        <w:t xml:space="preserve">II. 關鍵市場圖表 (高頻/中頻)</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此類圖表旨在捕捉市場的即時動態、短期趨勢、市場情緒以及資金流動壓力，協助使用者判斷近期的風險水平。以下列出 5-7 個最重要的市場相關圖表：</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圖表 1：TWD/USD 即期匯率與移動平均線 (Moving Averages, MA)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TWD/USD 即期匯率（日線或小時線）、簡單移動平均線 (SMA) 或指數移動平均線 (EMA)，例如 5、10、20、50、100、200 週期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3-6 個月 (日線圖)；可縮放至更短週期如近 1 個月 (小時線) 供日內分析。</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即期匯率是核心監測對象。移動平均線有助於平滑短期價格波動，識別主要趨勢方向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36"/>
          <w:szCs w:val="36"/>
          <w:rtl w:val="0"/>
        </w:rPr>
        <w:t xml:space="preserve">。短期均線穿越長期均線可作為趨勢變化的潛在信號（例如，黃金交叉/死亡交叉）</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36"/>
          <w:szCs w:val="36"/>
          <w:rtl w:val="0"/>
        </w:rPr>
        <w:t xml:space="preserve">。價格相對於關鍵均線（如 200 日線）的位置，常被視為判斷市場處於牛市或熊市的依據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36"/>
          <w:szCs w:val="36"/>
          <w:rtl w:val="0"/>
        </w:rPr>
        <w:t xml:space="preserve">。在新台幣這樣有管理的市場中，觀察價格與均線的關係，有助於判斷當前走勢是由市場力量主導還是可能受到干預影響。偏離長期均線過遠可能增加回歸風險。</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圖表 2：TWD 無本金交割遠期外匯 (NDF) / 即期價差 (Basis) 走勢圖</w:t>
      </w:r>
    </w:p>
    <w:p w:rsidR="00000000" w:rsidDel="00000000" w:rsidP="00000000" w:rsidRDefault="00000000" w:rsidRPr="00000000" w14:paraId="0000000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TWD NDF 報價（例如 1 個月或 3 個月期）與 TWD/USD 即期匯率之間的價差 (Basis = NDF Rate - Spot Rate)。</w:t>
      </w:r>
    </w:p>
    <w:p w:rsidR="00000000" w:rsidDel="00000000" w:rsidP="00000000" w:rsidRDefault="00000000" w:rsidRPr="00000000" w14:paraId="0000000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3-6 個月 (日線圖)。</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NDF 是在離岸市場交易、針對不可自由兌換或流動性受限貨幣（如過去或特定情況下的 TWD）的遠期合約，以主要貨幣（如美元）進行現金結算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36"/>
          <w:szCs w:val="36"/>
          <w:rtl w:val="0"/>
        </w:rPr>
        <w:t xml:space="preserve">。NDF 市場參與者包括跨國企業、金融機構及對沖基金，用於避險或投機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36"/>
          <w:szCs w:val="36"/>
          <w:rtl w:val="0"/>
        </w:rPr>
        <w:t xml:space="preserve">。NDF/即期價差反映了市場對未來匯率的預期以及避險需求。價差擴大（NDF 貶值預期加深）通常暗示市場預期 TWD 走弱或避險需求增加，可能來自資本外流壓力或對未來風險的擔憂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36"/>
          <w:szCs w:val="36"/>
          <w:rtl w:val="0"/>
        </w:rPr>
        <w:t xml:space="preserve">。反之，價差收窄或轉為負值（NDF 升值預期）則暗示 TWD 升值預期或壓力減輕。此圖表是觀察離岸市場情緒和潛在資金流動壓力的重要窗口。</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圖表 3：TWD/USD 隱含波動率 (Implied Volatility, IV) 期限結構圖</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不同到期期限（例如 1 週、1 個月、3 個月、6 個月、1 年）的 TWD/USD 選擇權隱含波動率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當前期限結構快照 (Snapshot)，可輔以歷史走勢圖（例如近 3-6 個月，每日更新各期限 IV）。</w:t>
      </w:r>
    </w:p>
    <w:p w:rsidR="00000000" w:rsidDel="00000000" w:rsidP="00000000" w:rsidRDefault="00000000" w:rsidRPr="00000000" w14:paraId="0000001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隱含波動率反映市場對未來匯率波動幅度的預期。期限結構圖將不同到期日的 IV 連接成曲線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4">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曲線形態 (Slope)：</w:t>
      </w:r>
      <w:r w:rsidDel="00000000" w:rsidR="00000000" w:rsidRPr="00000000">
        <w:rPr>
          <w:rFonts w:ascii="Google Sans Text" w:cs="Google Sans Text" w:eastAsia="Google Sans Text" w:hAnsi="Google Sans Text"/>
          <w:i w:val="0"/>
          <w:iCs w:val="0"/>
          <w:color w:val="1b1c1d"/>
          <w:sz w:val="36"/>
          <w:szCs w:val="36"/>
          <w:rtl w:val="0"/>
        </w:rPr>
        <w:t xml:space="preserve"> 正常情況下（Contango），曲線向上傾斜，長天期 IV 高於短天期，反映未來不確定性隨時間增加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。若曲線向下傾斜（Backwardation），即短天期 IV 高於長天期，通常表示市場預期短期內有較大波動風險或特定事件衝擊，是市場壓力或恐慌情緒的信號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5">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曲線水平 (Level)：</w:t>
      </w:r>
      <w:r w:rsidDel="00000000" w:rsidR="00000000" w:rsidRPr="00000000">
        <w:rPr>
          <w:rFonts w:ascii="Google Sans Text" w:cs="Google Sans Text" w:eastAsia="Google Sans Text" w:hAnsi="Google Sans Text"/>
          <w:i w:val="0"/>
          <w:iCs w:val="0"/>
          <w:color w:val="1b1c1d"/>
          <w:sz w:val="36"/>
          <w:szCs w:val="36"/>
          <w:rtl w:val="0"/>
        </w:rPr>
        <w:t xml:space="preserve"> 整體 IV 水平上升，表示市場預期未來波動加劇，風險厭惡情緒升溫。</w:t>
      </w:r>
    </w:p>
    <w:p w:rsidR="00000000" w:rsidDel="00000000" w:rsidP="00000000" w:rsidRDefault="00000000" w:rsidRPr="00000000" w14:paraId="00000016">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曲率 (Curvature)：</w:t>
      </w:r>
      <w:r w:rsidDel="00000000" w:rsidR="00000000" w:rsidRPr="00000000">
        <w:rPr>
          <w:rFonts w:ascii="Google Sans Text" w:cs="Google Sans Text" w:eastAsia="Google Sans Text" w:hAnsi="Google Sans Text"/>
          <w:i w:val="0"/>
          <w:iCs w:val="0"/>
          <w:color w:val="1b1c1d"/>
          <w:sz w:val="36"/>
          <w:szCs w:val="36"/>
          <w:rtl w:val="0"/>
        </w:rPr>
        <w:t xml:space="preserve"> 曲線中間部分的變化（相對於兩端）也能提供信息，例如中段 IV 下降可能暗示短期波動預期減緩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36"/>
          <w:szCs w:val="36"/>
          <w:rtl w:val="0"/>
        </w:rPr>
        <w:t xml:space="preserve">。 分析 IV 期限結構的變化，有助於評估市場情緒、識別潛在壓力點，並判斷風險定價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圖表 4：TWD/USD 風險逆轉 (Risk Reversal, RR) 歷史走勢圖</w:t>
      </w:r>
    </w:p>
    <w:p w:rsidR="00000000" w:rsidDel="00000000" w:rsidP="00000000" w:rsidRDefault="00000000" w:rsidRPr="00000000" w14:paraId="0000001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特定 Delta 值（通常為 25 Delta）的 TWD/USD 買權 (Call) IV 減去賣權 (Put) 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3-6 個月或近 1 年 (日線圖)。</w:t>
      </w:r>
    </w:p>
    <w:p w:rsidR="00000000" w:rsidDel="00000000" w:rsidP="00000000" w:rsidRDefault="00000000" w:rsidRPr="00000000" w14:paraId="0000001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風險逆轉衡量市場對匯率上行風險（Call 需求）與下行風險（Put 需求）的相對定價，反映市場的偏度 (Skew) 或情緒傾向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B">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正值 (Positive RR)：</w:t>
      </w:r>
      <w:r w:rsidDel="00000000" w:rsidR="00000000" w:rsidRPr="00000000">
        <w:rPr>
          <w:rFonts w:ascii="Google Sans Text" w:cs="Google Sans Text" w:eastAsia="Google Sans Text" w:hAnsi="Google Sans Text"/>
          <w:i w:val="0"/>
          <w:iCs w:val="0"/>
          <w:color w:val="1b1c1d"/>
          <w:sz w:val="36"/>
          <w:szCs w:val="36"/>
          <w:rtl w:val="0"/>
        </w:rPr>
        <w:t xml:space="preserve"> 表示 OTM Call 的 IV 高於 OTM Put 的 IV，意味著市場更擔心（或更願意支付溢價對沖）TWD 相對於 USD 的意外升值風險，或者說市場整體偏向看漲 TWD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C">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負值 (Negative RR)：</w:t>
      </w:r>
      <w:r w:rsidDel="00000000" w:rsidR="00000000" w:rsidRPr="00000000">
        <w:rPr>
          <w:rFonts w:ascii="Google Sans Text" w:cs="Google Sans Text" w:eastAsia="Google Sans Text" w:hAnsi="Google Sans Text"/>
          <w:i w:val="0"/>
          <w:iCs w:val="0"/>
          <w:color w:val="1b1c1d"/>
          <w:sz w:val="36"/>
          <w:szCs w:val="36"/>
          <w:rtl w:val="0"/>
        </w:rPr>
        <w:t xml:space="preserve"> 表示 OTM Put 的 IV 高於 OTM Call 的 IV，意味著市場更擔心 TWD 相對於 USD 的意外貶值風險，對下行風險的定價更高，整體偏向看跌 TWD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 觀察 RR 的歷史趨勢，可以判斷市場情緒的變化方向及其強度，是評估匯率方向性風險的重要指標。</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E. 圖表 5：外資 (FPI) 累計流量與 TWD/USD 匯率疊圖</w:t>
      </w:r>
    </w:p>
    <w:p w:rsidR="00000000" w:rsidDel="00000000" w:rsidP="00000000" w:rsidRDefault="00000000" w:rsidRPr="00000000" w14:paraId="0000001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外資在台灣股市的累計買賣超金額（例如以新台幣或美元計價）、TWD/USD 即期匯率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F">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1-3 年 (月度或季度累計流量 vs. 日/週/月匯率)。數據頻率依可取得性而定，季度數據較易取得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36"/>
          <w:szCs w:val="36"/>
          <w:rtl w:val="0"/>
        </w:rPr>
        <w:t xml:space="preserve">，月度數據或代理指標可能存在。</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外資是影響台股和新台幣匯率的關鍵力量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36"/>
          <w:szCs w:val="36"/>
          <w:rtl w:val="0"/>
        </w:rPr>
        <w:t xml:space="preserve">。此圖直觀展示兩者關係。通常情況下，外資持續淨匯入 (Net Inflow) 會推升台股，同時增加對新台幣的需求，導致 TWD 升值（USD/TWD 下降）；反之，外資持續淨匯出 (Net Outflow) 則壓低台股，增加新台幣的供給壓力，導致 TWD 貶值（USD/TWD 上升）</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36"/>
          <w:szCs w:val="36"/>
          <w:rtl w:val="0"/>
        </w:rPr>
        <w:t xml:space="preserve">。監測 FPI 流量的變化方向和規模，有助於預判 TWD 的中期趨勢和潛在壓力。例如，Q3 常因外資領取股利後匯出而對 TWD 產生季節性貶值壓力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F. 圖表 6：VIX 指數與 TWD/USD 匯率疊圖</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Cboe 波動率指數 (VIX)、TWD/USD 即期匯率。</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1-3 年 (日線圖)。</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VIX 指數被視為衡量全球市場風險情緒的「恐慌指數」</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36"/>
          <w:szCs w:val="36"/>
          <w:rtl w:val="0"/>
        </w:rPr>
        <w:t xml:space="preserve">，反映 S&amp;P 500 指數選擇權的預期波動率。通常，VIX 飆升代表全球避險情緒升溫。在這種情況下，資金傾向從風險較高的新興市場流出，轉向美元等避險資產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36"/>
          <w:szCs w:val="36"/>
          <w:rtl w:val="0"/>
        </w:rPr>
        <w:t xml:space="preserve">。這可能導致 FPI 賣超台股並匯出資金，對 TWD 造成貶值壓力。觀察 VIX 與 TWD/USD 的歷史關係（通常呈正相關，即 VIX 上升，USD/TWD 上升），有助於判斷 TWD 的波動是否受到全球風險情緒變化的影響。TWD 作為 EM-VXY 指數的組成部分之一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36"/>
          <w:szCs w:val="36"/>
          <w:rtl w:val="0"/>
        </w:rPr>
        <w:t xml:space="preserve">，也表明其與新興市場整體風險情緒聯動。</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G. 圖表 7：成交量分析圖 (代理指標)</w:t>
      </w:r>
    </w:p>
    <w:p w:rsidR="00000000" w:rsidDel="00000000" w:rsidP="00000000" w:rsidRDefault="00000000" w:rsidRPr="00000000" w14:paraId="00000026">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由於外匯市場主要是場外交易 (OTC)，真實成交量難以取得。可使用代理指標，如：</w:t>
      </w:r>
    </w:p>
    <w:p w:rsidR="00000000" w:rsidDel="00000000" w:rsidP="00000000" w:rsidRDefault="00000000" w:rsidRPr="00000000" w14:paraId="00000027">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期貨市場成交量：</w:t>
      </w:r>
      <w:r w:rsidDel="00000000" w:rsidR="00000000" w:rsidRPr="00000000">
        <w:rPr>
          <w:rFonts w:ascii="Google Sans Text" w:cs="Google Sans Text" w:eastAsia="Google Sans Text" w:hAnsi="Google Sans Text"/>
          <w:i w:val="0"/>
          <w:iCs w:val="0"/>
          <w:color w:val="1b1c1d"/>
          <w:sz w:val="36"/>
          <w:szCs w:val="36"/>
          <w:rtl w:val="0"/>
        </w:rPr>
        <w:t xml:space="preserve"> 若有 TWD 期貨合約，可觀察其成交量變化。</w:t>
      </w:r>
    </w:p>
    <w:p w:rsidR="00000000" w:rsidDel="00000000" w:rsidP="00000000" w:rsidRDefault="00000000" w:rsidRPr="00000000" w14:paraId="0000002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Tick Volume：</w:t>
      </w:r>
      <w:r w:rsidDel="00000000" w:rsidR="00000000" w:rsidRPr="00000000">
        <w:rPr>
          <w:rFonts w:ascii="Google Sans Text" w:cs="Google Sans Text" w:eastAsia="Google Sans Text" w:hAnsi="Google Sans Text"/>
          <w:i w:val="0"/>
          <w:iCs w:val="0"/>
          <w:color w:val="1b1c1d"/>
          <w:sz w:val="36"/>
          <w:szCs w:val="36"/>
          <w:rtl w:val="0"/>
        </w:rPr>
        <w:t xml:space="preserve"> 衡量價格變動頻率，作為活躍度的代理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On-Balance Volume (OBV)：</w:t>
      </w:r>
      <w:r w:rsidDel="00000000" w:rsidR="00000000" w:rsidRPr="00000000">
        <w:rPr>
          <w:rFonts w:ascii="Google Sans Text" w:cs="Google Sans Text" w:eastAsia="Google Sans Text" w:hAnsi="Google Sans Text"/>
          <w:i w:val="0"/>
          <w:iCs w:val="0"/>
          <w:color w:val="1b1c1d"/>
          <w:sz w:val="36"/>
          <w:szCs w:val="36"/>
          <w:rtl w:val="0"/>
        </w:rPr>
        <w:t xml:space="preserve"> 累計成交量指標，結合價格變動方向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3-6 個月 (日線圖)。</w:t>
      </w:r>
    </w:p>
    <w:p w:rsidR="00000000" w:rsidDel="00000000" w:rsidP="00000000" w:rsidRDefault="00000000" w:rsidRPr="00000000" w14:paraId="0000002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成交量（或其代理指標）反映市場參與程度和趨勢的強度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C">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價漲量增/價跌量增：</w:t>
      </w:r>
      <w:r w:rsidDel="00000000" w:rsidR="00000000" w:rsidRPr="00000000">
        <w:rPr>
          <w:rFonts w:ascii="Google Sans Text" w:cs="Google Sans Text" w:eastAsia="Google Sans Text" w:hAnsi="Google Sans Text"/>
          <w:i w:val="0"/>
          <w:iCs w:val="0"/>
          <w:color w:val="1b1c1d"/>
          <w:sz w:val="36"/>
          <w:szCs w:val="36"/>
          <w:rtl w:val="0"/>
        </w:rPr>
        <w:t xml:space="preserve"> 確認當前趨勢的強度和可持續性。</w:t>
      </w:r>
    </w:p>
    <w:p w:rsidR="00000000" w:rsidDel="00000000" w:rsidP="00000000" w:rsidRDefault="00000000" w:rsidRPr="00000000" w14:paraId="0000002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價漲量縮/價跌量縮：</w:t>
      </w:r>
      <w:r w:rsidDel="00000000" w:rsidR="00000000" w:rsidRPr="00000000">
        <w:rPr>
          <w:rFonts w:ascii="Google Sans Text" w:cs="Google Sans Text" w:eastAsia="Google Sans Text" w:hAnsi="Google Sans Text"/>
          <w:i w:val="0"/>
          <w:iCs w:val="0"/>
          <w:color w:val="1b1c1d"/>
          <w:sz w:val="36"/>
          <w:szCs w:val="36"/>
          <w:rtl w:val="0"/>
        </w:rPr>
        <w:t xml:space="preserve"> 可能預示趨勢動能減弱，潛在反轉風險增加。</w:t>
      </w:r>
    </w:p>
    <w:p w:rsidR="00000000" w:rsidDel="00000000" w:rsidP="00000000" w:rsidRDefault="00000000" w:rsidRPr="00000000" w14:paraId="0000002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突破關鍵價位伴隨大量：</w:t>
      </w:r>
      <w:r w:rsidDel="00000000" w:rsidR="00000000" w:rsidRPr="00000000">
        <w:rPr>
          <w:rFonts w:ascii="Google Sans Text" w:cs="Google Sans Text" w:eastAsia="Google Sans Text" w:hAnsi="Google Sans Text"/>
          <w:i w:val="0"/>
          <w:iCs w:val="0"/>
          <w:color w:val="1b1c1d"/>
          <w:sz w:val="36"/>
          <w:szCs w:val="36"/>
          <w:rtl w:val="0"/>
        </w:rPr>
        <w:t xml:space="preserve"> 增加突破的有效性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F">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盤整期量能變化：</w:t>
      </w:r>
      <w:r w:rsidDel="00000000" w:rsidR="00000000" w:rsidRPr="00000000">
        <w:rPr>
          <w:rFonts w:ascii="Google Sans Text" w:cs="Google Sans Text" w:eastAsia="Google Sans Text" w:hAnsi="Google Sans Text"/>
          <w:i w:val="0"/>
          <w:iCs w:val="0"/>
          <w:color w:val="1b1c1d"/>
          <w:sz w:val="36"/>
          <w:szCs w:val="36"/>
          <w:rtl w:val="0"/>
        </w:rPr>
        <w:t xml:space="preserve"> OBV 在盤整期上升可能預示向上突破，反之亦然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36"/>
          <w:szCs w:val="36"/>
          <w:rtl w:val="0"/>
        </w:rPr>
        <w:t xml:space="preserve">。 儘管 TWD 交易量相對較低且市場可能受干預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，但顯著的成交量變化仍可能提供有關市場動能和潛在轉折點的線索。例如，外匯選擇權成交量的增加可能預示未來匯率波動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H. 總結表：關鍵市場圖表</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圖表編號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圖表名稱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時間範圍/頻率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風險關聯/洞察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TWD/USD 即期匯率與移動平均線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即期匯率 (日/時), 移動平均線 (SMA/EMA, e.g., 5, 20, 50, 200)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3-6 個月 (日/時)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識別短期趨勢、支撐/阻力、判斷市場狀態、評估趨勢強度。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TWD NDF/即期價差 (Basis) 走勢圖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NDF (1M/3M) - 即期匯率價差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3-6 個月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反映離岸市場對 TWD 的預期與避險需求，價差擴大暗示貶值壓力/風險增加。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TWD/USD 隱含波動率 (IV) 期限結構圖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不同到期日 (e.g., 1W, 1M, 3M, 6M, 1Y) 的 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即時快照 + 歷史走勢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評估市場對未來波動的預期。曲線形態 (Contango/Backwardation) 和水平變化反映市場壓力、風險定價及情緒。</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TWD/USD 風險逆轉 (RR) 歷史走勢圖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 Delta Call IV - Put 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6 個月 - 1 年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衡量市場對上行 vs. 下行風險的相對定價，反映市場偏度與方向性預期。負值表示偏向貶值風險。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外資 (FPI) 累計流量與 TWD/USD 匯率疊圖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累計 FPI 淨買賣超 (NTD/USD), TWD/USD 即期匯率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1-3 年 (月/季)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揭示外資流動對 TWD 的影響。淨流入通常伴隨 TWD 升值，反之亦然。監測中期資金流動壓力。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VIX 指數與 TWD/USD 匯率疊圖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VIX 指數, TWD/USD 即期匯率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1-3 年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監測全球風險情緒對 TWD 的影響。VIX 上升 (避險) 常引發 FPI 流出，對 TWD 產生貶值壓力。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成交量分析圖 (代理指標)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Tick Volume 或 On-Balance Volume (OBV)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3-6 個月 (日)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作為市場活躍度和趨勢強度的代理指標。量價關係可確認趨勢或預示反轉，儘管 TWD 市場特性需考量。</w:t>
            </w:r>
          </w:p>
        </w:tc>
      </w:tr>
    </w:tbl>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8"/>
          <w:szCs w:val="38"/>
        </w:rPr>
      </w:pPr>
      <w:r w:rsidDel="00000000" w:rsidR="00000000" w:rsidRPr="00000000">
        <w:rPr>
          <w:rFonts w:ascii="Google Sans" w:cs="Google Sans" w:eastAsia="Google Sans" w:hAnsi="Google Sans"/>
          <w:b w:val="1"/>
          <w:bCs w:val="1"/>
          <w:i w:val="0"/>
          <w:iCs w:val="0"/>
          <w:color w:val="1b1c1d"/>
          <w:sz w:val="38"/>
          <w:szCs w:val="38"/>
          <w:rtl w:val="0"/>
        </w:rPr>
        <w:t xml:space="preserve">III. 宏觀背景圖表 (低頻/長期)</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此類圖表用於呈現影響 TWD/USD 匯率的長期基本面因素、結構性趨勢以及潛在的宏觀風險。</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圖表 8：台美利差歷史走勢圖</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台灣與美國關鍵利率之間的差距。可選用：</w:t>
      </w:r>
    </w:p>
    <w:p w:rsidR="00000000" w:rsidDel="00000000" w:rsidP="00000000" w:rsidRDefault="00000000" w:rsidRPr="00000000" w14:paraId="0000005E">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政策利率利差：</w:t>
      </w:r>
      <w:r w:rsidDel="00000000" w:rsidR="00000000" w:rsidRPr="00000000">
        <w:rPr>
          <w:rFonts w:ascii="Google Sans Text" w:cs="Google Sans Text" w:eastAsia="Google Sans Text" w:hAnsi="Google Sans Text"/>
          <w:i w:val="0"/>
          <w:iCs w:val="0"/>
          <w:color w:val="1b1c1d"/>
          <w:sz w:val="36"/>
          <w:szCs w:val="36"/>
          <w:rtl w:val="0"/>
        </w:rPr>
        <w:t xml:space="preserve"> 台灣央行重貼現率 (CBC Discount Rate) - 美國聯邦基金目標利率 (Fed Funds Target Rate)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5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10 年期公債殖利率利差：</w:t>
      </w:r>
      <w:r w:rsidDel="00000000" w:rsidR="00000000" w:rsidRPr="00000000">
        <w:rPr>
          <w:rFonts w:ascii="Google Sans Text" w:cs="Google Sans Text" w:eastAsia="Google Sans Text" w:hAnsi="Google Sans Text"/>
          <w:i w:val="0"/>
          <w:iCs w:val="0"/>
          <w:color w:val="1b1c1d"/>
          <w:sz w:val="36"/>
          <w:szCs w:val="36"/>
          <w:rtl w:val="0"/>
        </w:rPr>
        <w:t xml:space="preserve"> 台灣 10 年期公債殖利率 - 美國 10 年期公債殖利率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5-10 年 (月度或季度數據)。</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利差是驅動國際資本流動的核心因素之一。當美國利率（或市場預期的未來利率，反映在長債殖利率上）相對於台灣顯著升高時，利差擴大（對美元有利），會吸引資金流向美元資產，增加 TWD 的貶值壓力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iCs w:val="0"/>
          <w:color w:val="1b1c1d"/>
          <w:sz w:val="36"/>
          <w:szCs w:val="36"/>
          <w:rtl w:val="0"/>
        </w:rPr>
        <w:t xml:space="preserve">。反之，若利差收窄或有利於台灣，則可能支撐 TWD。此圖表監測兩國貨幣政策的相對立場及其對資本流動的長期影響，為短期市場波動提供基本面背景。</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圖表 9：台灣經常帳餘額佔 GDP 比重趨勢圖</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台灣經常帳餘額 (Current Account Balance) 除以名目 GDP (Nominal GDP) 的百分比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10-20 年 (季度數據)。</w:t>
      </w:r>
    </w:p>
    <w:p w:rsidR="00000000" w:rsidDel="00000000" w:rsidP="00000000" w:rsidRDefault="00000000" w:rsidRPr="00000000" w14:paraId="0000006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此指標反映台灣的結構性外部收支狀況。台灣長期維持龐大的經常帳順差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，2024 年底達到 GDP 的 16.4%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。這代表台灣透過商品與服務貿易淨賺取大量外匯，為 TWD 提供了強勁的長期基本面支撐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。持續的高順差意味著對 TWD 的結構性需求，並有助於累積外匯存底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。然而，過高的順差也可能引發國際壓力，要求 TWD 升值，或面臨貿易夥伴的保護主義措施，構成潛在風險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。此圖表有助於理解 TWD 的長期價值基礎及其結構性風險。</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圖表 10：台灣/美國 CPI 年增率對比圖</w:t>
      </w:r>
    </w:p>
    <w:p w:rsidR="00000000" w:rsidDel="00000000" w:rsidP="00000000" w:rsidRDefault="00000000" w:rsidRPr="00000000" w14:paraId="0000006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台灣消費者物價指數 (CPI) 年增率 (%) vs. 美國 CPI 年增率 (%)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5-10 年 (月度數據)。</w:t>
      </w:r>
    </w:p>
    <w:p w:rsidR="00000000" w:rsidDel="00000000" w:rsidP="00000000" w:rsidRDefault="00000000" w:rsidRPr="00000000" w14:paraId="0000006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相對通膨率影響兩國貨幣的實質購買力以及央行的政策反應。根據購買力平價理論 (PPP)，長期來看，通膨較高的國家貨幣有貶值壓力，以維持國際競爭力。更直接的影響是，通膨差異會影響市場對未來利率路徑的預期。若台灣通膨持續顯著高於美國，可能促使 CBC 採取更緊縮的政策（相對於 Fed），反之亦然。此圖表為理解名目利率差異（圖表 8）提供了通膨背景，並有助於評估長期的實質匯率壓力。</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圖表 11：美元指數 (DXY) 長期走勢圖</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美元指數 (DXY)，衡量美元對一籃子主要已開發國家貨幣的價值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10-20 年 (週線或月線數據)。</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DXY 反映了美元在全球範圍內的整體強弱趨勢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36"/>
          <w:szCs w:val="36"/>
          <w:rtl w:val="0"/>
        </w:rPr>
        <w:t xml:space="preserve">。雖然 TWD 不在 DXY 的成分貨幣中，但全球資本流動和風險情緒的重大轉變通常會體現在 DXY 的走勢上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。觀察 DXY 的長期趨勢有助於區分 TWD/USD 的變動是源於 TWD 的特定因素，還是受到全球美元大趨勢的影響。例如，在 DXY 強勁上漲的時期，大多數貨幣（包括 TWD）都可能對美元貶值，反之亦然。這為分析 TWD 的相對表現提供了重要的宏觀背景。</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E. 圖表 12：台灣外匯存底變動圖</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w:t>
      </w:r>
      <w:r w:rsidDel="00000000" w:rsidR="00000000" w:rsidRPr="00000000">
        <w:rPr>
          <w:rFonts w:ascii="Google Sans Text" w:cs="Google Sans Text" w:eastAsia="Google Sans Text" w:hAnsi="Google Sans Text"/>
          <w:i w:val="0"/>
          <w:iCs w:val="0"/>
          <w:color w:val="1b1c1d"/>
          <w:sz w:val="36"/>
          <w:szCs w:val="36"/>
          <w:rtl w:val="0"/>
        </w:rPr>
        <w:t xml:space="preserve"> 台灣外匯存底總額 (美元計價)，可疊加月度變動金額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時間範圍/頻率：</w:t>
      </w:r>
      <w:r w:rsidDel="00000000" w:rsidR="00000000" w:rsidRPr="00000000">
        <w:rPr>
          <w:rFonts w:ascii="Google Sans Text" w:cs="Google Sans Text" w:eastAsia="Google Sans Text" w:hAnsi="Google Sans Text"/>
          <w:i w:val="0"/>
          <w:iCs w:val="0"/>
          <w:color w:val="1b1c1d"/>
          <w:sz w:val="36"/>
          <w:szCs w:val="36"/>
          <w:rtl w:val="0"/>
        </w:rPr>
        <w:t xml:space="preserve"> 近 5-10 年 (月度數據)。</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風險關聯/洞察：</w:t>
      </w:r>
      <w:r w:rsidDel="00000000" w:rsidR="00000000" w:rsidRPr="00000000">
        <w:rPr>
          <w:rFonts w:ascii="Google Sans Text" w:cs="Google Sans Text" w:eastAsia="Google Sans Text" w:hAnsi="Google Sans Text"/>
          <w:i w:val="0"/>
          <w:iCs w:val="0"/>
          <w:color w:val="1b1c1d"/>
          <w:sz w:val="36"/>
          <w:szCs w:val="36"/>
          <w:rtl w:val="0"/>
        </w:rPr>
        <w:t xml:space="preserve"> 外匯存底規模反映了台灣對外支付能力和抵禦外部衝擊的緩衝。其變動主要來自經常帳餘額、資本流動以及央行的干預操作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36"/>
          <w:szCs w:val="36"/>
          <w:rtl w:val="0"/>
        </w:rPr>
        <w:t xml:space="preserve">。在排除已知的經常帳流入和 FPI 流動後，外匯存底的異常大幅變動，特別是當 TWD 匯率表現與市場基本面背離時，往往暗示央行可能進行了干預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。例如，若 TWD 在面臨貶值壓力時保持相對穩定，同時外匯存底顯著減少，則可能表示央行拋售美元以支撐 TWD。持續增加的儲備通常被視為穩定的象徵，但也可能反映央行正在抑制 TWD 的升值壓力。此圖表提供了觀察央行潛在市場操作及其穩定市場能力的窗口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F. 總結表：宏觀背景圖表</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圖表編號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圖表名稱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時間範圍/頻率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風險關聯/洞察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台美利差歷史走勢圖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政策利率利差 (CBC vs. Fed) 或 10 年期公債殖利率利差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5-10 年 (月/季)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監測貨幣政策分歧對資本流動的長期影響。利差擴大（有利美元）通常對 TWD 構成貶值壓力。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台灣經常帳餘額佔 GDP 比重趨勢圖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經常帳餘額 / 名目 GDP (%)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10-20 年 (季)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反映結構性外部收支狀況。長期高順差為 TWD 提供基本面支撐，但也可能帶來升值壓力或貿易摩擦風險。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台灣/美國 CPI 年增率對比圖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 CPI 年增率 (%) vs. 美國 CPI 年增率 (%)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5-10 年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監測相對通膨趨勢，影響實質匯率、競爭力及央行政策預期。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美元指數 (DXY) 長期走勢圖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DXY 指數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10-20 年 (週/月)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提供全球美元強弱背景。有助於區分 TWD 特定因素與全球美元趨勢對 TWD/USD 的影響。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台灣外匯存底變動圖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外匯存底總額 (USD) 及月度變動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近 5-10 年 (月)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反映外部緩衝能力及潛在央行干預活動。異常變動可能暗示市場壓力或央行操作，影響 TWD 穩定性預期。</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8"/>
          <w:szCs w:val="38"/>
        </w:rPr>
      </w:pPr>
      <w:r w:rsidDel="00000000" w:rsidR="00000000" w:rsidRPr="00000000">
        <w:rPr>
          <w:rFonts w:ascii="Google Sans" w:cs="Google Sans" w:eastAsia="Google Sans" w:hAnsi="Google Sans"/>
          <w:b w:val="1"/>
          <w:bCs w:val="1"/>
          <w:i w:val="0"/>
          <w:iCs w:val="0"/>
          <w:color w:val="1b1c1d"/>
          <w:sz w:val="38"/>
          <w:szCs w:val="38"/>
          <w:rtl w:val="0"/>
        </w:rPr>
        <w:t xml:space="preserve">IV. 圖表整合與儀表板設計</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將上述圖表有效地整合到一個儀表板界面中，對於工具的實用性至關重要。設計應遵循以下原則並包含必要的互動功能：</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儀表板佈局原則</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視覺層次 (Visual Hierarchy)：</w:t>
      </w:r>
      <w:r w:rsidDel="00000000" w:rsidR="00000000" w:rsidRPr="00000000">
        <w:rPr>
          <w:rFonts w:ascii="Google Sans Text" w:cs="Google Sans Text" w:eastAsia="Google Sans Text" w:hAnsi="Google Sans Text"/>
          <w:i w:val="0"/>
          <w:iCs w:val="0"/>
          <w:color w:val="1b1c1d"/>
          <w:sz w:val="36"/>
          <w:szCs w:val="36"/>
          <w:rtl w:val="0"/>
        </w:rPr>
        <w:t xml:space="preserve"> 儀表板佈局應有清晰的視覺層次。最重要、更新頻率最高的指標（如即期匯率、NDF Basis、即時 IV/RR）應放置在最顯眼的位置（例如頂部或左上角）</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。相關圖表應分組放置，例如將市場情緒指標（IV, RR）放在一起，資金流動指標（FPI, VIX）放在一起，宏觀背景圖表則可放置在下方或單獨的標籤頁中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清晰簡潔 (Clarity and Simplicity)：</w:t>
      </w:r>
      <w:r w:rsidDel="00000000" w:rsidR="00000000" w:rsidRPr="00000000">
        <w:rPr>
          <w:rFonts w:ascii="Google Sans Text" w:cs="Google Sans Text" w:eastAsia="Google Sans Text" w:hAnsi="Google Sans Text"/>
          <w:i w:val="0"/>
          <w:iCs w:val="0"/>
          <w:color w:val="1b1c1d"/>
          <w:sz w:val="36"/>
          <w:szCs w:val="36"/>
          <w:rtl w:val="0"/>
        </w:rPr>
        <w:t xml:space="preserve"> 每個圖表都應有明確的標題、座標軸標籤和圖例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。避免在主視圖中塞入過多圖表或信息，保持界面整潔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。使用一致的顏色方案、字體和圖標，提升視覺一致性和可讀性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。根據數據類型選擇最合適的圖表類型，例如用線圖展示趨勢，柱狀圖進行比較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用戶中心 (User Focus)：</w:t>
      </w:r>
      <w:r w:rsidDel="00000000" w:rsidR="00000000" w:rsidRPr="00000000">
        <w:rPr>
          <w:rFonts w:ascii="Google Sans Text" w:cs="Google Sans Text" w:eastAsia="Google Sans Text" w:hAnsi="Google Sans Text"/>
          <w:i w:val="0"/>
          <w:iCs w:val="0"/>
          <w:color w:val="1b1c1d"/>
          <w:sz w:val="36"/>
          <w:szCs w:val="36"/>
          <w:rtl w:val="0"/>
        </w:rPr>
        <w:t xml:space="preserve"> 設計需考慮目標用戶（交易員、風險經理）的需求和工作流程。優先顯示對他們決策最關鍵的指標 (KPIs/KRIs)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必要的互動功能</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縮放與平移 (Zooming and Panning)：</w:t>
      </w:r>
      <w:r w:rsidDel="00000000" w:rsidR="00000000" w:rsidRPr="00000000">
        <w:rPr>
          <w:rFonts w:ascii="Google Sans Text" w:cs="Google Sans Text" w:eastAsia="Google Sans Text" w:hAnsi="Google Sans Text"/>
          <w:i w:val="0"/>
          <w:iCs w:val="0"/>
          <w:color w:val="1b1c1d"/>
          <w:sz w:val="36"/>
          <w:szCs w:val="36"/>
          <w:rtl w:val="0"/>
        </w:rPr>
        <w:t xml:space="preserve"> 使用者應能夠在時間序列圖表（如匯率、FPI 流量、VIX）上縮放特定時間段進行細節分析，並能左右平移檢視歷史數據（基礎圖表功能）。</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時間範圍選擇 (Timeframe Selection)：</w:t>
      </w:r>
      <w:r w:rsidDel="00000000" w:rsidR="00000000" w:rsidRPr="00000000">
        <w:rPr>
          <w:rFonts w:ascii="Google Sans Text" w:cs="Google Sans Text" w:eastAsia="Google Sans Text" w:hAnsi="Google Sans Text"/>
          <w:i w:val="0"/>
          <w:iCs w:val="0"/>
          <w:color w:val="1b1c1d"/>
          <w:sz w:val="36"/>
          <w:szCs w:val="36"/>
          <w:rtl w:val="0"/>
        </w:rPr>
        <w:t xml:space="preserve"> 提供便捷的控制項（如按鈕組、下拉選單或滑塊），讓使用者可以輕鬆切換所有相關圖表的時間範圍（例如 1 個月、3 個月、6 個月、1 年、5 年、全部）</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。確保時間軸同步，以便比較不同指標在同一時期的表現。</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懸停效果/工具提示 (Hover Effects/Tooltips)：</w:t>
      </w:r>
      <w:r w:rsidDel="00000000" w:rsidR="00000000" w:rsidRPr="00000000">
        <w:rPr>
          <w:rFonts w:ascii="Google Sans Text" w:cs="Google Sans Text" w:eastAsia="Google Sans Text" w:hAnsi="Google Sans Text"/>
          <w:i w:val="0"/>
          <w:iCs w:val="0"/>
          <w:color w:val="1b1c1d"/>
          <w:sz w:val="36"/>
          <w:szCs w:val="36"/>
          <w:rtl w:val="0"/>
        </w:rPr>
        <w:t xml:space="preserve"> 當滑鼠懸停在圖表元素（如數據點、線條、柱狀）上時，應顯示包含精確數值、日期、指標定義或其他相關信息的工具提示框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。這能在不使主畫面雜亂的情況下提供詳細信息。</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篩選 (Filtering)：</w:t>
      </w:r>
      <w:r w:rsidDel="00000000" w:rsidR="00000000" w:rsidRPr="00000000">
        <w:rPr>
          <w:rFonts w:ascii="Google Sans Text" w:cs="Google Sans Text" w:eastAsia="Google Sans Text" w:hAnsi="Google Sans Text"/>
          <w:i w:val="0"/>
          <w:iCs w:val="0"/>
          <w:color w:val="1b1c1d"/>
          <w:sz w:val="36"/>
          <w:szCs w:val="36"/>
          <w:rtl w:val="0"/>
        </w:rPr>
        <w:t xml:space="preserve"> 至少應提供按日期範圍篩選數據的功能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。若數據允許，可考慮增加更高級的篩選器，例如按特定事件（如央行會議、重大數據發布）或市場狀態（如 VIX &gt; 25 的高波動時期）篩選數據，以分析特定情境下的市場反應。</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指標疊加/比較 (Indicator Overlay/Comparison)：</w:t>
      </w:r>
      <w:r w:rsidDel="00000000" w:rsidR="00000000" w:rsidRPr="00000000">
        <w:rPr>
          <w:rFonts w:ascii="Google Sans Text" w:cs="Google Sans Text" w:eastAsia="Google Sans Text" w:hAnsi="Google Sans Text"/>
          <w:i w:val="0"/>
          <w:iCs w:val="0"/>
          <w:color w:val="1b1c1d"/>
          <w:sz w:val="36"/>
          <w:szCs w:val="36"/>
          <w:rtl w:val="0"/>
        </w:rPr>
        <w:t xml:space="preserve"> 允許使用者在同一圖表上疊加相關指標，例如將 FPI 累計流量直接疊加在 TWD/USD 匯率圖上，或比較不同期限的 IV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。另一種方式是圖表聯動，當使用者在一個圖表上選擇或懸停某個數據點時，相關聯的圖表會自動高亮顯示對應時期的數據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下鑽 (Drill-Downs) (潛在功能)：</w:t>
      </w:r>
      <w:r w:rsidDel="00000000" w:rsidR="00000000" w:rsidRPr="00000000">
        <w:rPr>
          <w:rFonts w:ascii="Google Sans Text" w:cs="Google Sans Text" w:eastAsia="Google Sans Text" w:hAnsi="Google Sans Text"/>
          <w:i w:val="0"/>
          <w:iCs w:val="0"/>
          <w:color w:val="1b1c1d"/>
          <w:sz w:val="36"/>
          <w:szCs w:val="36"/>
          <w:rtl w:val="0"/>
        </w:rPr>
        <w:t xml:space="preserve"> 雖然初版可能較複雜，但未來可考慮增加下鑽功能。例如，使用者可以從總 FPI 流量下鑽到按產業別或來源地的細分數據（如果能取得此類數據）</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透過互動性整合分析視角</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儀表板的真正價值在於幫助使用者理解不同指標之間的相互關聯，而不僅僅是展示孤立的數據點。互動功能是實現這一目標的關鍵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。例如：</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使用者觀察到 NDF/Spot Basis 擴大（圖表 2），暗示貶值壓力增加。他們可以透過懸停效果查看確切數值，縮放檢視近期變化，並同時查看相同時間段的 IV 期限結構（圖表 3）是否呈現 Backwardation，以及 RR（圖表 4）是否為負值且持續下降，以確認選擇權市場是否反映了同樣的壓力與看跌情緒。</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使用者看到 FPI 出現急劇的淨流出（圖表 5）。他們可以立即疊加 VIX 指數（圖表 6）檢查是否與全球避險情緒升溫同步發生，查看外匯存底的月度變化（圖表 12）判斷央行是否有干預跡象，並利用縮放和篩選功能仔細檢視即期匯率（圖表 1）在該特定流出期間的反應模式。</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36"/>
          <w:szCs w:val="36"/>
          <w:rtl w:val="0"/>
        </w:rPr>
        <w:t xml:space="preserve">觀察到台美利差（圖表 8）持續擴大有利美元。使用者可以檢視 FPI 流量（圖表 5）是否呈現相應的流出趨勢，並觀察 TWD/USD 即期匯率（圖表 1）是否反映了這種基本面壓力，或者是否存在其他因素（如強勁的經常帳順差 - 圖表 9，或央行干預 - 圖表 12）在抵銷這種影響。</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這種互動式的探索過程，使得使用者能夠主動驗證各種市場傳聞或分析假設（例如 VIX -&gt; FPI -&gt; TWD；利差 -&gt; FPI；干預 -&gt; 儲備/匯率），將不同維度的信息綜合起來，形成對 TWD 風險狀況更全面、更深入的判斷。</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總結表：互動功能</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功能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TWD 風險分析應用範例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重要性級別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縮放與平移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在時間軸上放大/縮小特定區間，左右移動檢視歷史數據。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詳細檢視特定事件（如 Fed 會議、台灣選舉）前後的匯率、IV、FPI 變化。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時間範圍選擇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快速切換圖表顯示的時間長度（1M, 3M, 1Y, 5Y 等），多圖表同步。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比較短期波動與長期趨勢；在不同時間尺度上評估指標的相關性。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懸停效果/工具提示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滑鼠懸停時顯示數據點的確切數值、日期、指標定義等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快速獲取匯率、IV、RR、FPI 流量的精確數值，無需查閱數據表。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篩選 (日期)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根據使用者選擇的日期範圍顯示數據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分析特定時期（如某季度、某次危機期間）的市場表現與風險指標變化。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指標疊加/圖表聯動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在同一圖表上疊加多個指標，或使不同圖表間數據產生關聯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將 FPI 流量疊加在匯率圖上直觀比較；懸停 VIX 峰值時，觀察 FPI 和 TWD 圖表的對應反應。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篩選 (事件/狀態) (進階)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按特定事件標籤或市場狀態（如 VIX 水平）篩選數據。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分析特定類型事件（如地緣政治風險升級）對 TWD 的平均影響；比較高/低波動環境下的 FPI 行為。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下鑽 (進階)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從匯總數據深入到更細粒度的數據層級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若數據允許，分析 FPI 流出來自哪個區域或哪個產業，以判斷其性質和影響範圍。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 (初版)</w:t>
            </w:r>
          </w:p>
        </w:tc>
      </w:tr>
    </w:tbl>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8"/>
          <w:szCs w:val="38"/>
        </w:rPr>
      </w:pPr>
      <w:r w:rsidDel="00000000" w:rsidR="00000000" w:rsidRPr="00000000">
        <w:rPr>
          <w:rFonts w:ascii="Google Sans" w:cs="Google Sans" w:eastAsia="Google Sans" w:hAnsi="Google Sans"/>
          <w:b w:val="1"/>
          <w:bCs w:val="1"/>
          <w:i w:val="0"/>
          <w:iCs w:val="0"/>
          <w:color w:val="1b1c1d"/>
          <w:sz w:val="38"/>
          <w:szCs w:val="38"/>
          <w:rtl w:val="0"/>
        </w:rPr>
        <w:t xml:space="preserve">V. 結論與建議</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關鍵圖表總結</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一個有效的 TWD/USD 風險視覺化工具應整合兩類關鍵圖表：</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市場指標 (高/中頻)：</w:t>
      </w:r>
      <w:r w:rsidDel="00000000" w:rsidR="00000000" w:rsidRPr="00000000">
        <w:rPr>
          <w:rFonts w:ascii="Google Sans Text" w:cs="Google Sans Text" w:eastAsia="Google Sans Text" w:hAnsi="Google Sans Text"/>
          <w:i w:val="0"/>
          <w:iCs w:val="0"/>
          <w:color w:val="1b1c1d"/>
          <w:sz w:val="36"/>
          <w:szCs w:val="36"/>
          <w:rtl w:val="0"/>
        </w:rPr>
        <w:t xml:space="preserve"> 包括 TWD/USD 即期匯率與移動平均線、NDF/即期價差、隱含波動率期限結構、風險逆轉、外資累計流量與匯率疊圖、VIX 指數與匯率疊圖，以及成交量代理指標。這些圖表用於捕捉短期市場動態、情緒和資金流動。</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宏觀背景 (低頻/長期)：</w:t>
      </w:r>
      <w:r w:rsidDel="00000000" w:rsidR="00000000" w:rsidRPr="00000000">
        <w:rPr>
          <w:rFonts w:ascii="Google Sans Text" w:cs="Google Sans Text" w:eastAsia="Google Sans Text" w:hAnsi="Google Sans Text"/>
          <w:i w:val="0"/>
          <w:iCs w:val="0"/>
          <w:color w:val="1b1c1d"/>
          <w:sz w:val="36"/>
          <w:szCs w:val="36"/>
          <w:rtl w:val="0"/>
        </w:rPr>
        <w:t xml:space="preserve"> 包括台美利差、台灣經常帳佔 GDP 比重、台美 CPI 差異、美元指數 (DXY) 長期趨勢，以及台灣外匯存底變動。這些圖表提供基本面背景、結構性趨勢和長期風險視角。</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背景脈絡與互動性的重要性</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僅僅展示數據是不夠的。此工具的效能高度依賴於提供正確的背景脈絡（例如，理解央行在 TWD 市場的角色、外資流動的主導性）以及強大的互動功能。互動性，如縮放、篩選、懸停提示和指標疊加，是讓使用者能夠探索數據間聯繫、驗證假設、並最終綜合不同信息以形成全面風險判斷的關鍵。</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實施考量</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成功建置此工具需要考慮：</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數據來源：</w:t>
      </w:r>
      <w:r w:rsidDel="00000000" w:rsidR="00000000" w:rsidRPr="00000000">
        <w:rPr>
          <w:rFonts w:ascii="Google Sans Text" w:cs="Google Sans Text" w:eastAsia="Google Sans Text" w:hAnsi="Google Sans Text"/>
          <w:i w:val="0"/>
          <w:iCs w:val="0"/>
          <w:color w:val="1b1c1d"/>
          <w:sz w:val="36"/>
          <w:szCs w:val="36"/>
          <w:rtl w:val="0"/>
        </w:rPr>
        <w:t xml:space="preserve"> 需要可靠、及時的數據來源，涵蓋即期匯率、NDF、選擇權市場數據 (IV, RR)、FPI 流量數據、VIX、宏觀經濟數據（利率、GDP、CPI、外匯存底）等。部分數據可能需要付費訂閱。</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技術平台：</w:t>
      </w:r>
      <w:r w:rsidDel="00000000" w:rsidR="00000000" w:rsidRPr="00000000">
        <w:rPr>
          <w:rFonts w:ascii="Google Sans Text" w:cs="Google Sans Text" w:eastAsia="Google Sans Text" w:hAnsi="Google Sans Text"/>
          <w:i w:val="0"/>
          <w:iCs w:val="0"/>
          <w:color w:val="1b1c1d"/>
          <w:sz w:val="36"/>
          <w:szCs w:val="36"/>
          <w:rtl w:val="0"/>
        </w:rPr>
        <w:t xml:space="preserve"> 選擇合適的圖表庫和開發平台，以支持所需的視覺化效果和互動功能。</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迭代開發：</w:t>
      </w:r>
      <w:r w:rsidDel="00000000" w:rsidR="00000000" w:rsidRPr="00000000">
        <w:rPr>
          <w:rFonts w:ascii="Google Sans Text" w:cs="Google Sans Text" w:eastAsia="Google Sans Text" w:hAnsi="Google Sans Text"/>
          <w:i w:val="0"/>
          <w:iCs w:val="0"/>
          <w:color w:val="1b1c1d"/>
          <w:sz w:val="36"/>
          <w:szCs w:val="36"/>
          <w:rtl w:val="0"/>
        </w:rPr>
        <w:t xml:space="preserve"> 建議採用迭代開發方法，先實現核心圖表和功能，然後根據使用者回饋持續改進和擴充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D. 最終建議</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透過精心設計，將本報告規劃的關鍵市場圖表與宏觀背景圖表整合到一個具備高度互動性的視覺化儀表板中，將能顯著提升使用者監測、分析和管理 TWD/USD 匯率風險的能力，為其在複雜多變的外匯市場中提供有力的決策支持。</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Current Account Balance: % of GDP, 1974 – Mar 2025 ..., 檢索日期：5月 5, 2025， </w:t>
      </w:r>
      <w:hyperlink r:id="rId6">
        <w:r w:rsidDel="00000000" w:rsidR="00000000" w:rsidRPr="00000000">
          <w:rPr>
            <w:rFonts w:ascii="Google Sans" w:cs="Google Sans" w:eastAsia="Google Sans" w:hAnsi="Google Sans"/>
            <w:color w:val="0000ee"/>
            <w:sz w:val="24"/>
            <w:szCs w:val="24"/>
            <w:u w:val="single"/>
            <w:rtl w:val="0"/>
          </w:rPr>
          <w:t xml:space="preserve">https://www.ceicdata.com/en/indicator/taiwan/current-account-balance--of-nominal-gdp</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bank vows stable NT dollar - Taipei Times, 檢索日期：5月 5, 2025， </w:t>
      </w:r>
      <w:hyperlink r:id="rId7">
        <w:r w:rsidDel="00000000" w:rsidR="00000000" w:rsidRPr="00000000">
          <w:rPr>
            <w:rFonts w:ascii="Google Sans" w:cs="Google Sans" w:eastAsia="Google Sans" w:hAnsi="Google Sans"/>
            <w:color w:val="0000ee"/>
            <w:sz w:val="24"/>
            <w:szCs w:val="24"/>
            <w:u w:val="single"/>
            <w:rtl w:val="0"/>
          </w:rPr>
          <w:t xml:space="preserve">https://www.taipeitimes.com/News/biz/archives/2025/04/08/2003834785</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Measures to stabilize Taiwan dollar ready if needed: Central bank ..., 檢索日期：5月 5, 2025， </w:t>
      </w:r>
      <w:hyperlink r:id="rId8">
        <w:r w:rsidDel="00000000" w:rsidR="00000000" w:rsidRPr="00000000">
          <w:rPr>
            <w:rFonts w:ascii="Google Sans" w:cs="Google Sans" w:eastAsia="Google Sans" w:hAnsi="Google Sans"/>
            <w:color w:val="0000ee"/>
            <w:sz w:val="24"/>
            <w:szCs w:val="24"/>
            <w:u w:val="single"/>
            <w:rtl w:val="0"/>
          </w:rPr>
          <w:t xml:space="preserve">https://focustaiwan.tw/business/202504070028</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 Insights: New Taiwan Dollar (TWD) low volatility and activity - Silicon Valley Bank, 檢索日期：5月 5, 2025， </w:t>
      </w:r>
      <w:hyperlink r:id="rId9">
        <w:r w:rsidDel="00000000" w:rsidR="00000000" w:rsidRPr="00000000">
          <w:rPr>
            <w:rFonts w:ascii="Google Sans" w:cs="Google Sans" w:eastAsia="Google Sans" w:hAnsi="Google Sans"/>
            <w:color w:val="0000ee"/>
            <w:sz w:val="24"/>
            <w:szCs w:val="24"/>
            <w:u w:val="single"/>
            <w:rtl w:val="0"/>
          </w:rPr>
          <w:t xml:space="preserve">https://www.svb.com/fx-insights-new-taiwan-dollar-low-volatility-and-activity/</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TWD – Taiwan Dollar | FXCM Markets, 檢索日期：5月 5, 2025， </w:t>
      </w:r>
      <w:hyperlink r:id="rId10">
        <w:r w:rsidDel="00000000" w:rsidR="00000000" w:rsidRPr="00000000">
          <w:rPr>
            <w:rFonts w:ascii="Google Sans" w:cs="Google Sans" w:eastAsia="Google Sans" w:hAnsi="Google Sans"/>
            <w:color w:val="0000ee"/>
            <w:sz w:val="24"/>
            <w:szCs w:val="24"/>
            <w:u w:val="single"/>
            <w:rtl w:val="0"/>
          </w:rPr>
          <w:t xml:space="preserve">https://www.fxcm.com/markets/insights/twd-taiwan-dollar/</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 Net Inflow of Foreign Investment vs. USD/TWD - MacroMicro, 檢索日期：5月 5, 2025， </w:t>
      </w:r>
      <w:hyperlink r:id="rId11">
        <w:r w:rsidDel="00000000" w:rsidR="00000000" w:rsidRPr="00000000">
          <w:rPr>
            <w:rFonts w:ascii="Google Sans" w:cs="Google Sans" w:eastAsia="Google Sans" w:hAnsi="Google Sans"/>
            <w:color w:val="0000ee"/>
            <w:sz w:val="24"/>
            <w:szCs w:val="24"/>
            <w:u w:val="single"/>
            <w:rtl w:val="0"/>
          </w:rPr>
          <w:t xml:space="preserve">https://en.macromicro.me/charts/988/net-amount-of-foreign-investors-ntd</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 TAIEX vs. TWD - MacroMicro, 檢索日期：5月 5, 2025， </w:t>
      </w:r>
      <w:hyperlink r:id="rId12">
        <w:r w:rsidDel="00000000" w:rsidR="00000000" w:rsidRPr="00000000">
          <w:rPr>
            <w:rFonts w:ascii="Google Sans" w:cs="Google Sans" w:eastAsia="Google Sans" w:hAnsi="Google Sans"/>
            <w:color w:val="0000ee"/>
            <w:sz w:val="24"/>
            <w:szCs w:val="24"/>
            <w:u w:val="single"/>
            <w:rtl w:val="0"/>
          </w:rPr>
          <w:t xml:space="preserve">https://en.macromicro.me/charts/2225/twse-vs-ntd</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 TWD Technical Analysis - Investing.com India, 檢索日期：5月 5, 2025， </w:t>
      </w:r>
      <w:hyperlink r:id="rId13">
        <w:r w:rsidDel="00000000" w:rsidR="00000000" w:rsidRPr="00000000">
          <w:rPr>
            <w:rFonts w:ascii="Google Sans" w:cs="Google Sans" w:eastAsia="Google Sans" w:hAnsi="Google Sans"/>
            <w:color w:val="0000ee"/>
            <w:sz w:val="24"/>
            <w:szCs w:val="24"/>
            <w:u w:val="single"/>
            <w:rtl w:val="0"/>
          </w:rPr>
          <w:t xml:space="preserve">https://in.investing.com/currencies/usd-twd-technical</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trading indicators you should know - FOREX.com, 檢索日期：5月 5, 2025， </w:t>
      </w:r>
      <w:hyperlink r:id="rId14">
        <w:r w:rsidDel="00000000" w:rsidR="00000000" w:rsidRPr="00000000">
          <w:rPr>
            <w:rFonts w:ascii="Google Sans" w:cs="Google Sans" w:eastAsia="Google Sans" w:hAnsi="Google Sans"/>
            <w:color w:val="0000ee"/>
            <w:sz w:val="24"/>
            <w:szCs w:val="24"/>
            <w:u w:val="single"/>
            <w:rtl w:val="0"/>
          </w:rPr>
          <w:t xml:space="preserve">https://www.forex.com/en-us/trading-guides/10-top-trading-indicators-you-should-know/</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Non-Deliverable Forward (NDF): Meaning, Structure, and Currencies, 檢索日期：5月 5, 2025， </w:t>
      </w:r>
      <w:hyperlink r:id="rId15">
        <w:r w:rsidDel="00000000" w:rsidR="00000000" w:rsidRPr="00000000">
          <w:rPr>
            <w:rFonts w:ascii="Google Sans" w:cs="Google Sans" w:eastAsia="Google Sans" w:hAnsi="Google Sans"/>
            <w:color w:val="0000ee"/>
            <w:sz w:val="24"/>
            <w:szCs w:val="24"/>
            <w:u w:val="single"/>
            <w:rtl w:val="0"/>
          </w:rPr>
          <w:t xml:space="preserve">https://www.investopedia.com/terms/n/ndf.asp</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Foreign Exchange Risk - Association for Financial Professionals (AFP), 檢索日期：5月 5, 2025， </w:t>
      </w:r>
      <w:hyperlink r:id="rId16">
        <w:r w:rsidDel="00000000" w:rsidR="00000000" w:rsidRPr="00000000">
          <w:rPr>
            <w:rFonts w:ascii="Google Sans" w:cs="Google Sans" w:eastAsia="Google Sans" w:hAnsi="Google Sans"/>
            <w:color w:val="0000ee"/>
            <w:sz w:val="24"/>
            <w:szCs w:val="24"/>
            <w:u w:val="single"/>
            <w:rtl w:val="0"/>
          </w:rPr>
          <w:t xml:space="preserve">https://www.afponline.org/training-resources/resources/articles/Details/understanding-foreign-exchange-risk</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Non-Deliverable Forward Contracts (NDF) | Smart Currency Business, 檢索日期：5月 5, 2025， </w:t>
      </w:r>
      <w:hyperlink r:id="rId17">
        <w:r w:rsidDel="00000000" w:rsidR="00000000" w:rsidRPr="00000000">
          <w:rPr>
            <w:rFonts w:ascii="Google Sans" w:cs="Google Sans" w:eastAsia="Google Sans" w:hAnsi="Google Sans"/>
            <w:color w:val="0000ee"/>
            <w:sz w:val="24"/>
            <w:szCs w:val="24"/>
            <w:u w:val="single"/>
            <w:rtl w:val="0"/>
          </w:rPr>
          <w:t xml:space="preserve">https://www.smartcurrencybusiness.com/services/options/non-deliverable-forwards/</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Implied Volatility Term Structure | QuestDB, 檢索日期：5月 5, 2025， </w:t>
      </w:r>
      <w:hyperlink r:id="rId18">
        <w:r w:rsidDel="00000000" w:rsidR="00000000" w:rsidRPr="00000000">
          <w:rPr>
            <w:rFonts w:ascii="Google Sans" w:cs="Google Sans" w:eastAsia="Google Sans" w:hAnsi="Google Sans"/>
            <w:color w:val="0000ee"/>
            <w:sz w:val="24"/>
            <w:szCs w:val="24"/>
            <w:u w:val="single"/>
            <w:rtl w:val="0"/>
          </w:rPr>
          <w:t xml:space="preserve">https://questdb.com/glossary/implied-volatility-term-structure/</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Volatility Term Structure Changes to Spot Regime Shifts - Amberdata Blog, 檢索日期：5月 5, 2025， </w:t>
      </w:r>
      <w:hyperlink r:id="rId19">
        <w:r w:rsidDel="00000000" w:rsidR="00000000" w:rsidRPr="00000000">
          <w:rPr>
            <w:rFonts w:ascii="Google Sans" w:cs="Google Sans" w:eastAsia="Google Sans" w:hAnsi="Google Sans"/>
            <w:color w:val="0000ee"/>
            <w:sz w:val="24"/>
            <w:szCs w:val="24"/>
            <w:u w:val="single"/>
            <w:rtl w:val="0"/>
          </w:rPr>
          <w:t xml:space="preserve">https://blog.amberdata.io/utilizing-volatility-term-structure-changes-to-spot-regime-shifts</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Reversal: Definition, How It Works, and Examples - Investopedia, 檢索日期：5月 5, 2025， </w:t>
      </w:r>
      <w:hyperlink r:id="rId20">
        <w:r w:rsidDel="00000000" w:rsidR="00000000" w:rsidRPr="00000000">
          <w:rPr>
            <w:rFonts w:ascii="Google Sans" w:cs="Google Sans" w:eastAsia="Google Sans" w:hAnsi="Google Sans"/>
            <w:color w:val="0000ee"/>
            <w:sz w:val="24"/>
            <w:szCs w:val="24"/>
            <w:u w:val="single"/>
            <w:rtl w:val="0"/>
          </w:rPr>
          <w:t xml:space="preserve">https://www.investopedia.com/terms/r/riskreversal.asp</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reversal - Wikipedia, 檢索日期：5月 5, 2025， </w:t>
      </w:r>
      <w:hyperlink r:id="rId21">
        <w:r w:rsidDel="00000000" w:rsidR="00000000" w:rsidRPr="00000000">
          <w:rPr>
            <w:rFonts w:ascii="Google Sans" w:cs="Google Sans" w:eastAsia="Google Sans" w:hAnsi="Google Sans"/>
            <w:color w:val="0000ee"/>
            <w:sz w:val="24"/>
            <w:szCs w:val="24"/>
            <w:u w:val="single"/>
            <w:rtl w:val="0"/>
          </w:rPr>
          <w:t xml:space="preserve">https://en.wikipedia.org/wiki/Risk_reversal</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Foreign Portfolio Investment, 1981 – 2025 | CEIC Data, 檢索日期：5月 5, 2025， </w:t>
      </w:r>
      <w:hyperlink r:id="rId22">
        <w:r w:rsidDel="00000000" w:rsidR="00000000" w:rsidRPr="00000000">
          <w:rPr>
            <w:rFonts w:ascii="Google Sans" w:cs="Google Sans" w:eastAsia="Google Sans" w:hAnsi="Google Sans"/>
            <w:color w:val="0000ee"/>
            <w:sz w:val="24"/>
            <w:szCs w:val="24"/>
            <w:u w:val="single"/>
            <w:rtl w:val="0"/>
          </w:rPr>
          <w:t xml:space="preserve">https://www.ceicdata.com/en/indicator/taiwan/foreign-portfolio-investment</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 New Indices to Measure Stock Market Volatility - Kellogg Insight, 檢索日期：5月 5, 2025， </w:t>
      </w:r>
      <w:hyperlink r:id="rId23">
        <w:r w:rsidDel="00000000" w:rsidR="00000000" w:rsidRPr="00000000">
          <w:rPr>
            <w:rFonts w:ascii="Google Sans" w:cs="Google Sans" w:eastAsia="Google Sans" w:hAnsi="Google Sans"/>
            <w:color w:val="0000ee"/>
            <w:sz w:val="24"/>
            <w:szCs w:val="24"/>
            <w:u w:val="single"/>
            <w:rtl w:val="0"/>
          </w:rPr>
          <w:t xml:space="preserve">https://insight.kellogg.northwestern.edu/article/2-new-indices-to-measure-stock-market-volatility</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Volatility Index®Methodology - Cboe Global Markets, 檢索日期：5月 5, 2025， </w:t>
      </w:r>
      <w:hyperlink r:id="rId24">
        <w:r w:rsidDel="00000000" w:rsidR="00000000" w:rsidRPr="00000000">
          <w:rPr>
            <w:rFonts w:ascii="Google Sans" w:cs="Google Sans" w:eastAsia="Google Sans" w:hAnsi="Google Sans"/>
            <w:color w:val="0000ee"/>
            <w:sz w:val="24"/>
            <w:szCs w:val="24"/>
            <w:u w:val="single"/>
            <w:rtl w:val="0"/>
          </w:rPr>
          <w:t xml:space="preserve">https://cdn.cboe.com/api/global/us_indices/governance/VIX_Methodology.pdf</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US Dollar Index (DXY) and how to trade it? - Axi, 檢索日期：5月 5, 2025， </w:t>
      </w:r>
      <w:hyperlink r:id="rId25">
        <w:r w:rsidDel="00000000" w:rsidR="00000000" w:rsidRPr="00000000">
          <w:rPr>
            <w:rFonts w:ascii="Google Sans" w:cs="Google Sans" w:eastAsia="Google Sans" w:hAnsi="Google Sans"/>
            <w:color w:val="0000ee"/>
            <w:sz w:val="24"/>
            <w:szCs w:val="24"/>
            <w:u w:val="single"/>
            <w:rtl w:val="0"/>
          </w:rPr>
          <w:t xml:space="preserve">https://www.axi.com/int/blog/education/indices/us-dollar-index</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VXY and EM-VXY on the implied volatility of ATM ..., 檢索日期：5月 5, 2025， </w:t>
      </w:r>
      <w:hyperlink r:id="rId26">
        <w:r w:rsidDel="00000000" w:rsidR="00000000" w:rsidRPr="00000000">
          <w:rPr>
            <w:rFonts w:ascii="Google Sans" w:cs="Google Sans" w:eastAsia="Google Sans" w:hAnsi="Google Sans"/>
            <w:color w:val="0000ee"/>
            <w:sz w:val="24"/>
            <w:szCs w:val="24"/>
            <w:u w:val="single"/>
            <w:rtl w:val="0"/>
          </w:rPr>
          <w:t xml:space="preserve">https://www.scielo.org.mx/scielo.php?script=sci_arttext&amp;pid=S2683-26902023000200038</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Forex trading volume: indicators and strategies, 檢索日期：5月 5, 2025， </w:t>
      </w:r>
      <w:hyperlink r:id="rId27">
        <w:r w:rsidDel="00000000" w:rsidR="00000000" w:rsidRPr="00000000">
          <w:rPr>
            <w:rFonts w:ascii="Google Sans" w:cs="Google Sans" w:eastAsia="Google Sans" w:hAnsi="Google Sans"/>
            <w:color w:val="0000ee"/>
            <w:sz w:val="24"/>
            <w:szCs w:val="24"/>
            <w:u w:val="single"/>
            <w:rtl w:val="0"/>
          </w:rPr>
          <w:t xml:space="preserve">https://www.forex.com/en-us/trading-guides/forex-volume-trading/</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Volume Trading Strategy in Forex &amp; How to Trade It - Blueberry Markets, 檢索日期：5月 5, 2025， </w:t>
      </w:r>
      <w:hyperlink r:id="rId28">
        <w:r w:rsidDel="00000000" w:rsidR="00000000" w:rsidRPr="00000000">
          <w:rPr>
            <w:rFonts w:ascii="Google Sans" w:cs="Google Sans" w:eastAsia="Google Sans" w:hAnsi="Google Sans"/>
            <w:color w:val="0000ee"/>
            <w:sz w:val="24"/>
            <w:szCs w:val="24"/>
            <w:u w:val="single"/>
            <w:rtl w:val="0"/>
          </w:rPr>
          <w:t xml:space="preserve">https://blueberrymarkets.com/academy/what-is-volume-trading-strategy/</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USDTWD Chart, Rate and Analysis - TradingView, 檢索日期：5月 5, 2025， </w:t>
      </w:r>
      <w:hyperlink r:id="rId29">
        <w:r w:rsidDel="00000000" w:rsidR="00000000" w:rsidRPr="00000000">
          <w:rPr>
            <w:rFonts w:ascii="Google Sans" w:cs="Google Sans" w:eastAsia="Google Sans" w:hAnsi="Google Sans"/>
            <w:color w:val="0000ee"/>
            <w:sz w:val="24"/>
            <w:szCs w:val="24"/>
            <w:u w:val="single"/>
            <w:rtl w:val="0"/>
          </w:rPr>
          <w:t xml:space="preserve">https://www.tradingview.com/symbols/USDTWD/</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NEW DOLLAR / U.S. DOLLAR Trade Ideas — FX_IDC:TWDUSD - TradingView, 檢索日期：5月 5, 2025， </w:t>
      </w:r>
      <w:hyperlink r:id="rId30">
        <w:r w:rsidDel="00000000" w:rsidR="00000000" w:rsidRPr="00000000">
          <w:rPr>
            <w:rFonts w:ascii="Google Sans" w:cs="Google Sans" w:eastAsia="Google Sans" w:hAnsi="Google Sans"/>
            <w:color w:val="0000ee"/>
            <w:sz w:val="24"/>
            <w:szCs w:val="24"/>
            <w:u w:val="single"/>
            <w:rtl w:val="0"/>
          </w:rPr>
          <w:t xml:space="preserve">https://www.tradingview.com/symbols/TWDUSD/ideas/</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 Option Volume, 檢索日期：5月 5, 2025， </w:t>
      </w:r>
      <w:hyperlink r:id="rId31">
        <w:r w:rsidDel="00000000" w:rsidR="00000000" w:rsidRPr="00000000">
          <w:rPr>
            <w:rFonts w:ascii="Google Sans" w:cs="Google Sans" w:eastAsia="Google Sans" w:hAnsi="Google Sans"/>
            <w:color w:val="0000ee"/>
            <w:sz w:val="24"/>
            <w:szCs w:val="24"/>
            <w:u w:val="single"/>
            <w:rtl w:val="0"/>
          </w:rPr>
          <w:t xml:space="preserve">https://wp.lancs.ac.uk/fofi2022/files/2022/08/FoFI-2022-050-Robert-Czech.pdf</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Dollar Forecast | Is TWD a Good Investment? - Capital.com, 檢索日期：5月 5, 2025， </w:t>
      </w:r>
      <w:hyperlink r:id="rId32">
        <w:r w:rsidDel="00000000" w:rsidR="00000000" w:rsidRPr="00000000">
          <w:rPr>
            <w:rFonts w:ascii="Google Sans" w:cs="Google Sans" w:eastAsia="Google Sans" w:hAnsi="Google Sans"/>
            <w:color w:val="0000ee"/>
            <w:sz w:val="24"/>
            <w:szCs w:val="24"/>
            <w:u w:val="single"/>
            <w:rtl w:val="0"/>
          </w:rPr>
          <w:t xml:space="preserve">https://capital.com/taiwan-new-dollar-twd-forecast</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 Economy: GDP, Inflation, CPI &amp; Interest Rates - FocusEconomics, 檢索日期：5月 5, 2025， </w:t>
      </w:r>
      <w:hyperlink r:id="rId33">
        <w:r w:rsidDel="00000000" w:rsidR="00000000" w:rsidRPr="00000000">
          <w:rPr>
            <w:rFonts w:ascii="Google Sans" w:cs="Google Sans" w:eastAsia="Google Sans" w:hAnsi="Google Sans"/>
            <w:color w:val="0000ee"/>
            <w:sz w:val="24"/>
            <w:szCs w:val="24"/>
            <w:u w:val="single"/>
            <w:rtl w:val="0"/>
          </w:rPr>
          <w:t xml:space="preserve">https://www.focus-economics.com/countries/taiwan/</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Macroeconomic and Foreign Exchange Policies of Major Trading Partners of the United States (December 2021) - Treasury, 檢索日期：5月 5, 2025， </w:t>
      </w:r>
      <w:hyperlink r:id="rId34">
        <w:r w:rsidDel="00000000" w:rsidR="00000000" w:rsidRPr="00000000">
          <w:rPr>
            <w:rFonts w:ascii="Google Sans" w:cs="Google Sans" w:eastAsia="Google Sans" w:hAnsi="Google Sans"/>
            <w:color w:val="0000ee"/>
            <w:sz w:val="24"/>
            <w:szCs w:val="24"/>
            <w:u w:val="single"/>
            <w:rtl w:val="0"/>
          </w:rPr>
          <w:t xml:space="preserve">https://home.treasury.gov/system/files/206/December-2021-FXR-FINAL.pdf</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Taiwanese Dollar - Quote - Chart - Historical Data - News - Trading Economics, 檢索日期：5月 5, 2025， </w:t>
      </w:r>
      <w:hyperlink r:id="rId35">
        <w:r w:rsidDel="00000000" w:rsidR="00000000" w:rsidRPr="00000000">
          <w:rPr>
            <w:rFonts w:ascii="Google Sans" w:cs="Google Sans" w:eastAsia="Google Sans" w:hAnsi="Google Sans"/>
            <w:color w:val="0000ee"/>
            <w:sz w:val="24"/>
            <w:szCs w:val="24"/>
            <w:u w:val="single"/>
            <w:rtl w:val="0"/>
          </w:rPr>
          <w:t xml:space="preserve">https://tradingeconomics.com/taiwan/currency</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Dollar Index - Wikipedia, 檢索日期：5月 5,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https://en.wikipedia.org/wiki/U.S._Dollar_Index</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Exchange Reserves as of the End of February 2025, 檢索日期：5月 5, 2025， </w:t>
      </w:r>
      <w:hyperlink r:id="rId37">
        <w:r w:rsidDel="00000000" w:rsidR="00000000" w:rsidRPr="00000000">
          <w:rPr>
            <w:rFonts w:ascii="Google Sans" w:cs="Google Sans" w:eastAsia="Google Sans" w:hAnsi="Google Sans"/>
            <w:color w:val="0000ee"/>
            <w:sz w:val="24"/>
            <w:szCs w:val="24"/>
            <w:u w:val="single"/>
            <w:rtl w:val="0"/>
          </w:rPr>
          <w:t xml:space="preserve">https://www.cbc.gov.tw/en/cp-448-181130-708d6-2.html</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Dashboard Design Principles for 2025 | UXPin, 檢索日期：5月 5, 2025， </w:t>
      </w:r>
      <w:hyperlink r:id="rId38">
        <w:r w:rsidDel="00000000" w:rsidR="00000000" w:rsidRPr="00000000">
          <w:rPr>
            <w:rFonts w:ascii="Google Sans" w:cs="Google Sans" w:eastAsia="Google Sans" w:hAnsi="Google Sans"/>
            <w:color w:val="0000ee"/>
            <w:sz w:val="24"/>
            <w:szCs w:val="24"/>
            <w:u w:val="single"/>
            <w:rtl w:val="0"/>
          </w:rPr>
          <w:t xml:space="preserve">https://www.uxpin.com/studio/blog/dashboard-design-principles/</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UI Design Guide: Best Practices &amp; Examples, 檢索日期：5月 5, 2025， </w:t>
      </w:r>
      <w:hyperlink r:id="rId39">
        <w:r w:rsidDel="00000000" w:rsidR="00000000" w:rsidRPr="00000000">
          <w:rPr>
            <w:rFonts w:ascii="Google Sans" w:cs="Google Sans" w:eastAsia="Google Sans" w:hAnsi="Google Sans"/>
            <w:color w:val="0000ee"/>
            <w:sz w:val="24"/>
            <w:szCs w:val="24"/>
            <w:u w:val="single"/>
            <w:rtl w:val="0"/>
          </w:rPr>
          <w:t xml:space="preserve">https://www.designstudiouiux.com/blog/dashboard-ui-design-guide/</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of the best financial charts and graphs for data storytelling - Finance Alliance, 檢索日期：5月 5, 2025， </w:t>
      </w:r>
      <w:hyperlink r:id="rId40">
        <w:r w:rsidDel="00000000" w:rsidR="00000000" w:rsidRPr="00000000">
          <w:rPr>
            <w:rFonts w:ascii="Google Sans" w:cs="Google Sans" w:eastAsia="Google Sans" w:hAnsi="Google Sans"/>
            <w:color w:val="0000ee"/>
            <w:sz w:val="24"/>
            <w:szCs w:val="24"/>
            <w:u w:val="single"/>
            <w:rtl w:val="0"/>
          </w:rPr>
          <w:t xml:space="preserve">https://www.financealliance.io/financial-charts-and-graphs/</w:t>
        </w:r>
      </w:hyperlink>
      <w:r w:rsidDel="00000000" w:rsidR="00000000" w:rsidRPr="00000000">
        <w:rPr>
          <w:rtl w:val="0"/>
        </w:rPr>
      </w:r>
    </w:p>
    <w:p w:rsidR="00000000" w:rsidDel="00000000" w:rsidP="00000000" w:rsidRDefault="00000000" w:rsidRPr="00000000" w14:paraId="000000F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Effective Financial Data Visualization (&amp; What Charts ..., 檢索日期：5月 5, 2025， </w:t>
      </w:r>
      <w:hyperlink r:id="rId41">
        <w:r w:rsidDel="00000000" w:rsidR="00000000" w:rsidRPr="00000000">
          <w:rPr>
            <w:rFonts w:ascii="Google Sans" w:cs="Google Sans" w:eastAsia="Google Sans" w:hAnsi="Google Sans"/>
            <w:color w:val="0000ee"/>
            <w:sz w:val="24"/>
            <w:szCs w:val="24"/>
            <w:u w:val="single"/>
            <w:rtl w:val="0"/>
          </w:rPr>
          <w:t xml:space="preserve">https://www.asset-map.com/blog/financial-data-visualization-examples</w:t>
        </w:r>
      </w:hyperlink>
      <w:r w:rsidDel="00000000" w:rsidR="00000000" w:rsidRPr="00000000">
        <w:rPr>
          <w:rtl w:val="0"/>
        </w:rPr>
      </w:r>
    </w:p>
    <w:p w:rsidR="00000000" w:rsidDel="00000000" w:rsidP="00000000" w:rsidRDefault="00000000" w:rsidRPr="00000000" w14:paraId="000000F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TWD USD Historical Data - Investing.com India, 檢索日期：5月 5, 2025， </w:t>
      </w:r>
      <w:hyperlink r:id="rId42">
        <w:r w:rsidDel="00000000" w:rsidR="00000000" w:rsidRPr="00000000">
          <w:rPr>
            <w:rFonts w:ascii="Google Sans" w:cs="Google Sans" w:eastAsia="Google Sans" w:hAnsi="Google Sans"/>
            <w:color w:val="0000ee"/>
            <w:sz w:val="24"/>
            <w:szCs w:val="24"/>
            <w:u w:val="single"/>
            <w:rtl w:val="0"/>
          </w:rPr>
          <w:t xml:space="preserve">https://in.investing.com/currencies/twd-usd-historical-data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inancealliance.io/financial-charts-and-graphs/" TargetMode="External"/><Relationship Id="rId20" Type="http://schemas.openxmlformats.org/officeDocument/2006/relationships/hyperlink" Target="https://www.investopedia.com/terms/r/riskreversal.asp" TargetMode="External"/><Relationship Id="rId42" Type="http://schemas.openxmlformats.org/officeDocument/2006/relationships/hyperlink" Target="https://in.investing.com/currencies/twd-usd-historical-data" TargetMode="External"/><Relationship Id="rId41" Type="http://schemas.openxmlformats.org/officeDocument/2006/relationships/hyperlink" Target="https://www.asset-map.com/blog/financial-data-visualization-examples" TargetMode="External"/><Relationship Id="rId22" Type="http://schemas.openxmlformats.org/officeDocument/2006/relationships/hyperlink" Target="https://www.ceicdata.com/en/indicator/taiwan/foreign-portfolio-investment" TargetMode="External"/><Relationship Id="rId21" Type="http://schemas.openxmlformats.org/officeDocument/2006/relationships/hyperlink" Target="https://en.wikipedia.org/wiki/Risk_reversal" TargetMode="External"/><Relationship Id="rId24" Type="http://schemas.openxmlformats.org/officeDocument/2006/relationships/hyperlink" Target="https://cdn.cboe.com/api/global/us_indices/governance/VIX_Methodology.pdf" TargetMode="External"/><Relationship Id="rId23" Type="http://schemas.openxmlformats.org/officeDocument/2006/relationships/hyperlink" Target="https://insight.kellogg.northwestern.edu/article/2-new-indices-to-measure-stock-market-volatili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vb.com/fx-insights-new-taiwan-dollar-low-volatility-and-activity/" TargetMode="External"/><Relationship Id="rId26" Type="http://schemas.openxmlformats.org/officeDocument/2006/relationships/hyperlink" Target="https://www.scielo.org.mx/scielo.php?script=sci_arttext&amp;pid=S2683-26902023000200038" TargetMode="External"/><Relationship Id="rId25" Type="http://schemas.openxmlformats.org/officeDocument/2006/relationships/hyperlink" Target="https://www.axi.com/int/blog/education/indices/us-dollar-index" TargetMode="External"/><Relationship Id="rId28" Type="http://schemas.openxmlformats.org/officeDocument/2006/relationships/hyperlink" Target="https://blueberrymarkets.com/academy/what-is-volume-trading-strategy/" TargetMode="External"/><Relationship Id="rId27" Type="http://schemas.openxmlformats.org/officeDocument/2006/relationships/hyperlink" Target="https://www.forex.com/en-us/trading-guides/forex-volume-trading/" TargetMode="External"/><Relationship Id="rId5" Type="http://schemas.openxmlformats.org/officeDocument/2006/relationships/styles" Target="styles.xml"/><Relationship Id="rId6" Type="http://schemas.openxmlformats.org/officeDocument/2006/relationships/hyperlink" Target="https://www.ceicdata.com/en/indicator/taiwan/current-account-balance--of-nominal-gdp" TargetMode="External"/><Relationship Id="rId29" Type="http://schemas.openxmlformats.org/officeDocument/2006/relationships/hyperlink" Target="https://www.tradingview.com/symbols/USDTWD/" TargetMode="External"/><Relationship Id="rId7" Type="http://schemas.openxmlformats.org/officeDocument/2006/relationships/hyperlink" Target="https://www.taipeitimes.com/News/biz/archives/2025/04/08/2003834785" TargetMode="External"/><Relationship Id="rId8" Type="http://schemas.openxmlformats.org/officeDocument/2006/relationships/hyperlink" Target="https://focustaiwan.tw/business/202504070028" TargetMode="External"/><Relationship Id="rId31" Type="http://schemas.openxmlformats.org/officeDocument/2006/relationships/hyperlink" Target="https://wp.lancs.ac.uk/fofi2022/files/2022/08/FoFI-2022-050-Robert-Czech.pdf" TargetMode="External"/><Relationship Id="rId30" Type="http://schemas.openxmlformats.org/officeDocument/2006/relationships/hyperlink" Target="https://www.tradingview.com/symbols/TWDUSD/ideas/" TargetMode="External"/><Relationship Id="rId11" Type="http://schemas.openxmlformats.org/officeDocument/2006/relationships/hyperlink" Target="https://en.macromicro.me/charts/988/net-amount-of-foreign-investors-ntd" TargetMode="External"/><Relationship Id="rId33" Type="http://schemas.openxmlformats.org/officeDocument/2006/relationships/hyperlink" Target="https://www.focus-economics.com/countries/taiwan/" TargetMode="External"/><Relationship Id="rId10" Type="http://schemas.openxmlformats.org/officeDocument/2006/relationships/hyperlink" Target="https://www.fxcm.com/markets/insights/twd-taiwan-dollar/" TargetMode="External"/><Relationship Id="rId32" Type="http://schemas.openxmlformats.org/officeDocument/2006/relationships/hyperlink" Target="https://capital.com/taiwan-new-dollar-twd-forecast" TargetMode="External"/><Relationship Id="rId13" Type="http://schemas.openxmlformats.org/officeDocument/2006/relationships/hyperlink" Target="https://in.investing.com/currencies/usd-twd-technical" TargetMode="External"/><Relationship Id="rId35" Type="http://schemas.openxmlformats.org/officeDocument/2006/relationships/hyperlink" Target="https://tradingeconomics.com/taiwan/currency" TargetMode="External"/><Relationship Id="rId12" Type="http://schemas.openxmlformats.org/officeDocument/2006/relationships/hyperlink" Target="https://en.macromicro.me/charts/2225/twse-vs-ntd" TargetMode="External"/><Relationship Id="rId34" Type="http://schemas.openxmlformats.org/officeDocument/2006/relationships/hyperlink" Target="https://home.treasury.gov/system/files/206/December-2021-FXR-FINAL.pdf" TargetMode="External"/><Relationship Id="rId15" Type="http://schemas.openxmlformats.org/officeDocument/2006/relationships/hyperlink" Target="https://www.investopedia.com/terms/n/ndf.asp" TargetMode="External"/><Relationship Id="rId37" Type="http://schemas.openxmlformats.org/officeDocument/2006/relationships/hyperlink" Target="https://www.cbc.gov.tw/en/cp-448-181130-708d6-2.html" TargetMode="External"/><Relationship Id="rId14" Type="http://schemas.openxmlformats.org/officeDocument/2006/relationships/hyperlink" Target="https://www.forex.com/en-us/trading-guides/10-top-trading-indicators-you-should-know/" TargetMode="External"/><Relationship Id="rId36" Type="http://schemas.openxmlformats.org/officeDocument/2006/relationships/hyperlink" Target="https://en.wikipedia.org/wiki/U.S._Dollar_Index" TargetMode="External"/><Relationship Id="rId17" Type="http://schemas.openxmlformats.org/officeDocument/2006/relationships/hyperlink" Target="https://www.smartcurrencybusiness.com/services/options/non-deliverable-forwards/" TargetMode="External"/><Relationship Id="rId39" Type="http://schemas.openxmlformats.org/officeDocument/2006/relationships/hyperlink" Target="https://www.designstudiouiux.com/blog/dashboard-ui-design-guide/" TargetMode="External"/><Relationship Id="rId16" Type="http://schemas.openxmlformats.org/officeDocument/2006/relationships/hyperlink" Target="https://www.afponline.org/training-resources/resources/articles/Details/understanding-foreign-exchange-risk" TargetMode="External"/><Relationship Id="rId38" Type="http://schemas.openxmlformats.org/officeDocument/2006/relationships/hyperlink" Target="https://www.uxpin.com/studio/blog/dashboard-design-principles/" TargetMode="External"/><Relationship Id="rId19" Type="http://schemas.openxmlformats.org/officeDocument/2006/relationships/hyperlink" Target="https://blog.amberdata.io/utilizing-volatility-term-structure-changes-to-spot-regime-shifts" TargetMode="External"/><Relationship Id="rId18" Type="http://schemas.openxmlformats.org/officeDocument/2006/relationships/hyperlink" Target="https://questdb.com/glossary/implied-volatility-term-struct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