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Target and feature encoding are powerful feature engineering techniques, but do give rise to overfitting in many cases. Questions 1 – 3 below use Datasets 1 and 2 (see Worksheet) and relate to methods for target and feature encoding that mitigate overfitting.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(1 pt.) </w:t>
      </w:r>
      <w:r w:rsidDel="00000000" w:rsidR="00000000" w:rsidRPr="00000000">
        <w:rPr>
          <w:rtl w:val="0"/>
        </w:rPr>
        <w:t xml:space="preserve">Smoothing approaches are used in target and feature encoding to prevent the “Law of Small Numbers” from leading to overfitting in machine learning (ML) models. A basic technique for smoothing balances the overall mean value of the target feature, y, with it’s in-category mean as follows in Equation 1:</w:t>
      </w:r>
    </w:p>
    <w:p w:rsidR="00000000" w:rsidDel="00000000" w:rsidP="00000000" w:rsidRDefault="00000000" w:rsidRPr="00000000" w14:paraId="00000005">
      <w:pPr>
        <w:ind w:left="720" w:firstLine="0"/>
        <w:jc w:val="center"/>
        <w:rPr/>
      </w:pPr>
      <w:r w:rsidDel="00000000" w:rsidR="00000000" w:rsidRPr="00000000">
        <w:rPr>
          <w:rtl w:val="0"/>
        </w:rPr>
        <w:br w:type="textWrapping"/>
        <w:t xml:space="preserve">X</w:t>
      </w:r>
      <w:r w:rsidDel="00000000" w:rsidR="00000000" w:rsidRPr="00000000">
        <w:rPr>
          <w:vertAlign w:val="subscript"/>
          <w:rtl w:val="0"/>
        </w:rPr>
        <w:t xml:space="preserve">encode</w:t>
      </w:r>
      <w:r w:rsidDel="00000000" w:rsidR="00000000" w:rsidRPr="00000000">
        <w:rPr>
          <w:rtl w:val="0"/>
        </w:rPr>
        <w:t xml:space="preserve"> = λ·ȳ + (1 - λ)·ȳ</w:t>
      </w:r>
      <w:r w:rsidDel="00000000" w:rsidR="00000000" w:rsidRPr="00000000">
        <w:rPr>
          <w:vertAlign w:val="subscript"/>
          <w:rtl w:val="0"/>
        </w:rPr>
        <w:t xml:space="preserve">level</w:t>
      </w:r>
      <w:r w:rsidDel="00000000" w:rsidR="00000000" w:rsidRPr="00000000">
        <w:rPr>
          <w:rtl w:val="0"/>
        </w:rPr>
        <w:tab/>
        <w:t xml:space="preserve">(1)</w:t>
      </w:r>
    </w:p>
    <w:p w:rsidR="00000000" w:rsidDel="00000000" w:rsidP="00000000" w:rsidRDefault="00000000" w:rsidRPr="00000000" w14:paraId="00000006">
      <w:pPr>
        <w:ind w:left="720" w:firstLine="0"/>
        <w:jc w:val="cente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where λ is a hyperparameter in [0,1], but can be set to 0.5 by default, ȳ is the overall value of the target or feature for encoding, and ȳ</w:t>
      </w:r>
      <w:r w:rsidDel="00000000" w:rsidR="00000000" w:rsidRPr="00000000">
        <w:rPr>
          <w:vertAlign w:val="subscript"/>
          <w:rtl w:val="0"/>
        </w:rPr>
        <w:t xml:space="preserve">level</w:t>
      </w:r>
      <w:r w:rsidDel="00000000" w:rsidR="00000000" w:rsidRPr="00000000">
        <w:rPr>
          <w:rtl w:val="0"/>
        </w:rPr>
        <w:t xml:space="preserve"> is the mean of the target or feature for encoding within the current categorical level of x. Apply Eq. 1 to Dataset 1 to target encode x</w:t>
      </w:r>
      <w:r w:rsidDel="00000000" w:rsidR="00000000" w:rsidRPr="00000000">
        <w:rPr>
          <w:vertAlign w:val="subscript"/>
          <w:rtl w:val="0"/>
        </w:rPr>
        <w:t xml:space="preserve">1</w:t>
      </w:r>
      <w:r w:rsidDel="00000000" w:rsidR="00000000" w:rsidRPr="00000000">
        <w:rPr>
          <w:rtl w:val="0"/>
        </w:rPr>
        <w:t xml:space="preserve"> and feature encode x</w:t>
      </w:r>
      <w:r w:rsidDel="00000000" w:rsidR="00000000" w:rsidRPr="00000000">
        <w:rPr>
          <w:vertAlign w:val="subscript"/>
          <w:rtl w:val="0"/>
        </w:rPr>
        <w:t xml:space="preserve">1</w:t>
      </w:r>
      <w:r w:rsidDel="00000000" w:rsidR="00000000" w:rsidRPr="00000000">
        <w:rPr>
          <w:rtl w:val="0"/>
        </w:rPr>
        <w:t xml:space="preserve"> by x</w:t>
      </w:r>
      <w:r w:rsidDel="00000000" w:rsidR="00000000" w:rsidRPr="00000000">
        <w:rPr>
          <w:vertAlign w:val="subscript"/>
          <w:rtl w:val="0"/>
        </w:rPr>
        <w:t xml:space="preserve">2</w:t>
      </w:r>
      <w:r w:rsidDel="00000000" w:rsidR="00000000" w:rsidRPr="00000000">
        <w:rPr>
          <w:rtl w:val="0"/>
        </w:rPr>
        <w:t xml:space="preserve">. Fill in your answers in Dataset 1 in the x1_TE and x1_x2_FE columns.  </w:t>
      </w:r>
      <w:r w:rsidDel="00000000" w:rsidR="00000000" w:rsidRPr="00000000">
        <w:rPr>
          <w:rtl w:val="0"/>
        </w:rPr>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(1 pt.) </w:t>
      </w:r>
      <w:r w:rsidDel="00000000" w:rsidR="00000000" w:rsidRPr="00000000">
        <w:rPr>
          <w:rtl w:val="0"/>
        </w:rPr>
        <w:t xml:space="preserve">Leave-one-out target encoding is an effective, but computationally intensive, encoding approach in which a feature takes on the value of the mean of the target for every row in the category, except the current row. Target encode x</w:t>
      </w:r>
      <w:r w:rsidDel="00000000" w:rsidR="00000000" w:rsidRPr="00000000">
        <w:rPr>
          <w:vertAlign w:val="subscript"/>
          <w:rtl w:val="0"/>
        </w:rPr>
        <w:t xml:space="preserve">1</w:t>
      </w:r>
      <w:r w:rsidDel="00000000" w:rsidR="00000000" w:rsidRPr="00000000">
        <w:rPr>
          <w:rtl w:val="0"/>
        </w:rPr>
        <w:t xml:space="preserve"> in Dataset 1 using the leave-one-out method in the x1_LOOTE column of Dataset 1. </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Training exercises are great for educational purposes, but trivial and irrelevant if they cannot be used in production environments, where target values are often future unknown quantities. Score Dataset 2 (see Worksheet) with the x1_TE, x1_x2_FE, and x1_LOOTE transformations learned in Questions 1 and 2.</w:t>
        <w:br w:type="textWrapping"/>
      </w:r>
    </w:p>
    <w:p w:rsidR="00000000" w:rsidDel="00000000" w:rsidP="00000000" w:rsidRDefault="00000000" w:rsidRPr="00000000" w14:paraId="0000000A">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720" w:hanging="36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Imputation of missing values is often necessary to use certain ML training algorithms. Given the drawbacks of mean imputation, creating a new missing marker feature to go along with the imputed feature allows modelers to understand if missingness is meaningful in training data, and presents the options of using the imputed feature, using the missing marker instead, or using both for learning purposes. Mean-impute x</w:t>
      </w:r>
      <w:r w:rsidDel="00000000" w:rsidR="00000000" w:rsidRPr="00000000">
        <w:rPr>
          <w:vertAlign w:val="subscript"/>
          <w:rtl w:val="0"/>
        </w:rPr>
        <w:t xml:space="preserve">1</w:t>
      </w:r>
      <w:r w:rsidDel="00000000" w:rsidR="00000000" w:rsidRPr="00000000">
        <w:rPr>
          <w:rtl w:val="0"/>
        </w:rPr>
        <w:t xml:space="preserve"> in Dataset 3 (see Worksheet) in the x1_IMP column, and create a binary missing marker in the x1_MISSING column. </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hanging="360"/>
        <w:rPr/>
      </w:pPr>
      <w:r w:rsidDel="00000000" w:rsidR="00000000" w:rsidRPr="00000000">
        <w:rPr>
          <w:rtl w:val="0"/>
        </w:rPr>
      </w:r>
    </w:p>
    <w:p w:rsidR="00000000" w:rsidDel="00000000" w:rsidP="00000000" w:rsidRDefault="00000000" w:rsidRPr="00000000" w14:paraId="00000010">
      <w:pPr>
        <w:ind w:left="720" w:hanging="36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br w:type="textWrapping"/>
        <w:t xml:space="preserve">Feature extraction, e.g. by principal component analysis (PCA), is a common feature engineering approach. Answer questions 5 – 7 relating to feature extraction.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is the obvious drawback to feature extraction techniques that do not apply a penalized approach to generate so-called sparse extracted features?</w:t>
        <w:br w:type="textWrapping"/>
        <w:br w:type="textWrapping"/>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Given the two correlation matrices below, is Dataset A or B more appropriate to apply feature extraction? Is Dataset A or B more appropriate to apply feature selection?</w:t>
      </w:r>
    </w:p>
    <w:p w:rsidR="00000000" w:rsidDel="00000000" w:rsidP="00000000" w:rsidRDefault="00000000" w:rsidRPr="00000000" w14:paraId="00000015">
      <w:pPr>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367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50"/>
        <w:gridCol w:w="735"/>
        <w:gridCol w:w="765"/>
        <w:gridCol w:w="810"/>
        <w:tblGridChange w:id="0">
          <w:tblGrid>
            <w:gridCol w:w="615"/>
            <w:gridCol w:w="750"/>
            <w:gridCol w:w="735"/>
            <w:gridCol w:w="76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Dataset A</w:t>
      </w:r>
    </w:p>
    <w:p w:rsidR="00000000" w:rsidDel="00000000" w:rsidP="00000000" w:rsidRDefault="00000000" w:rsidRPr="00000000" w14:paraId="00000032">
      <w:pPr>
        <w:jc w:val="center"/>
        <w:rPr/>
      </w:pPr>
      <w:r w:rsidDel="00000000" w:rsidR="00000000" w:rsidRPr="00000000">
        <w:rPr>
          <w:rtl w:val="0"/>
        </w:rPr>
      </w:r>
    </w:p>
    <w:tbl>
      <w:tblPr>
        <w:tblStyle w:val="Table2"/>
        <w:tblW w:w="367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50"/>
        <w:gridCol w:w="735"/>
        <w:gridCol w:w="765"/>
        <w:gridCol w:w="810"/>
        <w:tblGridChange w:id="0">
          <w:tblGrid>
            <w:gridCol w:w="615"/>
            <w:gridCol w:w="750"/>
            <w:gridCol w:w="735"/>
            <w:gridCol w:w="76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 xml:space="preserve">Dataset B</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Given a training dataset with 2 input columns,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and the output of your favorite ML package for PCA eigenvectors [0.743, -0.345], calculate the score for the non-centered first principal component in the PCA1 column of Dataset 4 (see Worksheet).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Does one-hot encoding tend to improve or worsen problems associated with the curse of dimensionality?</w:t>
        <w:br w:type="textWrapping"/>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Given Equations 2 and 3 for non-linear additive noise models (NANM), the correlation matrix and the residual correlation matrix below, draw the causal graph for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and y.</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jc w:val="center"/>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g(x</w:t>
      </w:r>
      <w:r w:rsidDel="00000000" w:rsidR="00000000" w:rsidRPr="00000000">
        <w:rPr>
          <w:vertAlign w:val="subscript"/>
          <w:rtl w:val="0"/>
        </w:rPr>
        <w:t xml:space="preserve">1</w:t>
      </w:r>
      <w:r w:rsidDel="00000000" w:rsidR="00000000" w:rsidRPr="00000000">
        <w:rPr>
          <w:rtl w:val="0"/>
        </w:rPr>
        <w:t xml:space="preserve">) + 𝛜</w:t>
      </w:r>
      <w:r w:rsidDel="00000000" w:rsidR="00000000" w:rsidRPr="00000000">
        <w:rPr>
          <w:vertAlign w:val="subscript"/>
          <w:rtl w:val="0"/>
        </w:rPr>
        <w:t xml:space="preserve">x1</w:t>
      </w:r>
      <w:r w:rsidDel="00000000" w:rsidR="00000000" w:rsidRPr="00000000">
        <w:rPr>
          <w:rtl w:val="0"/>
        </w:rPr>
        <w:tab/>
        <w:tab/>
        <w:t xml:space="preserve">(2)</w:t>
        <w:br w:type="textWrapping"/>
      </w:r>
    </w:p>
    <w:p w:rsidR="00000000" w:rsidDel="00000000" w:rsidP="00000000" w:rsidRDefault="00000000" w:rsidRPr="00000000" w14:paraId="00000060">
      <w:pPr>
        <w:ind w:left="720" w:firstLine="0"/>
        <w:jc w:val="center"/>
        <w:rPr/>
      </w:pPr>
      <w:r w:rsidDel="00000000" w:rsidR="00000000" w:rsidRPr="00000000">
        <w:rPr>
          <w:rtl w:val="0"/>
        </w:rPr>
        <w:t xml:space="preserve">y = g(x</w:t>
      </w:r>
      <w:r w:rsidDel="00000000" w:rsidR="00000000" w:rsidRPr="00000000">
        <w:rPr>
          <w:vertAlign w:val="subscript"/>
          <w:rtl w:val="0"/>
        </w:rPr>
        <w:t xml:space="preserve">2</w:t>
      </w:r>
      <w:r w:rsidDel="00000000" w:rsidR="00000000" w:rsidRPr="00000000">
        <w:rPr>
          <w:rtl w:val="0"/>
        </w:rPr>
        <w:t xml:space="preserve">) + 𝛜</w:t>
      </w:r>
      <w:r w:rsidDel="00000000" w:rsidR="00000000" w:rsidRPr="00000000">
        <w:rPr>
          <w:vertAlign w:val="subscript"/>
          <w:rtl w:val="0"/>
        </w:rPr>
        <w:t xml:space="preserve">x2</w:t>
      </w:r>
      <w:r w:rsidDel="00000000" w:rsidR="00000000" w:rsidRPr="00000000">
        <w:rPr>
          <w:rtl w:val="0"/>
        </w:rPr>
        <w:tab/>
        <w:tab/>
        <w:t xml:space="preserve">(3)</w:t>
      </w:r>
    </w:p>
    <w:p w:rsidR="00000000" w:rsidDel="00000000" w:rsidP="00000000" w:rsidRDefault="00000000" w:rsidRPr="00000000" w14:paraId="00000061">
      <w:pPr>
        <w:ind w:left="720" w:firstLine="0"/>
        <w:jc w:val="cente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3"/>
        <w:tblW w:w="291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50"/>
        <w:gridCol w:w="735"/>
        <w:gridCol w:w="810"/>
        <w:tblGridChange w:id="0">
          <w:tblGrid>
            <w:gridCol w:w="615"/>
            <w:gridCol w:w="750"/>
            <w:gridCol w:w="73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Correlation Matrix</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tbl>
      <w:tblPr>
        <w:tblStyle w:val="Table4"/>
        <w:tblW w:w="415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0"/>
        <w:gridCol w:w="825"/>
        <w:gridCol w:w="870"/>
        <w:gridCol w:w="780"/>
        <w:tblGridChange w:id="0">
          <w:tblGrid>
            <w:gridCol w:w="870"/>
            <w:gridCol w:w="810"/>
            <w:gridCol w:w="825"/>
            <w:gridCol w:w="87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vertAlign w:val="subscript"/>
              </w:rPr>
            </w:pPr>
            <w:r w:rsidDel="00000000" w:rsidR="00000000" w:rsidRPr="00000000">
              <w:rPr>
                <w:b w:val="1"/>
                <w:rtl w:val="0"/>
              </w:rPr>
              <w:t xml:space="preserve">𝛜</w:t>
            </w:r>
            <w:r w:rsidDel="00000000" w:rsidR="00000000" w:rsidRPr="00000000">
              <w:rPr>
                <w:b w:val="1"/>
                <w:vertAlign w:val="subscript"/>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vertAlign w:val="subscript"/>
              </w:rPr>
            </w:pPr>
            <w:r w:rsidDel="00000000" w:rsidR="00000000" w:rsidRPr="00000000">
              <w:rPr>
                <w:b w:val="1"/>
                <w:rtl w:val="0"/>
              </w:rPr>
              <w:t xml:space="preserve">𝛜</w:t>
            </w:r>
            <w:r w:rsidDel="00000000" w:rsidR="00000000" w:rsidRPr="00000000">
              <w:rPr>
                <w:b w:val="1"/>
                <w:vertAlign w:val="subscript"/>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vertAlign w:val="subscript"/>
              </w:rPr>
            </w:pPr>
            <w:r w:rsidDel="00000000" w:rsidR="00000000" w:rsidRPr="00000000">
              <w:rPr>
                <w:b w:val="1"/>
                <w:rtl w:val="0"/>
              </w:rPr>
              <w:t xml:space="preserve">𝛜</w:t>
            </w:r>
            <w:r w:rsidDel="00000000" w:rsidR="00000000" w:rsidRPr="00000000">
              <w:rPr>
                <w:b w:val="1"/>
                <w:vertAlign w:val="subscript"/>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vertAlign w:val="subscript"/>
              </w:rPr>
            </w:pPr>
            <w:r w:rsidDel="00000000" w:rsidR="00000000" w:rsidRPr="00000000">
              <w:rPr>
                <w:b w:val="1"/>
                <w:rtl w:val="0"/>
              </w:rPr>
              <w:t xml:space="preserve">𝛜</w:t>
            </w:r>
            <w:r w:rsidDel="00000000" w:rsidR="00000000" w:rsidRPr="00000000">
              <w:rPr>
                <w:b w:val="1"/>
                <w:vertAlign w:val="subscript"/>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x</w:t>
            </w:r>
            <w:r w:rsidDel="00000000" w:rsidR="00000000" w:rsidRPr="00000000">
              <w:rPr>
                <w:b w:val="1"/>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Residual Correlation Matrix</w:t>
      </w:r>
    </w:p>
    <w:p w:rsidR="00000000" w:rsidDel="00000000" w:rsidP="00000000" w:rsidRDefault="00000000" w:rsidRPr="00000000" w14:paraId="00000092">
      <w:pPr>
        <w:ind w:left="0" w:firstLine="0"/>
        <w:jc w:val="left"/>
        <w:rPr/>
      </w:pPr>
      <w:r w:rsidDel="00000000" w:rsidR="00000000" w:rsidRPr="00000000">
        <w:rPr>
          <w:rtl w:val="0"/>
        </w:rPr>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 Determine the number of purchases (N_PURCHASE) and average purchase amount (AVE_PURCHASE_AMT) for Dataset 5 and join this information to the demographic information in Dataset 6 (see Worksheet) to create two new features for predictive modeling. </w:t>
      </w:r>
      <w:r w:rsidDel="00000000" w:rsidR="00000000" w:rsidRPr="00000000">
        <w:br w:type="page"/>
      </w: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jc w:val="center"/>
        <w:rPr>
          <w:b w:val="1"/>
        </w:rPr>
      </w:pPr>
      <w:r w:rsidDel="00000000" w:rsidR="00000000" w:rsidRPr="00000000">
        <w:rPr>
          <w:b w:val="1"/>
          <w:rtl w:val="0"/>
        </w:rPr>
        <w:t xml:space="preserve">Worksheet</w:t>
        <w:br w:type="textWrapping"/>
      </w:r>
    </w:p>
    <w:tbl>
      <w:tblPr>
        <w:tblStyle w:val="Table5"/>
        <w:tblW w:w="8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95"/>
        <w:gridCol w:w="1245"/>
        <w:gridCol w:w="1575"/>
        <w:gridCol w:w="1755"/>
        <w:gridCol w:w="1695"/>
        <w:tblGridChange w:id="0">
          <w:tblGrid>
            <w:gridCol w:w="1155"/>
            <w:gridCol w:w="1395"/>
            <w:gridCol w:w="1245"/>
            <w:gridCol w:w="1575"/>
            <w:gridCol w:w="175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x1_TE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x1_x2_FE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x1_LOOTE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DE">
      <w:pPr>
        <w:ind w:left="0" w:firstLine="0"/>
        <w:jc w:val="center"/>
        <w:rPr>
          <w:b w:val="1"/>
        </w:rPr>
      </w:pPr>
      <w:r w:rsidDel="00000000" w:rsidR="00000000" w:rsidRPr="00000000">
        <w:rPr>
          <w:rtl w:val="0"/>
        </w:rPr>
      </w:r>
    </w:p>
    <w:p w:rsidR="00000000" w:rsidDel="00000000" w:rsidP="00000000" w:rsidRDefault="00000000" w:rsidRPr="00000000" w14:paraId="000000DF">
      <w:pPr>
        <w:ind w:left="720" w:firstLine="0"/>
        <w:jc w:val="center"/>
        <w:rPr>
          <w:b w:val="1"/>
        </w:rPr>
      </w:pPr>
      <w:r w:rsidDel="00000000" w:rsidR="00000000" w:rsidRPr="00000000">
        <w:rPr>
          <w:b w:val="1"/>
          <w:rtl w:val="0"/>
        </w:rPr>
        <w:t xml:space="preserve">Dataset 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b w:val="1"/>
        </w:rPr>
      </w:pPr>
      <w:r w:rsidDel="00000000" w:rsidR="00000000" w:rsidRPr="00000000">
        <w:rPr>
          <w:rtl w:val="0"/>
        </w:rPr>
      </w:r>
    </w:p>
    <w:tbl>
      <w:tblPr>
        <w:tblStyle w:val="Table6"/>
        <w:tblW w:w="61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575"/>
        <w:gridCol w:w="1755"/>
        <w:gridCol w:w="1695"/>
        <w:tblGridChange w:id="0">
          <w:tblGrid>
            <w:gridCol w:w="1155"/>
            <w:gridCol w:w="1575"/>
            <w:gridCol w:w="175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x1_TE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x1_x2_FE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x1_LOOTE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r>
          </w:p>
        </w:tc>
      </w:tr>
    </w:tbl>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ind w:left="720" w:firstLine="0"/>
        <w:jc w:val="center"/>
        <w:rPr>
          <w:b w:val="1"/>
        </w:rPr>
      </w:pPr>
      <w:r w:rsidDel="00000000" w:rsidR="00000000" w:rsidRPr="00000000">
        <w:rPr>
          <w:b w:val="1"/>
          <w:rtl w:val="0"/>
        </w:rPr>
        <w:t xml:space="preserve">Dataset 2</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7"/>
        <w:tblW w:w="3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155"/>
        <w:gridCol w:w="1740"/>
        <w:tblGridChange w:id="0">
          <w:tblGrid>
            <w:gridCol w:w="1020"/>
            <w:gridCol w:w="115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x1_IMP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x1_MISSING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r>
    </w:tbl>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jc w:val="center"/>
        <w:rPr>
          <w:b w:val="1"/>
        </w:rPr>
      </w:pPr>
      <w:r w:rsidDel="00000000" w:rsidR="00000000" w:rsidRPr="00000000">
        <w:rPr>
          <w:b w:val="1"/>
          <w:rtl w:val="0"/>
        </w:rPr>
        <w:t xml:space="preserve">Dataset 3</w:t>
      </w:r>
    </w:p>
    <w:p w:rsidR="00000000" w:rsidDel="00000000" w:rsidP="00000000" w:rsidRDefault="00000000" w:rsidRPr="00000000" w14:paraId="0000012B">
      <w:pPr>
        <w:rPr/>
      </w:pPr>
      <w:r w:rsidDel="00000000" w:rsidR="00000000" w:rsidRPr="00000000">
        <w:rPr>
          <w:rtl w:val="0"/>
        </w:rPr>
      </w:r>
    </w:p>
    <w:tbl>
      <w:tblPr>
        <w:tblStyle w:val="Table8"/>
        <w:tblW w:w="3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155"/>
        <w:gridCol w:w="1740"/>
        <w:tblGridChange w:id="0">
          <w:tblGrid>
            <w:gridCol w:w="1020"/>
            <w:gridCol w:w="115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vertAlign w:val="subscript"/>
              </w:rPr>
            </w:pPr>
            <w:r w:rsidDel="00000000" w:rsidR="00000000" w:rsidRPr="00000000">
              <w:rPr>
                <w:b w:val="1"/>
                <w:rtl w:val="0"/>
              </w:rPr>
              <w:t xml:space="preserve">x</w:t>
            </w:r>
            <w:r w:rsidDel="00000000" w:rsidR="00000000" w:rsidRPr="00000000">
              <w:rPr>
                <w:b w:val="1"/>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PCA1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r>
          </w:p>
        </w:tc>
      </w:tr>
    </w:tbl>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b w:val="1"/>
        </w:rPr>
      </w:pPr>
      <w:r w:rsidDel="00000000" w:rsidR="00000000" w:rsidRPr="00000000">
        <w:rPr>
          <w:b w:val="1"/>
          <w:rtl w:val="0"/>
        </w:rPr>
        <w:t xml:space="preserve">Dataset 4</w:t>
      </w:r>
    </w:p>
    <w:p w:rsidR="00000000" w:rsidDel="00000000" w:rsidP="00000000" w:rsidRDefault="00000000" w:rsidRPr="00000000" w14:paraId="0000014F">
      <w:pPr>
        <w:jc w:val="left"/>
        <w:rPr>
          <w:b w:val="1"/>
        </w:rPr>
      </w:pPr>
      <w:r w:rsidDel="00000000" w:rsidR="00000000" w:rsidRPr="00000000">
        <w:rPr>
          <w:rtl w:val="0"/>
        </w:rPr>
      </w:r>
    </w:p>
    <w:p w:rsidR="00000000" w:rsidDel="00000000" w:rsidP="00000000" w:rsidRDefault="00000000" w:rsidRPr="00000000" w14:paraId="00000150">
      <w:pPr>
        <w:jc w:val="center"/>
        <w:rPr>
          <w:b w:val="1"/>
        </w:rPr>
      </w:pPr>
      <w:r w:rsidDel="00000000" w:rsidR="00000000" w:rsidRPr="00000000">
        <w:rPr>
          <w:rtl w:val="0"/>
        </w:rPr>
      </w:r>
    </w:p>
    <w:tbl>
      <w:tblPr>
        <w:tblStyle w:val="Table9"/>
        <w:tblW w:w="3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00"/>
        <w:tblGridChange w:id="0">
          <w:tblGrid>
            <w:gridCol w:w="154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jh65432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jk900h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jk900h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jh789k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jh65432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jh789k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jk900h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jk900h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jh789k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jh789k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jh789k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jh65432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jk900h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27.99</w:t>
            </w:r>
          </w:p>
        </w:tc>
      </w:tr>
    </w:tbl>
    <w:p w:rsidR="00000000" w:rsidDel="00000000" w:rsidP="00000000" w:rsidRDefault="00000000" w:rsidRPr="00000000" w14:paraId="0000016D">
      <w:pPr>
        <w:jc w:val="center"/>
        <w:rPr>
          <w:b w:val="1"/>
        </w:rPr>
      </w:pPr>
      <w:r w:rsidDel="00000000" w:rsidR="00000000" w:rsidRPr="00000000">
        <w:rPr>
          <w:rtl w:val="0"/>
        </w:rPr>
      </w:r>
    </w:p>
    <w:p w:rsidR="00000000" w:rsidDel="00000000" w:rsidP="00000000" w:rsidRDefault="00000000" w:rsidRPr="00000000" w14:paraId="0000016E">
      <w:pPr>
        <w:jc w:val="center"/>
        <w:rPr>
          <w:b w:val="1"/>
        </w:rPr>
      </w:pPr>
      <w:r w:rsidDel="00000000" w:rsidR="00000000" w:rsidRPr="00000000">
        <w:rPr>
          <w:b w:val="1"/>
          <w:rtl w:val="0"/>
        </w:rPr>
        <w:t xml:space="preserve">Dataset 5</w:t>
      </w:r>
    </w:p>
    <w:p w:rsidR="00000000" w:rsidDel="00000000" w:rsidP="00000000" w:rsidRDefault="00000000" w:rsidRPr="00000000" w14:paraId="0000016F">
      <w:pPr>
        <w:jc w:val="center"/>
        <w:rPr>
          <w:b w:val="1"/>
        </w:rPr>
      </w:pPr>
      <w:r w:rsidDel="00000000" w:rsidR="00000000" w:rsidRPr="00000000">
        <w:rPr>
          <w:rtl w:val="0"/>
        </w:rPr>
      </w:r>
    </w:p>
    <w:p w:rsidR="00000000" w:rsidDel="00000000" w:rsidP="00000000" w:rsidRDefault="00000000" w:rsidRPr="00000000" w14:paraId="00000170">
      <w:pPr>
        <w:jc w:val="center"/>
        <w:rPr>
          <w:b w:val="1"/>
        </w:rPr>
      </w:pPr>
      <w:r w:rsidDel="00000000" w:rsidR="00000000" w:rsidRPr="00000000">
        <w:rPr>
          <w:rtl w:val="0"/>
        </w:rPr>
      </w:r>
    </w:p>
    <w:tbl>
      <w:tblPr>
        <w:tblStyle w:val="Table10"/>
        <w:tblW w:w="84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380"/>
        <w:gridCol w:w="1290"/>
        <w:gridCol w:w="1770"/>
        <w:gridCol w:w="2730"/>
        <w:tblGridChange w:id="0">
          <w:tblGrid>
            <w:gridCol w:w="1230"/>
            <w:gridCol w:w="1380"/>
            <w:gridCol w:w="1290"/>
            <w:gridCol w:w="177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AGE_BIN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N_PURCHASE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AVE_PURCHASE_AMT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jh789k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jh65432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jk900h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85">
      <w:pPr>
        <w:jc w:val="center"/>
        <w:rPr>
          <w:b w:val="1"/>
        </w:rPr>
      </w:pPr>
      <w:r w:rsidDel="00000000" w:rsidR="00000000" w:rsidRPr="00000000">
        <w:rPr>
          <w:rtl w:val="0"/>
        </w:rPr>
      </w:r>
    </w:p>
    <w:p w:rsidR="00000000" w:rsidDel="00000000" w:rsidP="00000000" w:rsidRDefault="00000000" w:rsidRPr="00000000" w14:paraId="00000186">
      <w:pPr>
        <w:jc w:val="center"/>
        <w:rPr>
          <w:b w:val="1"/>
        </w:rPr>
      </w:pPr>
      <w:r w:rsidDel="00000000" w:rsidR="00000000" w:rsidRPr="00000000">
        <w:rPr>
          <w:b w:val="1"/>
          <w:rtl w:val="0"/>
        </w:rPr>
        <w:t xml:space="preserve">Dataset 6</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t xml:space="preserve">DNSC 6314</w:t>
    </w:r>
  </w:p>
  <w:p w:rsidR="00000000" w:rsidDel="00000000" w:rsidP="00000000" w:rsidRDefault="00000000" w:rsidRPr="00000000" w14:paraId="00000188">
    <w:pPr>
      <w:rPr/>
    </w:pPr>
    <w:r w:rsidDel="00000000" w:rsidR="00000000" w:rsidRPr="00000000">
      <w:rPr>
        <w:rtl w:val="0"/>
      </w:rPr>
      <w:t xml:space="preserve">Spring 2022</w:t>
    </w:r>
  </w:p>
  <w:p w:rsidR="00000000" w:rsidDel="00000000" w:rsidP="00000000" w:rsidRDefault="00000000" w:rsidRPr="00000000" w14:paraId="00000189">
    <w:pPr>
      <w:rPr/>
    </w:pPr>
    <w:r w:rsidDel="00000000" w:rsidR="00000000" w:rsidRPr="00000000">
      <w:rPr>
        <w:rtl w:val="0"/>
      </w:rPr>
      <w:t xml:space="preserve">Assignment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