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36"/>
        </w:rPr>
        <w:t>Additional File 1: Supplementary Materials</w:t>
      </w:r>
    </w:p>
    <w:p/>
    <w:p>
      <w:pPr>
        <w:jc w:val="center"/>
      </w:pPr>
      <w:r>
        <w:rPr>
          <w:sz w:val="28"/>
        </w:rPr>
        <w:t>GRAD: A Two-Stage Algorithm for Resolving Diagnostic</w:t>
        <w:br/>
        <w:t>Uncertainty in the Plasma phospho-tau217 Gray Zone</w:t>
      </w:r>
    </w:p>
    <w:p/>
    <w:p>
      <w:pPr>
        <w:jc w:val="center"/>
      </w:pPr>
      <w:r>
        <w:rPr>
          <w:color w:val="444444"/>
          <w:sz w:val="22"/>
        </w:rPr>
        <w:t>Harthik Parankusham, Casey Vanderlip, Colin Birkenbihl, Eashwar Krishna,</w:t>
        <w:br/>
        <w:t>Chizobam Ugboaja, Andrew Budson, Brandon Frank,</w:t>
        <w:br/>
        <w:t>and for the Alzheimer's Disease Neuroimaging Initiative</w:t>
      </w:r>
    </w:p>
    <w:p/>
    <w:p>
      <w:pPr>
        <w:jc w:val="center"/>
      </w:pPr>
      <w:r>
        <w:rPr>
          <w:i/>
          <w:color w:val="666666"/>
          <w:sz w:val="22"/>
        </w:rPr>
        <w:t>Journal of Prevention of Alzheimer's Disease</w:t>
      </w:r>
    </w:p>
    <w:p/>
    <w:p/>
    <w:p>
      <w:pPr>
        <w:jc w:val="center"/>
      </w:pPr>
      <w:r>
        <w:rPr>
          <w:sz w:val="22"/>
        </w:rPr>
        <w:t>Contents:</w:t>
        <w:br/>
        <w:br/>
        <w:t>Supplementary Figures S1–S2</w:t>
        <w:br/>
        <w:t>Supplementary Tables S1–S7</w:t>
      </w:r>
    </w:p>
    <w:p>
      <w:r>
        <w:br w:type="page"/>
      </w:r>
    </w:p>
    <w:p>
      <w:r>
        <w:rPr>
          <w:b/>
          <w:sz w:val="22"/>
        </w:rPr>
        <w:t>Figure S1.</w:t>
      </w:r>
      <w:r>
        <w:rPr>
          <w:sz w:val="20"/>
        </w:rPr>
        <w:t xml:space="preserve"> ADNI LOOCV calibration analysis. (A) Calibration curve comparing GRAD predicted probabilities against observed Aβ positivity fraction across decile bins. Dashed line indicates perfect calibration. Expected Calibration Error (ECE) = 0.060. Hosmer–Lemeshow test: χ² = 17.69, df = 8, p = 0.024. (B) Prediction density distributions by true Aβ status, with Gatekeeper probability thresholds (P = 0.25, P = 0.75) indicated by dashed vertical 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6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calib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6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Figure S2.</w:t>
      </w:r>
      <w:r>
        <w:rPr>
          <w:sz w:val="20"/>
        </w:rPr>
        <w:t xml:space="preserve"> Supplementary model characterization. (A) Subgroup AUC forest plot stratified by cognitive status, APOE ε4 status, sex, and age tertiles; dashed line indicates overall AUC (0.857). (B) Threshold–performance tradeoff showing sensitivity, specificity, PPV, NPV, and accuracy across classification thresholds, with 90% sensitivity (threshold = 0.240) and 90% specificity (threshold = 0.674) operating points annotated. (C) Gatekeeper threshold sensitivity heatmap across 25 low/high threshold combinations. Each cell shows resolution rate (top) and resolved accuracy (bottom). Gold border indicates the selected 0.25/0.75 operating point. (D) Per-stage confusion matrices for Stage 1 Gatekeeper (N = 178, accuracy 88.8%) and Stage 2 Reflex (N = 142, accuracy 70.4%).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357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3_subgroup_thresho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5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Table S1.</w:t>
      </w:r>
      <w:r>
        <w:rPr>
          <w:sz w:val="20"/>
        </w:rPr>
        <w:t xml:space="preserve"> Complete Model Performance Metrics. Full GRAD model performance in the ADNI development cohort (N = 320) under leave-one-out cross-validation. 95% confidence intervals for AUC, accuracy, sensitivity, and specificity derived from 2,000 bootstrap resamples of the LOOCV predictions; CIs for PPV, NPV, and likelihood ratios computed analytically. Discrimination, calibration, and likelihood ratio metrics reported per STARD 2015 diagnostic accuracy guidelines. AUC, area under the receiver operating characteristic curve; AUPRC, area under the precision-recall curve; PPV, positive predictive value; NPV, negative predictive value; LR+, positive likelihood ratio; LR−, negative likelihood ratio.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2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95% CI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AUC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0.857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0.813–0.897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AUPRC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0.827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0.757–0.897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Accuracy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80.6%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76.2%–84.7%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Sensitivity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78.7%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72.3%–84.8%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Specificity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82.4%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76.4%–88.0%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PPV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80.8%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74.5%–86.7%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NPV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80.5%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74.6%–86.2%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LR+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4.48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3.28–6.50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LR−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0.26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0.18–0.35</w:t>
            </w:r>
          </w:p>
        </w:tc>
      </w:tr>
      <w:tr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Brier Score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0.148</w:t>
            </w:r>
          </w:p>
        </w:tc>
        <w:tc>
          <w:tcPr>
            <w:tcW w:type="dxa" w:w="312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r>
        <w:rPr>
          <w:b/>
          <w:sz w:val="22"/>
        </w:rPr>
        <w:t>Table S2.</w:t>
      </w:r>
      <w:r>
        <w:rPr>
          <w:sz w:val="20"/>
        </w:rPr>
        <w:t xml:space="preserve"> Subgroup Performance Analysis. GRAD model performance stratified by demographic and clinical subgroups. All metrics computed from ADNI LOOCV predictions. Age tertiles defined within the ADNI cohort.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Subgroup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N+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Sensitivity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Specificity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Cognitive Status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CN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0.784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0.749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0.629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0.829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Cognitive Status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MCI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0.902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0.863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0.902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0.821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Cognitive Status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Dementia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0.854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0.929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0.958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0.750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APOE4 Status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APOE4 carrier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0.899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0.850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0.889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0.750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APOE4 Status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APOE4 non-carrier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0.791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0.780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0.682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0.838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Sex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Female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0.817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0.789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0.727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0.853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Sex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Male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0.904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0.821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0.846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0.800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Age Tertile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Age ≤70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0.891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0.852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0.750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0.912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Age Tertile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Age 70–75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0.846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0.781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0.774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0.788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Age Tertile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Age &gt;75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0.820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0.785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0.823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0.733</w:t>
            </w:r>
          </w:p>
        </w:tc>
      </w:tr>
    </w:tbl>
    <w:p/>
    <w:p>
      <w:r>
        <w:br w:type="page"/>
      </w:r>
    </w:p>
    <w:p>
      <w:r>
        <w:rPr>
          <w:b/>
          <w:sz w:val="22"/>
        </w:rPr>
        <w:t>Table S3.</w:t>
      </w:r>
      <w:r>
        <w:rPr>
          <w:sz w:val="20"/>
        </w:rPr>
        <w:t xml:space="preserve"> Per-Stage Performance Metrics. Performance metrics for each stage of the GRAD algorithm. Stage 1 (Gatekeeper): univariate p-Tau217 logistic regression. Stage 2 (Reflex): 6-feature Random Forest classifier applied to gray zone cases (0.25 ≤ P ≤ 0.75). Sens = sensitivity, Spec = specificity, Acc = accuracy.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78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8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TP</w:t>
            </w:r>
          </w:p>
        </w:tc>
        <w:tc>
          <w:tcPr>
            <w:tcW w:type="dxa" w:w="78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TN</w:t>
            </w:r>
          </w:p>
        </w:tc>
        <w:tc>
          <w:tcPr>
            <w:tcW w:type="dxa" w:w="78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</w:t>
            </w:r>
          </w:p>
        </w:tc>
        <w:tc>
          <w:tcPr>
            <w:tcW w:type="dxa" w:w="78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</w:t>
            </w:r>
          </w:p>
        </w:tc>
        <w:tc>
          <w:tcPr>
            <w:tcW w:type="dxa" w:w="78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Sens</w:t>
            </w:r>
          </w:p>
        </w:tc>
        <w:tc>
          <w:tcPr>
            <w:tcW w:type="dxa" w:w="78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type="dxa" w:w="78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PPV</w:t>
            </w:r>
          </w:p>
        </w:tc>
        <w:tc>
          <w:tcPr>
            <w:tcW w:type="dxa" w:w="78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NPV</w:t>
            </w:r>
          </w:p>
        </w:tc>
        <w:tc>
          <w:tcPr>
            <w:tcW w:type="dxa" w:w="78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</w:t>
            </w:r>
          </w:p>
        </w:tc>
        <w:tc>
          <w:tcPr>
            <w:tcW w:type="dxa" w:w="78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sz w:val="18"/>
              </w:rPr>
              <w:t>Gatekeeper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8"/>
              </w:rPr>
              <w:t>0.872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8"/>
              </w:rPr>
              <w:t>0.900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8"/>
              </w:rPr>
              <w:t>0.872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8"/>
              </w:rPr>
              <w:t>0.900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8"/>
              </w:rPr>
              <w:t>0.888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8"/>
              </w:rPr>
              <w:t>0.912</w:t>
            </w:r>
          </w:p>
        </w:tc>
      </w:tr>
      <w:tr>
        <w:tc>
          <w:tcPr>
            <w:tcW w:type="dxa" w:w="7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Reflex</w:t>
            </w:r>
          </w:p>
        </w:tc>
        <w:tc>
          <w:tcPr>
            <w:tcW w:type="dxa" w:w="7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7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7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7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7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7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0.701</w:t>
            </w:r>
          </w:p>
        </w:tc>
        <w:tc>
          <w:tcPr>
            <w:tcW w:type="dxa" w:w="7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0.708</w:t>
            </w:r>
          </w:p>
        </w:tc>
        <w:tc>
          <w:tcPr>
            <w:tcW w:type="dxa" w:w="7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0.740</w:t>
            </w:r>
          </w:p>
        </w:tc>
        <w:tc>
          <w:tcPr>
            <w:tcW w:type="dxa" w:w="7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0.667</w:t>
            </w:r>
          </w:p>
        </w:tc>
        <w:tc>
          <w:tcPr>
            <w:tcW w:type="dxa" w:w="7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0.704</w:t>
            </w:r>
          </w:p>
        </w:tc>
        <w:tc>
          <w:tcPr>
            <w:tcW w:type="dxa" w:w="78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0.751</w:t>
            </w:r>
          </w:p>
        </w:tc>
      </w:tr>
    </w:tbl>
    <w:p/>
    <w:p>
      <w:r>
        <w:br w:type="page"/>
      </w:r>
    </w:p>
    <w:p>
      <w:r>
        <w:rPr>
          <w:b/>
          <w:sz w:val="22"/>
        </w:rPr>
        <w:t>Table S4.</w:t>
      </w:r>
      <w:r>
        <w:rPr>
          <w:sz w:val="20"/>
        </w:rPr>
        <w:t xml:space="preserve"> Clinical Operating Points. Model performance at clinically relevant operating points. The 90% sensitivity threshold (rule-out, P &lt; 0.240) and 90% specificity threshold (rule-in, P &gt; 0.674) define the clinical decision boundaries. Youden's J index identifies the threshold maximizing sensitivity + specificity − 1.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Operating Point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Sens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PPV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NPV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LR+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LR−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50% Standard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0.787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0.824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0.808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0.805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0.806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4.48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0.258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90% Spec (Rule-In)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0.677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0.903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0.868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0.749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0.794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6.99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0.357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90% Sens (Rule-Out)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0.903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0.576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0.667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0.864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0.734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2.13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0.168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Youden's J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0.781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0.861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0.840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0.807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0.822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5.60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0.255</w:t>
            </w:r>
          </w:p>
        </w:tc>
      </w:tr>
    </w:tbl>
    <w:p/>
    <w:p>
      <w:r>
        <w:br w:type="page"/>
      </w:r>
    </w:p>
    <w:p>
      <w:r>
        <w:rPr>
          <w:b/>
          <w:sz w:val="22"/>
        </w:rPr>
        <w:t>Table S5.</w:t>
      </w:r>
      <w:r>
        <w:rPr>
          <w:sz w:val="20"/>
        </w:rPr>
        <w:t xml:space="preserve"> Gatekeeper Threshold Sensitivity Analysis. Each row represents a combination of lower (rule-out) and upper (rule-in) probability thresholds. Resol. Rate = proportion of patients classified without Stage 2 or PET. Resol. Acc = accuracy among resolved cases. GZ = gray zone. The selected operating point is 0.25/0.75.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Low Thr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High Thr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Resolved N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Resol. Rate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Resol. Acc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GZ N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GZ AUC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Overall AUC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32.8%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83.8%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215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0.819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0.862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29.1%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87.1%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0.820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0.863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27.2%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87.4%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0.835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0.869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25.3%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87.6%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239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0.827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0.861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20.6%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87.9%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0.836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0.858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45.9%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87.1%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0.781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0.860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42.2%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89.6%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0.783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0.861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40.3%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89.9%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191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0.796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0.863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38.4%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90.2%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0.797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0.861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33.8%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90.7%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0.800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0.856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61.3%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86.7%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0.740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0.860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57.5%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88.6%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136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0.733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0.858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55.6%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88.8%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0.751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0.857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53.8%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88.9%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0.753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0.859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49.1%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89.2%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0.766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0.858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0.30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70.0%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84.4%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0.788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0.864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0.30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66.2%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85.9%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0.776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0.867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0.30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64.4%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85.9%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0.779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0.864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0.30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62.5%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86.0%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0.770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0.866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0.30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57.8%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86.0%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0.756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0.862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0.35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245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76.6%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83.7%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0.752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0.866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0.35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72.8%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85.0%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0.723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0.871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0.35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70.9%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85.0%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0.734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0.869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0.35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69.1%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85.1%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0.714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0.866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0.35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64.4%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85.0%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0.661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0.855</w:t>
            </w:r>
          </w:p>
        </w:tc>
      </w:tr>
    </w:tbl>
    <w:p/>
    <w:p>
      <w:r>
        <w:br w:type="page"/>
      </w:r>
    </w:p>
    <w:p>
      <w:r>
        <w:rPr>
          <w:b/>
          <w:sz w:val="22"/>
        </w:rPr>
        <w:t>Table S6.</w:t>
      </w:r>
      <w:r>
        <w:rPr>
          <w:sz w:val="20"/>
        </w:rPr>
        <w:t xml:space="preserve"> Cost Impact Simulation. Cost impact simulation for a projected 10,000-patient cohort. Unit costs reflect differentiated plasma pricing: single-analyte p-Tau217 ($350, CMS 2024 CLFS) versus the full GRAD panel (p-Tau217, GFAP, Aβ42/40; $600). PET: $3,000/scan (CMS 2024 PFS). MRI assumed already obtained for the Staged + MRI strategy.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337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337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 Capita</w:t>
            </w:r>
          </w:p>
        </w:tc>
        <w:tc>
          <w:tcPr>
            <w:tcW w:type="dxa" w:w="1337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PET Scans</w:t>
            </w:r>
          </w:p>
        </w:tc>
        <w:tc>
          <w:tcPr>
            <w:tcW w:type="dxa" w:w="1337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Plasma</w:t>
            </w:r>
          </w:p>
        </w:tc>
        <w:tc>
          <w:tcPr>
            <w:tcW w:type="dxa" w:w="1337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Plasma $</w:t>
            </w:r>
          </w:p>
        </w:tc>
        <w:tc>
          <w:tcPr>
            <w:tcW w:type="dxa" w:w="1337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Savings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sz w:val="18"/>
              </w:rPr>
              <w:t>Universal PET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8"/>
              </w:rPr>
              <w:t>$30.0M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8"/>
              </w:rPr>
              <w:t>$3,000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8"/>
              </w:rPr>
              <w:t>Ref</w:t>
            </w:r>
          </w:p>
        </w:tc>
      </w:tr>
      <w:tr>
        <w:tc>
          <w:tcPr>
            <w:tcW w:type="dxa" w:w="133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p-Tau217 + PET for Gray Zone</w:t>
            </w:r>
          </w:p>
        </w:tc>
        <w:tc>
          <w:tcPr>
            <w:tcW w:type="dxa" w:w="133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$16.8M</w:t>
            </w:r>
          </w:p>
        </w:tc>
        <w:tc>
          <w:tcPr>
            <w:tcW w:type="dxa" w:w="133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$1,682</w:t>
            </w:r>
          </w:p>
        </w:tc>
        <w:tc>
          <w:tcPr>
            <w:tcW w:type="dxa" w:w="133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4,440</w:t>
            </w:r>
          </w:p>
        </w:tc>
        <w:tc>
          <w:tcPr>
            <w:tcW w:type="dxa" w:w="133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type="dxa" w:w="133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$350</w:t>
            </w:r>
          </w:p>
        </w:tc>
        <w:tc>
          <w:tcPr>
            <w:tcW w:type="dxa" w:w="133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43.9%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sz w:val="18"/>
              </w:rPr>
              <w:t>Staged Algorithm (GRAD)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8"/>
              </w:rPr>
              <w:t>$10.0M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8"/>
              </w:rPr>
              <w:t>$999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8"/>
              </w:rPr>
              <w:t>1,331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8"/>
              </w:rPr>
              <w:t>$600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8"/>
              </w:rPr>
              <w:t>66.7%</w:t>
            </w:r>
          </w:p>
        </w:tc>
      </w:tr>
      <w:tr>
        <w:tc>
          <w:tcPr>
            <w:tcW w:type="dxa" w:w="133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Staged + MRI (if MRI already available)</w:t>
            </w:r>
          </w:p>
        </w:tc>
        <w:tc>
          <w:tcPr>
            <w:tcW w:type="dxa" w:w="133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$8.7M</w:t>
            </w:r>
          </w:p>
        </w:tc>
        <w:tc>
          <w:tcPr>
            <w:tcW w:type="dxa" w:w="133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$866</w:t>
            </w:r>
          </w:p>
        </w:tc>
        <w:tc>
          <w:tcPr>
            <w:tcW w:type="dxa" w:w="133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887</w:t>
            </w:r>
          </w:p>
        </w:tc>
        <w:tc>
          <w:tcPr>
            <w:tcW w:type="dxa" w:w="133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type="dxa" w:w="133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$600</w:t>
            </w:r>
          </w:p>
        </w:tc>
        <w:tc>
          <w:tcPr>
            <w:tcW w:type="dxa" w:w="1337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71.1%</w:t>
            </w:r>
          </w:p>
        </w:tc>
      </w:tr>
    </w:tbl>
    <w:p/>
    <w:p>
      <w:r>
        <w:br w:type="page"/>
      </w:r>
    </w:p>
    <w:p>
      <w:r>
        <w:rPr>
          <w:b/>
          <w:sz w:val="22"/>
        </w:rPr>
        <w:t>Table S7.</w:t>
      </w:r>
      <w:r>
        <w:rPr>
          <w:sz w:val="20"/>
        </w:rPr>
        <w:t xml:space="preserve"> NfL Feature Ablation Analysis. Feature ablation analysis evaluating the contribution of neurofilament light (NfL) to the Reflex model. Base model includes the 6 selected features (p-Tau217, GFAP, Tau–Aβ42/40 divergence ratio, GFAP × p-Tau217 interaction, age, APOE ε4). Adding NfL improved AUC by 0.011, deemed insufficient to justify additional complexity. All metrics from ADNI LOOCV.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Sensitivity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Specificity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Brier</w:t>
            </w:r>
          </w:p>
        </w:tc>
        <w:tc>
          <w:tcPr>
            <w:tcW w:type="dxa" w:w="1170"/>
            <w:shd w:fill="2166A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ΔAUC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Base (6 features)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0.857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0.806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0.787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0.824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0.148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+ NfL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0.865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0.809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0.800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0.818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0.146</w:t>
            </w:r>
          </w:p>
        </w:tc>
        <w:tc>
          <w:tcPr>
            <w:tcW w:type="dxa" w:w="1170"/>
            <w:shd w:fill="F5F5F5" w:val="clear"/>
          </w:tcPr>
          <w:p>
            <w:pPr>
              <w:jc w:val="center"/>
            </w:pPr>
            <w:r>
              <w:rPr>
                <w:sz w:val="18"/>
              </w:rPr>
              <w:t>0.009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+ NfL + NfL×Age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0.864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0.812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0.806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0.818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0.147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0.007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