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2.</w:t>
      </w:r>
      <w:r>
        <w:rPr>
          <w:sz w:val="22"/>
        </w:rPr>
        <w:t xml:space="preserve"> Complete Model Performance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166A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20"/>
            <w:shd w:fill="2166A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20"/>
            <w:shd w:fill="2166A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95% CI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AUC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0.857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[0.813–0.897]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AUPRC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0.827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[0.757–0.897]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Accuracy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80.6%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[76.2%–84.7%]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Sensitivity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78.7%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[72.3%–84.8%]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Specificity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82.4%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[76.4%–88.0%]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PPV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80.8%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[74.5%–86.7%]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NPV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80.5%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[74.6%–86.2%]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LR+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4.48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[3.28–6.50]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LR−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0.26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[0.18–0.35]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Brier Score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0.148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—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