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C617F" w14:textId="78B2071F" w:rsidR="00525E83" w:rsidRDefault="00525E83"/>
    <w:p w14:paraId="0B04BD38" w14:textId="54BE921E" w:rsidR="00525E83" w:rsidRDefault="00525E83">
      <w:r>
        <w:t>A multiple regression was conducted to examine the influence of treatment condition when considering the role of pre-treatment reading, participant age, and intellectual functioning scores. The both group and individual interventions group was used as a reference in this analysis, which accounted for 74.1% of the variance (</w:t>
      </w:r>
      <w:proofErr w:type="gramStart"/>
      <w:r>
        <w:rPr>
          <w:i/>
          <w:iCs/>
        </w:rPr>
        <w:t>F</w:t>
      </w:r>
      <w:r>
        <w:t>(</w:t>
      </w:r>
      <w:proofErr w:type="gramEnd"/>
      <w:r>
        <w:t xml:space="preserve">6, 193) = 91.98, </w:t>
      </w:r>
      <w:r>
        <w:rPr>
          <w:i/>
          <w:iCs/>
        </w:rPr>
        <w:t>p</w:t>
      </w:r>
      <w:r>
        <w:t xml:space="preserve"> &lt; .01. The group only intervention group</w:t>
      </w:r>
      <w:r w:rsidR="00425B39">
        <w:t xml:space="preserve"> had</w:t>
      </w:r>
      <w:r>
        <w:t xml:space="preserve"> significantly worse </w:t>
      </w:r>
      <w:r w:rsidR="00425B39">
        <w:t xml:space="preserve">post intervention reading scores than </w:t>
      </w:r>
      <w:r>
        <w:t>the group only intervention (</w:t>
      </w:r>
      <w:r>
        <w:rPr>
          <w:i/>
          <w:iCs/>
        </w:rPr>
        <w:t>b</w:t>
      </w:r>
      <w:r>
        <w:t xml:space="preserve"> = </w:t>
      </w:r>
      <w:r w:rsidR="00425B39">
        <w:t>-18.99</w:t>
      </w:r>
      <w:r>
        <w:t xml:space="preserve">, SE = </w:t>
      </w:r>
      <w:r w:rsidR="00425B39">
        <w:t>1.73</w:t>
      </w:r>
      <w:r>
        <w:t xml:space="preserve">, </w:t>
      </w:r>
      <w:r>
        <w:rPr>
          <w:i/>
          <w:iCs/>
        </w:rPr>
        <w:t>t</w:t>
      </w:r>
      <w:r>
        <w:t xml:space="preserve"> = </w:t>
      </w:r>
      <w:r w:rsidR="00425B39">
        <w:t>-10.99</w:t>
      </w:r>
      <w:r>
        <w:t xml:space="preserve">, </w:t>
      </w:r>
      <w:r>
        <w:rPr>
          <w:i/>
          <w:iCs/>
        </w:rPr>
        <w:t>p</w:t>
      </w:r>
      <w:r>
        <w:t xml:space="preserve"> </w:t>
      </w:r>
      <w:r w:rsidR="00425B39">
        <w:t>&lt; .001</w:t>
      </w:r>
      <w:r>
        <w:t>). The individual only intervention group also</w:t>
      </w:r>
      <w:r w:rsidR="00425B39">
        <w:t xml:space="preserve"> had</w:t>
      </w:r>
      <w:r>
        <w:t xml:space="preserve"> significantly worse</w:t>
      </w:r>
      <w:r w:rsidR="00425B39">
        <w:t xml:space="preserve"> post intervention reading scores that the both intervention group (</w:t>
      </w:r>
      <w:r w:rsidR="00425B39">
        <w:rPr>
          <w:i/>
          <w:iCs/>
        </w:rPr>
        <w:t>b</w:t>
      </w:r>
      <w:r w:rsidR="00425B39">
        <w:t xml:space="preserve"> = </w:t>
      </w:r>
      <w:r w:rsidR="00BD14B3">
        <w:t>-6.95</w:t>
      </w:r>
      <w:r w:rsidR="00425B39">
        <w:t xml:space="preserve">, SE = </w:t>
      </w:r>
      <w:r w:rsidR="00BD14B3">
        <w:t>1.72</w:t>
      </w:r>
      <w:r w:rsidR="00425B39">
        <w:t xml:space="preserve">, </w:t>
      </w:r>
      <w:r w:rsidR="00425B39">
        <w:rPr>
          <w:i/>
          <w:iCs/>
        </w:rPr>
        <w:t>t</w:t>
      </w:r>
      <w:r w:rsidR="00425B39">
        <w:t xml:space="preserve"> = </w:t>
      </w:r>
      <w:r w:rsidR="00BD14B3">
        <w:t>-4.03</w:t>
      </w:r>
      <w:r w:rsidR="00425B39">
        <w:t xml:space="preserve">, </w:t>
      </w:r>
      <w:r w:rsidR="00425B39">
        <w:rPr>
          <w:i/>
          <w:iCs/>
        </w:rPr>
        <w:t>p</w:t>
      </w:r>
      <w:r w:rsidR="00425B39">
        <w:t xml:space="preserve"> </w:t>
      </w:r>
      <w:r w:rsidR="00BD14B3">
        <w:t>&lt; .001</w:t>
      </w:r>
      <w:r w:rsidR="00425B39">
        <w:t>).</w:t>
      </w:r>
      <w:r w:rsidR="00425B39">
        <w:t xml:space="preserve"> And finally, the no intervention group had </w:t>
      </w:r>
      <w:r w:rsidR="00425B39">
        <w:t>significantly worse post intervention reading scores that the both intervention group (</w:t>
      </w:r>
      <w:r w:rsidR="00425B39">
        <w:rPr>
          <w:i/>
          <w:iCs/>
        </w:rPr>
        <w:t>b</w:t>
      </w:r>
      <w:r w:rsidR="00425B39">
        <w:t xml:space="preserve"> = </w:t>
      </w:r>
      <w:r w:rsidR="00BD14B3">
        <w:t>-33.80</w:t>
      </w:r>
      <w:r w:rsidR="00425B39">
        <w:t xml:space="preserve">, SE = </w:t>
      </w:r>
      <w:r w:rsidR="00BD14B3">
        <w:t>1.73</w:t>
      </w:r>
      <w:r w:rsidR="00425B39">
        <w:t xml:space="preserve">, </w:t>
      </w:r>
      <w:r w:rsidR="00425B39">
        <w:rPr>
          <w:i/>
          <w:iCs/>
        </w:rPr>
        <w:t>t</w:t>
      </w:r>
      <w:r w:rsidR="00425B39">
        <w:t xml:space="preserve"> = </w:t>
      </w:r>
      <w:r w:rsidR="00BD14B3">
        <w:t>-19.59</w:t>
      </w:r>
      <w:r w:rsidR="00425B39">
        <w:t xml:space="preserve">, </w:t>
      </w:r>
      <w:r w:rsidR="00425B39">
        <w:rPr>
          <w:i/>
          <w:iCs/>
        </w:rPr>
        <w:t>p</w:t>
      </w:r>
      <w:r w:rsidR="00425B39">
        <w:t xml:space="preserve"> </w:t>
      </w:r>
      <w:r w:rsidR="00BD14B3">
        <w:t>&lt; .001</w:t>
      </w:r>
      <w:r w:rsidR="00425B39">
        <w:t>).</w:t>
      </w:r>
      <w:r w:rsidR="00425B39">
        <w:t xml:space="preserve"> In addition, pre-intervention reading scores and IQ were significantly associated with life satisfaction (</w:t>
      </w:r>
      <w:r w:rsidR="00AE5605" w:rsidRPr="0098069D">
        <w:rPr>
          <w:rFonts w:ascii="Times New Roman" w:hAnsi="Times New Roman" w:cs="Times New Roman"/>
        </w:rPr>
        <w:t xml:space="preserve">b = </w:t>
      </w:r>
      <w:r w:rsidR="00AE5605">
        <w:rPr>
          <w:rFonts w:ascii="Times New Roman" w:hAnsi="Times New Roman" w:cs="Times New Roman"/>
        </w:rPr>
        <w:t>0.45</w:t>
      </w:r>
      <w:r w:rsidR="00AE5605" w:rsidRPr="0098069D">
        <w:rPr>
          <w:rFonts w:ascii="Times New Roman" w:hAnsi="Times New Roman" w:cs="Times New Roman"/>
        </w:rPr>
        <w:t>, SE = 0.0</w:t>
      </w:r>
      <w:r w:rsidR="00AE5605">
        <w:rPr>
          <w:rFonts w:ascii="Times New Roman" w:hAnsi="Times New Roman" w:cs="Times New Roman"/>
        </w:rPr>
        <w:t>6</w:t>
      </w:r>
      <w:r w:rsidR="00AE5605" w:rsidRPr="0098069D">
        <w:rPr>
          <w:rFonts w:ascii="Times New Roman" w:hAnsi="Times New Roman" w:cs="Times New Roman"/>
        </w:rPr>
        <w:t xml:space="preserve">, </w:t>
      </w:r>
      <w:r w:rsidR="00AE5605" w:rsidRPr="0098069D">
        <w:rPr>
          <w:rFonts w:ascii="Times New Roman" w:hAnsi="Times New Roman" w:cs="Times New Roman"/>
          <w:i/>
        </w:rPr>
        <w:t>t</w:t>
      </w:r>
      <w:r w:rsidR="00AE5605" w:rsidRPr="0098069D">
        <w:rPr>
          <w:rFonts w:ascii="Times New Roman" w:hAnsi="Times New Roman" w:cs="Times New Roman"/>
        </w:rPr>
        <w:t xml:space="preserve"> = </w:t>
      </w:r>
      <w:r w:rsidR="00AE5605">
        <w:rPr>
          <w:rFonts w:ascii="Times New Roman" w:hAnsi="Times New Roman" w:cs="Times New Roman"/>
        </w:rPr>
        <w:t>7.15</w:t>
      </w:r>
      <w:r w:rsidR="00AE5605" w:rsidRPr="0098069D">
        <w:rPr>
          <w:rFonts w:ascii="Times New Roman" w:hAnsi="Times New Roman" w:cs="Times New Roman"/>
        </w:rPr>
        <w:t xml:space="preserve">, </w:t>
      </w:r>
      <w:r w:rsidR="00AE5605" w:rsidRPr="0098069D">
        <w:rPr>
          <w:rFonts w:ascii="Times New Roman" w:hAnsi="Times New Roman" w:cs="Times New Roman"/>
          <w:i/>
        </w:rPr>
        <w:t>p</w:t>
      </w:r>
      <w:r w:rsidR="00AE5605" w:rsidRPr="0098069D">
        <w:rPr>
          <w:rFonts w:ascii="Times New Roman" w:hAnsi="Times New Roman" w:cs="Times New Roman"/>
        </w:rPr>
        <w:t xml:space="preserve"> &lt; .001, b = 0.</w:t>
      </w:r>
      <w:r w:rsidR="00AE5605">
        <w:rPr>
          <w:rFonts w:ascii="Times New Roman" w:hAnsi="Times New Roman" w:cs="Times New Roman"/>
        </w:rPr>
        <w:t>33</w:t>
      </w:r>
      <w:r w:rsidR="00AE5605" w:rsidRPr="0098069D">
        <w:rPr>
          <w:rFonts w:ascii="Times New Roman" w:hAnsi="Times New Roman" w:cs="Times New Roman"/>
        </w:rPr>
        <w:t>, SE = 0.0</w:t>
      </w:r>
      <w:r w:rsidR="00AE5605">
        <w:rPr>
          <w:rFonts w:ascii="Times New Roman" w:hAnsi="Times New Roman" w:cs="Times New Roman"/>
        </w:rPr>
        <w:t>4</w:t>
      </w:r>
      <w:r w:rsidR="00AE5605" w:rsidRPr="0098069D">
        <w:rPr>
          <w:rFonts w:ascii="Times New Roman" w:hAnsi="Times New Roman" w:cs="Times New Roman"/>
        </w:rPr>
        <w:t xml:space="preserve">, </w:t>
      </w:r>
      <w:r w:rsidR="00AE5605" w:rsidRPr="0098069D">
        <w:rPr>
          <w:rFonts w:ascii="Times New Roman" w:hAnsi="Times New Roman" w:cs="Times New Roman"/>
          <w:i/>
        </w:rPr>
        <w:t>t</w:t>
      </w:r>
      <w:r w:rsidR="00AE5605" w:rsidRPr="0098069D">
        <w:rPr>
          <w:rFonts w:ascii="Times New Roman" w:hAnsi="Times New Roman" w:cs="Times New Roman"/>
        </w:rPr>
        <w:t xml:space="preserve"> = 8.</w:t>
      </w:r>
      <w:r w:rsidR="00AE5605">
        <w:rPr>
          <w:rFonts w:ascii="Times New Roman" w:hAnsi="Times New Roman" w:cs="Times New Roman"/>
        </w:rPr>
        <w:t>15</w:t>
      </w:r>
      <w:r w:rsidR="00AE5605" w:rsidRPr="0098069D">
        <w:rPr>
          <w:rFonts w:ascii="Times New Roman" w:hAnsi="Times New Roman" w:cs="Times New Roman"/>
        </w:rPr>
        <w:t xml:space="preserve">, </w:t>
      </w:r>
      <w:r w:rsidR="00AE5605" w:rsidRPr="0098069D">
        <w:rPr>
          <w:rFonts w:ascii="Times New Roman" w:hAnsi="Times New Roman" w:cs="Times New Roman"/>
          <w:i/>
        </w:rPr>
        <w:t>p</w:t>
      </w:r>
      <w:r w:rsidR="00AE5605" w:rsidRPr="0098069D">
        <w:rPr>
          <w:rFonts w:ascii="Times New Roman" w:hAnsi="Times New Roman" w:cs="Times New Roman"/>
        </w:rPr>
        <w:t xml:space="preserve"> &lt; .001</w:t>
      </w:r>
      <w:r w:rsidR="00425B39">
        <w:t>), while age was not (</w:t>
      </w:r>
      <w:r w:rsidR="00AE5605" w:rsidRPr="0098069D">
        <w:rPr>
          <w:rFonts w:ascii="Times New Roman" w:hAnsi="Times New Roman" w:cs="Times New Roman"/>
        </w:rPr>
        <w:t xml:space="preserve">b = </w:t>
      </w:r>
      <w:r w:rsidR="00AE5605">
        <w:rPr>
          <w:rFonts w:ascii="Times New Roman" w:hAnsi="Times New Roman" w:cs="Times New Roman"/>
        </w:rPr>
        <w:t>0.</w:t>
      </w:r>
      <w:r w:rsidR="00AE5605">
        <w:rPr>
          <w:rFonts w:ascii="Times New Roman" w:hAnsi="Times New Roman" w:cs="Times New Roman"/>
        </w:rPr>
        <w:t>12</w:t>
      </w:r>
      <w:r w:rsidR="00AE5605" w:rsidRPr="0098069D">
        <w:rPr>
          <w:rFonts w:ascii="Times New Roman" w:hAnsi="Times New Roman" w:cs="Times New Roman"/>
        </w:rPr>
        <w:t xml:space="preserve">, SE = </w:t>
      </w:r>
      <w:r w:rsidR="00AE5605">
        <w:rPr>
          <w:rFonts w:ascii="Times New Roman" w:hAnsi="Times New Roman" w:cs="Times New Roman"/>
        </w:rPr>
        <w:t>1.39</w:t>
      </w:r>
      <w:r w:rsidR="00AE5605" w:rsidRPr="0098069D">
        <w:rPr>
          <w:rFonts w:ascii="Times New Roman" w:hAnsi="Times New Roman" w:cs="Times New Roman"/>
        </w:rPr>
        <w:t xml:space="preserve">, </w:t>
      </w:r>
      <w:r w:rsidR="00AE5605" w:rsidRPr="0098069D">
        <w:rPr>
          <w:rFonts w:ascii="Times New Roman" w:hAnsi="Times New Roman" w:cs="Times New Roman"/>
          <w:i/>
        </w:rPr>
        <w:t>t</w:t>
      </w:r>
      <w:r w:rsidR="00AE5605" w:rsidRPr="0098069D">
        <w:rPr>
          <w:rFonts w:ascii="Times New Roman" w:hAnsi="Times New Roman" w:cs="Times New Roman"/>
        </w:rPr>
        <w:t xml:space="preserve"> = </w:t>
      </w:r>
      <w:r w:rsidR="00AE5605">
        <w:rPr>
          <w:rFonts w:ascii="Times New Roman" w:hAnsi="Times New Roman" w:cs="Times New Roman"/>
        </w:rPr>
        <w:t>0.09</w:t>
      </w:r>
      <w:r w:rsidR="00AE5605" w:rsidRPr="0098069D">
        <w:rPr>
          <w:rFonts w:ascii="Times New Roman" w:hAnsi="Times New Roman" w:cs="Times New Roman"/>
        </w:rPr>
        <w:t xml:space="preserve">, </w:t>
      </w:r>
      <w:r w:rsidR="00AE5605" w:rsidRPr="0098069D">
        <w:rPr>
          <w:rFonts w:ascii="Times New Roman" w:hAnsi="Times New Roman" w:cs="Times New Roman"/>
          <w:i/>
        </w:rPr>
        <w:t>p</w:t>
      </w:r>
      <w:r w:rsidR="00AE5605" w:rsidRPr="0098069D">
        <w:rPr>
          <w:rFonts w:ascii="Times New Roman" w:hAnsi="Times New Roman" w:cs="Times New Roman"/>
        </w:rPr>
        <w:t xml:space="preserve"> </w:t>
      </w:r>
      <w:r w:rsidR="00AE5605">
        <w:rPr>
          <w:rFonts w:ascii="Times New Roman" w:hAnsi="Times New Roman" w:cs="Times New Roman"/>
        </w:rPr>
        <w:t>=</w:t>
      </w:r>
      <w:r w:rsidR="00AE5605" w:rsidRPr="0098069D">
        <w:rPr>
          <w:rFonts w:ascii="Times New Roman" w:hAnsi="Times New Roman" w:cs="Times New Roman"/>
        </w:rPr>
        <w:t xml:space="preserve"> .</w:t>
      </w:r>
      <w:r w:rsidR="00AE5605">
        <w:rPr>
          <w:rFonts w:ascii="Times New Roman" w:hAnsi="Times New Roman" w:cs="Times New Roman"/>
        </w:rPr>
        <w:t>9289</w:t>
      </w:r>
      <w:r w:rsidR="00425B39">
        <w:t>).</w:t>
      </w:r>
    </w:p>
    <w:p w14:paraId="296ECBB9" w14:textId="1A8A3D5E" w:rsidR="00525E83" w:rsidRDefault="00525E83">
      <w:bookmarkStart w:id="0" w:name="_GoBack"/>
      <w:bookmarkEnd w:id="0"/>
    </w:p>
    <w:p w14:paraId="44610BBA" w14:textId="77777777" w:rsidR="00525E83" w:rsidRDefault="00525E8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2655"/>
      </w:tblGrid>
      <w:tr w:rsidR="00525E83" w:rsidRPr="00525E83" w14:paraId="0D8D5ACA" w14:textId="77777777" w:rsidTr="00525E83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BABDF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  <w:b/>
                <w:bCs/>
              </w:rPr>
              <w:t>Intervention Group and Reading Test Scores</w:t>
            </w:r>
          </w:p>
        </w:tc>
      </w:tr>
      <w:tr w:rsidR="00525E83" w:rsidRPr="00525E83" w14:paraId="7EEDD844" w14:textId="77777777" w:rsidTr="00525E83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02E0A385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525E83" w:rsidRPr="00525E83" w14:paraId="41DE5671" w14:textId="77777777" w:rsidTr="0052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E9654" w14:textId="77777777" w:rsidR="00525E83" w:rsidRPr="00525E83" w:rsidRDefault="00525E83" w:rsidP="00525E8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29D507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  <w:i/>
                <w:iCs/>
              </w:rPr>
              <w:t>Dependent variable:</w:t>
            </w:r>
          </w:p>
        </w:tc>
      </w:tr>
      <w:tr w:rsidR="00525E83" w:rsidRPr="00525E83" w14:paraId="4BFA2945" w14:textId="77777777" w:rsidTr="0052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71248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97516D7" w14:textId="77777777" w:rsidR="00525E83" w:rsidRPr="00525E83" w:rsidRDefault="00525E83" w:rsidP="00525E8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83" w:rsidRPr="00525E83" w14:paraId="05BC7FDE" w14:textId="77777777" w:rsidTr="0052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E1CDF" w14:textId="77777777" w:rsidR="00525E83" w:rsidRPr="00525E83" w:rsidRDefault="00525E83" w:rsidP="00525E8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768AED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POSTREAD</w:t>
            </w:r>
          </w:p>
        </w:tc>
      </w:tr>
      <w:tr w:rsidR="00525E83" w:rsidRPr="00525E83" w14:paraId="3712C66C" w14:textId="77777777" w:rsidTr="00525E83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2B820BFE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525E83" w:rsidRPr="00525E83" w14:paraId="378C6349" w14:textId="77777777" w:rsidTr="0052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2EB15" w14:textId="77777777" w:rsidR="00525E83" w:rsidRPr="00525E83" w:rsidRDefault="00525E83" w:rsidP="00525E83">
            <w:pPr>
              <w:rPr>
                <w:rFonts w:ascii="Times" w:eastAsia="Times New Roman" w:hAnsi="Times" w:cs="Times New Roman"/>
              </w:rPr>
            </w:pPr>
            <w:proofErr w:type="spellStart"/>
            <w:r w:rsidRPr="00525E83">
              <w:rPr>
                <w:rFonts w:ascii="Times" w:eastAsia="Times New Roman" w:hAnsi="Times" w:cs="Times New Roman"/>
              </w:rPr>
              <w:t>group_catgroup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17A45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-18.994</w:t>
            </w:r>
            <w:r w:rsidRPr="00525E83">
              <w:rPr>
                <w:rFonts w:ascii="Times" w:eastAsia="Times New Roman" w:hAnsi="Times" w:cs="Times New Roman"/>
                <w:vertAlign w:val="superscript"/>
              </w:rPr>
              <w:t>***</w:t>
            </w:r>
            <w:r w:rsidRPr="00525E83">
              <w:rPr>
                <w:rFonts w:ascii="Times" w:eastAsia="Times New Roman" w:hAnsi="Times" w:cs="Times New Roman"/>
              </w:rPr>
              <w:t> (1.728)</w:t>
            </w:r>
          </w:p>
        </w:tc>
      </w:tr>
      <w:tr w:rsidR="00525E83" w:rsidRPr="00525E83" w14:paraId="079CD491" w14:textId="77777777" w:rsidTr="0052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9C688" w14:textId="77777777" w:rsidR="00525E83" w:rsidRPr="00525E83" w:rsidRDefault="00525E83" w:rsidP="00525E83">
            <w:pPr>
              <w:rPr>
                <w:rFonts w:ascii="Times" w:eastAsia="Times New Roman" w:hAnsi="Times" w:cs="Times New Roman"/>
              </w:rPr>
            </w:pPr>
            <w:proofErr w:type="spellStart"/>
            <w:r w:rsidRPr="00525E83">
              <w:rPr>
                <w:rFonts w:ascii="Times" w:eastAsia="Times New Roman" w:hAnsi="Times" w:cs="Times New Roman"/>
              </w:rPr>
              <w:t>group_catindividual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20F2C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-6.948</w:t>
            </w:r>
            <w:r w:rsidRPr="00525E83">
              <w:rPr>
                <w:rFonts w:ascii="Times" w:eastAsia="Times New Roman" w:hAnsi="Times" w:cs="Times New Roman"/>
                <w:vertAlign w:val="superscript"/>
              </w:rPr>
              <w:t>***</w:t>
            </w:r>
            <w:r w:rsidRPr="00525E83">
              <w:rPr>
                <w:rFonts w:ascii="Times" w:eastAsia="Times New Roman" w:hAnsi="Times" w:cs="Times New Roman"/>
              </w:rPr>
              <w:t> (1.722)</w:t>
            </w:r>
          </w:p>
        </w:tc>
      </w:tr>
      <w:tr w:rsidR="00525E83" w:rsidRPr="00525E83" w14:paraId="413B8FB9" w14:textId="77777777" w:rsidTr="0052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38064" w14:textId="77777777" w:rsidR="00525E83" w:rsidRPr="00525E83" w:rsidRDefault="00525E83" w:rsidP="00525E83">
            <w:pPr>
              <w:rPr>
                <w:rFonts w:ascii="Times" w:eastAsia="Times New Roman" w:hAnsi="Times" w:cs="Times New Roman"/>
              </w:rPr>
            </w:pPr>
            <w:proofErr w:type="spellStart"/>
            <w:r w:rsidRPr="00525E83">
              <w:rPr>
                <w:rFonts w:ascii="Times" w:eastAsia="Times New Roman" w:hAnsi="Times" w:cs="Times New Roman"/>
              </w:rPr>
              <w:t>group_catno</w:t>
            </w:r>
            <w:proofErr w:type="spellEnd"/>
            <w:r w:rsidRPr="00525E83">
              <w:rPr>
                <w:rFonts w:ascii="Times" w:eastAsia="Times New Roman" w:hAnsi="Times" w:cs="Times New Roman"/>
              </w:rPr>
              <w:t xml:space="preserve"> intervention</w:t>
            </w:r>
          </w:p>
        </w:tc>
        <w:tc>
          <w:tcPr>
            <w:tcW w:w="0" w:type="auto"/>
            <w:vAlign w:val="center"/>
            <w:hideMark/>
          </w:tcPr>
          <w:p w14:paraId="03B13B46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-33.803</w:t>
            </w:r>
            <w:r w:rsidRPr="00525E83">
              <w:rPr>
                <w:rFonts w:ascii="Times" w:eastAsia="Times New Roman" w:hAnsi="Times" w:cs="Times New Roman"/>
                <w:vertAlign w:val="superscript"/>
              </w:rPr>
              <w:t>***</w:t>
            </w:r>
            <w:r w:rsidRPr="00525E83">
              <w:rPr>
                <w:rFonts w:ascii="Times" w:eastAsia="Times New Roman" w:hAnsi="Times" w:cs="Times New Roman"/>
              </w:rPr>
              <w:t> (1.726)</w:t>
            </w:r>
          </w:p>
        </w:tc>
      </w:tr>
      <w:tr w:rsidR="00525E83" w:rsidRPr="00525E83" w14:paraId="1518EF56" w14:textId="77777777" w:rsidTr="0052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574E4" w14:textId="77777777" w:rsidR="00525E83" w:rsidRPr="00525E83" w:rsidRDefault="00525E83" w:rsidP="00525E83">
            <w:pPr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PREREAD</w:t>
            </w:r>
          </w:p>
        </w:tc>
        <w:tc>
          <w:tcPr>
            <w:tcW w:w="0" w:type="auto"/>
            <w:vAlign w:val="center"/>
            <w:hideMark/>
          </w:tcPr>
          <w:p w14:paraId="5D6209A5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0.450</w:t>
            </w:r>
            <w:r w:rsidRPr="00525E83">
              <w:rPr>
                <w:rFonts w:ascii="Times" w:eastAsia="Times New Roman" w:hAnsi="Times" w:cs="Times New Roman"/>
                <w:vertAlign w:val="superscript"/>
              </w:rPr>
              <w:t>***</w:t>
            </w:r>
            <w:r w:rsidRPr="00525E83">
              <w:rPr>
                <w:rFonts w:ascii="Times" w:eastAsia="Times New Roman" w:hAnsi="Times" w:cs="Times New Roman"/>
              </w:rPr>
              <w:t> (0.063)</w:t>
            </w:r>
          </w:p>
        </w:tc>
      </w:tr>
      <w:tr w:rsidR="00525E83" w:rsidRPr="00525E83" w14:paraId="169804B1" w14:textId="77777777" w:rsidTr="0052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27B66" w14:textId="77777777" w:rsidR="00525E83" w:rsidRPr="00525E83" w:rsidRDefault="00525E83" w:rsidP="00525E83">
            <w:pPr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C64EB00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0.124 (1.389)</w:t>
            </w:r>
          </w:p>
        </w:tc>
      </w:tr>
      <w:tr w:rsidR="00525E83" w:rsidRPr="00525E83" w14:paraId="294942AD" w14:textId="77777777" w:rsidTr="0052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8BBC9" w14:textId="77777777" w:rsidR="00525E83" w:rsidRPr="00525E83" w:rsidRDefault="00525E83" w:rsidP="00525E83">
            <w:pPr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IQ</w:t>
            </w:r>
          </w:p>
        </w:tc>
        <w:tc>
          <w:tcPr>
            <w:tcW w:w="0" w:type="auto"/>
            <w:vAlign w:val="center"/>
            <w:hideMark/>
          </w:tcPr>
          <w:p w14:paraId="414904C8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0.328</w:t>
            </w:r>
            <w:r w:rsidRPr="00525E83">
              <w:rPr>
                <w:rFonts w:ascii="Times" w:eastAsia="Times New Roman" w:hAnsi="Times" w:cs="Times New Roman"/>
                <w:vertAlign w:val="superscript"/>
              </w:rPr>
              <w:t>***</w:t>
            </w:r>
            <w:r w:rsidRPr="00525E83">
              <w:rPr>
                <w:rFonts w:ascii="Times" w:eastAsia="Times New Roman" w:hAnsi="Times" w:cs="Times New Roman"/>
              </w:rPr>
              <w:t> (0.040)</w:t>
            </w:r>
          </w:p>
        </w:tc>
      </w:tr>
      <w:tr w:rsidR="00525E83" w:rsidRPr="00525E83" w14:paraId="4A27D9E4" w14:textId="77777777" w:rsidTr="0052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FAE67" w14:textId="77777777" w:rsidR="00525E83" w:rsidRPr="00525E83" w:rsidRDefault="00525E83" w:rsidP="00525E83">
            <w:pPr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75229129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28.118</w:t>
            </w:r>
            <w:r w:rsidRPr="00525E83">
              <w:rPr>
                <w:rFonts w:ascii="Times" w:eastAsia="Times New Roman" w:hAnsi="Times" w:cs="Times New Roman"/>
                <w:vertAlign w:val="superscript"/>
              </w:rPr>
              <w:t>**</w:t>
            </w:r>
            <w:r w:rsidRPr="00525E83">
              <w:rPr>
                <w:rFonts w:ascii="Times" w:eastAsia="Times New Roman" w:hAnsi="Times" w:cs="Times New Roman"/>
              </w:rPr>
              <w:t> (10.995)</w:t>
            </w:r>
          </w:p>
        </w:tc>
      </w:tr>
      <w:tr w:rsidR="00525E83" w:rsidRPr="00525E83" w14:paraId="7F79DC00" w14:textId="77777777" w:rsidTr="00525E83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75DECD60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525E83" w:rsidRPr="00525E83" w14:paraId="353D8B71" w14:textId="77777777" w:rsidTr="0052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9DD39" w14:textId="77777777" w:rsidR="00525E83" w:rsidRPr="00525E83" w:rsidRDefault="00525E83" w:rsidP="00525E83">
            <w:pPr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0CA87282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200</w:t>
            </w:r>
          </w:p>
        </w:tc>
      </w:tr>
      <w:tr w:rsidR="00525E83" w:rsidRPr="00525E83" w14:paraId="237EE172" w14:textId="77777777" w:rsidTr="0052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B4575" w14:textId="77777777" w:rsidR="00525E83" w:rsidRPr="00525E83" w:rsidRDefault="00525E83" w:rsidP="00525E83">
            <w:pPr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R</w:t>
            </w:r>
            <w:r w:rsidRPr="00525E83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445BB4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0.741</w:t>
            </w:r>
          </w:p>
        </w:tc>
      </w:tr>
      <w:tr w:rsidR="00525E83" w:rsidRPr="00525E83" w14:paraId="3788A992" w14:textId="77777777" w:rsidTr="0052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B9480" w14:textId="77777777" w:rsidR="00525E83" w:rsidRPr="00525E83" w:rsidRDefault="00525E83" w:rsidP="00525E83">
            <w:pPr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Adjusted R</w:t>
            </w:r>
            <w:r w:rsidRPr="00525E83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9CD448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0.733</w:t>
            </w:r>
          </w:p>
        </w:tc>
      </w:tr>
      <w:tr w:rsidR="00525E83" w:rsidRPr="00525E83" w14:paraId="5F874FD6" w14:textId="77777777" w:rsidTr="0052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E1099" w14:textId="77777777" w:rsidR="00525E83" w:rsidRPr="00525E83" w:rsidRDefault="00525E83" w:rsidP="00525E83">
            <w:pPr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322F66CB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8.596 (df = 193)</w:t>
            </w:r>
          </w:p>
        </w:tc>
      </w:tr>
      <w:tr w:rsidR="00525E83" w:rsidRPr="00525E83" w14:paraId="34D96364" w14:textId="77777777" w:rsidTr="0052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EB9A1" w14:textId="77777777" w:rsidR="00525E83" w:rsidRPr="00525E83" w:rsidRDefault="00525E83" w:rsidP="00525E83">
            <w:pPr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00F43D1E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</w:rPr>
              <w:t>91.984</w:t>
            </w:r>
            <w:r w:rsidRPr="00525E83">
              <w:rPr>
                <w:rFonts w:ascii="Times" w:eastAsia="Times New Roman" w:hAnsi="Times" w:cs="Times New Roman"/>
                <w:vertAlign w:val="superscript"/>
              </w:rPr>
              <w:t>***</w:t>
            </w:r>
            <w:r w:rsidRPr="00525E83">
              <w:rPr>
                <w:rFonts w:ascii="Times" w:eastAsia="Times New Roman" w:hAnsi="Times" w:cs="Times New Roman"/>
              </w:rPr>
              <w:t> (df = 6; 193)</w:t>
            </w:r>
          </w:p>
        </w:tc>
      </w:tr>
      <w:tr w:rsidR="00525E83" w:rsidRPr="00525E83" w14:paraId="7101790C" w14:textId="77777777" w:rsidTr="00525E83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12C6D5B7" w14:textId="77777777" w:rsidR="00525E83" w:rsidRPr="00525E83" w:rsidRDefault="00525E83" w:rsidP="00525E83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525E83" w:rsidRPr="00525E83" w14:paraId="61F46ACC" w14:textId="77777777" w:rsidTr="00525E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DC651" w14:textId="77777777" w:rsidR="00525E83" w:rsidRPr="00525E83" w:rsidRDefault="00525E83" w:rsidP="00525E83">
            <w:pPr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  <w:i/>
                <w:iCs/>
              </w:rPr>
              <w:t>Note:</w:t>
            </w:r>
          </w:p>
        </w:tc>
        <w:tc>
          <w:tcPr>
            <w:tcW w:w="0" w:type="auto"/>
            <w:vAlign w:val="center"/>
            <w:hideMark/>
          </w:tcPr>
          <w:p w14:paraId="39FE0AE3" w14:textId="77777777" w:rsidR="00525E83" w:rsidRPr="00525E83" w:rsidRDefault="00525E83" w:rsidP="00525E83">
            <w:pPr>
              <w:jc w:val="right"/>
              <w:rPr>
                <w:rFonts w:ascii="Times" w:eastAsia="Times New Roman" w:hAnsi="Times" w:cs="Times New Roman"/>
              </w:rPr>
            </w:pPr>
            <w:r w:rsidRPr="00525E83">
              <w:rPr>
                <w:rFonts w:ascii="Times" w:eastAsia="Times New Roman" w:hAnsi="Times" w:cs="Times New Roman"/>
                <w:vertAlign w:val="superscript"/>
              </w:rPr>
              <w:t>*</w:t>
            </w:r>
            <w:r w:rsidRPr="00525E83">
              <w:rPr>
                <w:rFonts w:ascii="Times" w:eastAsia="Times New Roman" w:hAnsi="Times" w:cs="Times New Roman"/>
              </w:rPr>
              <w:t>p&lt;0.1; </w:t>
            </w:r>
            <w:r w:rsidRPr="00525E83">
              <w:rPr>
                <w:rFonts w:ascii="Times" w:eastAsia="Times New Roman" w:hAnsi="Times" w:cs="Times New Roman"/>
                <w:vertAlign w:val="superscript"/>
              </w:rPr>
              <w:t>**</w:t>
            </w:r>
            <w:r w:rsidRPr="00525E83">
              <w:rPr>
                <w:rFonts w:ascii="Times" w:eastAsia="Times New Roman" w:hAnsi="Times" w:cs="Times New Roman"/>
              </w:rPr>
              <w:t>p&lt;0.05; </w:t>
            </w:r>
            <w:r w:rsidRPr="00525E83">
              <w:rPr>
                <w:rFonts w:ascii="Times" w:eastAsia="Times New Roman" w:hAnsi="Times" w:cs="Times New Roman"/>
                <w:vertAlign w:val="superscript"/>
              </w:rPr>
              <w:t>***</w:t>
            </w:r>
            <w:r w:rsidRPr="00525E83">
              <w:rPr>
                <w:rFonts w:ascii="Times" w:eastAsia="Times New Roman" w:hAnsi="Times" w:cs="Times New Roman"/>
              </w:rPr>
              <w:t>p&lt;0.01</w:t>
            </w:r>
          </w:p>
        </w:tc>
      </w:tr>
    </w:tbl>
    <w:p w14:paraId="2690BA5A" w14:textId="77777777" w:rsidR="00525E83" w:rsidRDefault="00525E83"/>
    <w:sectPr w:rsidR="00525E83" w:rsidSect="0050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04"/>
    <w:rsid w:val="001E0704"/>
    <w:rsid w:val="00425B39"/>
    <w:rsid w:val="005034D2"/>
    <w:rsid w:val="00522901"/>
    <w:rsid w:val="00525E83"/>
    <w:rsid w:val="00990CA4"/>
    <w:rsid w:val="00AB0939"/>
    <w:rsid w:val="00AE5605"/>
    <w:rsid w:val="00BD14B3"/>
    <w:rsid w:val="00DE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02FDA"/>
  <w15:chartTrackingRefBased/>
  <w15:docId w15:val="{F1E3F09D-A8BF-294A-B8A3-24FDB902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5E83"/>
    <w:rPr>
      <w:b/>
      <w:bCs/>
    </w:rPr>
  </w:style>
  <w:style w:type="character" w:styleId="Emphasis">
    <w:name w:val="Emphasis"/>
    <w:basedOn w:val="DefaultParagraphFont"/>
    <w:uiPriority w:val="20"/>
    <w:qFormat/>
    <w:rsid w:val="00525E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4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Popal</dc:creator>
  <cp:keywords/>
  <dc:description/>
  <cp:lastModifiedBy>Haroon Popal</cp:lastModifiedBy>
  <cp:revision>5</cp:revision>
  <dcterms:created xsi:type="dcterms:W3CDTF">2019-09-27T12:18:00Z</dcterms:created>
  <dcterms:modified xsi:type="dcterms:W3CDTF">2019-09-27T12:35:00Z</dcterms:modified>
</cp:coreProperties>
</file>