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93AFA" w14:textId="77777777" w:rsidR="00271B7C" w:rsidRDefault="00462CFE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Mathematical Formulation - The Heat Route to Firm Green Hydrogen</w:t>
      </w:r>
    </w:p>
    <w:p w14:paraId="50983720" w14:textId="77777777" w:rsidR="00271B7C" w:rsidRDefault="00462CFE">
      <w:pPr>
        <w:jc w:val="center"/>
      </w:pPr>
      <w:r>
        <w:t>Complete set of governing, thermodynamic, exergetic, economic, environmental and dimensionless equations, with discussion</w:t>
      </w:r>
    </w:p>
    <w:p w14:paraId="7A87AA34" w14:textId="77777777" w:rsidR="00271B7C" w:rsidRDefault="00462CFE">
      <w:pPr>
        <w:jc w:val="center"/>
        <w:rPr>
          <w:sz w:val="20"/>
          <w:szCs w:val="20"/>
        </w:rPr>
      </w:pPr>
      <w:r>
        <w:rPr>
          <w:sz w:val="20"/>
          <w:szCs w:val="20"/>
        </w:rPr>
        <w:t>Companion to the MATLAB implementation (HeatRouteFirmH2). Prepared for Prof. H. S. S. AbdelMeguid.</w:t>
      </w:r>
    </w:p>
    <w:p w14:paraId="41997617" w14:textId="77777777" w:rsidR="00271B7C" w:rsidRDefault="00462CFE">
      <w:pPr>
        <w:pStyle w:val="Heading1"/>
        <w:spacing w:before="240" w:after="120"/>
        <w:rPr>
          <w:b/>
          <w:color w:val="1F3864"/>
          <w:sz w:val="34"/>
        </w:rPr>
      </w:pPr>
      <w:r>
        <w:rPr>
          <w:b/>
          <w:color w:val="1F3864"/>
          <w:sz w:val="34"/>
        </w:rPr>
        <w:t>1. Hydrogen Thermodynamics and Reference Voltages</w:t>
      </w:r>
    </w:p>
    <w:p w14:paraId="37542B18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rev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</m:e>
              <m:sup>
                <m:r>
                  <w:rPr>
                    <w:rFonts w:ascii="Cambria Math" w:hAnsi="Cambria Math"/>
                  </w:rPr>
                  <m:t>0</m:t>
                </m:r>
              </m:sup>
            </m:sSup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 xml:space="preserve">· </m:t>
            </m:r>
            <m:r>
              <w:rPr>
                <w:rFonts w:ascii="Cambria Math" w:hAnsi="Cambria Math"/>
              </w:rPr>
              <m:t>F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237200</m:t>
            </m:r>
          </m:num>
          <m:den>
            <m:r>
              <w:rPr>
                <w:rFonts w:ascii="Cambria Math" w:hAnsi="Cambria Math"/>
              </w:rPr>
              <m:t>2· 96485</m:t>
            </m:r>
          </m:den>
        </m:f>
        <m:r>
          <w:rPr>
            <w:rFonts w:ascii="Cambria Math" w:hAnsi="Cambria Math"/>
          </w:rPr>
          <m:t xml:space="preserve">=1.229 </m:t>
        </m:r>
        <m:r>
          <w:rPr>
            <w:rFonts w:ascii="Cambria Math" w:hAnsi="Cambria Math"/>
          </w:rPr>
          <m:t>V</m:t>
        </m:r>
      </m:oMath>
      <w:r>
        <w:tab/>
        <w:t>(1)</w:t>
      </w:r>
    </w:p>
    <w:p w14:paraId="33061049" w14:textId="77777777" w:rsidR="00271B7C" w:rsidRDefault="00462CFE">
      <w:pPr>
        <w:ind w:left="180"/>
        <w:rPr>
          <w:sz w:val="21"/>
        </w:rPr>
      </w:pPr>
      <w:r>
        <w:rPr>
          <w:sz w:val="21"/>
        </w:rPr>
        <w:t>Reversible cell voltage: the minimum electrical work per unit charge to split water at standard conditions, set by the Gibbs free energy of reaction. It is the thermodynamic floor of the electrolysis voltage.</w:t>
      </w:r>
    </w:p>
    <w:p w14:paraId="0AAB8ED3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tn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0</m:t>
                </m:r>
              </m:sup>
            </m:sSup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 xml:space="preserve">· </m:t>
            </m:r>
            <m:r>
              <w:rPr>
                <w:rFonts w:ascii="Cambria Math" w:hAnsi="Cambria Math"/>
              </w:rPr>
              <m:t>F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285800</m:t>
            </m:r>
          </m:num>
          <m:den>
            <m:r>
              <w:rPr>
                <w:rFonts w:ascii="Cambria Math" w:hAnsi="Cambria Math"/>
              </w:rPr>
              <m:t>2· 96485</m:t>
            </m:r>
          </m:den>
        </m:f>
        <m:r>
          <w:rPr>
            <w:rFonts w:ascii="Cambria Math" w:hAnsi="Cambria Math"/>
          </w:rPr>
          <m:t xml:space="preserve">=1.481 </m:t>
        </m:r>
        <m:r>
          <w:rPr>
            <w:rFonts w:ascii="Cambria Math" w:hAnsi="Cambria Math"/>
          </w:rPr>
          <m:t>V</m:t>
        </m:r>
      </m:oMath>
      <w:r>
        <w:tab/>
        <w:t>(2)</w:t>
      </w:r>
    </w:p>
    <w:p w14:paraId="7292E102" w14:textId="77777777" w:rsidR="00271B7C" w:rsidRDefault="00462CFE">
      <w:pPr>
        <w:ind w:left="180"/>
        <w:rPr>
          <w:sz w:val="21"/>
        </w:rPr>
      </w:pPr>
      <w:r>
        <w:rPr>
          <w:sz w:val="21"/>
        </w:rPr>
        <w:t>Thermoneutral voltage: the voltage at which the electrical input alone supplies the full reaction enthalpy. Operating below it leaves an enthalpy deficit that must be supplied as heat - the basis of the heat route.</w:t>
      </w:r>
    </w:p>
    <w:p w14:paraId="07CEF7F3" w14:textId="77777777" w:rsidR="00271B7C" w:rsidRDefault="00462CFE">
      <w:pPr>
        <w:pStyle w:val="Heading1"/>
        <w:spacing w:before="240" w:after="120"/>
        <w:rPr>
          <w:b/>
          <w:color w:val="1F3864"/>
          <w:sz w:val="34"/>
        </w:rPr>
      </w:pPr>
      <w:r>
        <w:rPr>
          <w:b/>
          <w:color w:val="1F3864"/>
          <w:sz w:val="34"/>
        </w:rPr>
        <w:t>2. Solar Geometry and Resource</w:t>
      </w:r>
    </w:p>
    <w:p w14:paraId="2A0AE03F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=23.4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·</m:t>
        </m:r>
        <m: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(36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284+</m:t>
            </m:r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365</m:t>
            </m:r>
          </m:den>
        </m:f>
        <m:r>
          <w:rPr>
            <w:rFonts w:ascii="Cambria Math" w:hAnsi="Cambria Math"/>
          </w:rPr>
          <m:t>)</m:t>
        </m:r>
      </m:oMath>
      <w:r>
        <w:tab/>
        <w:t>(3)</w:t>
      </w:r>
    </w:p>
    <w:p w14:paraId="7E49A8D9" w14:textId="77777777" w:rsidR="00271B7C" w:rsidRDefault="00462CFE">
      <w:pPr>
        <w:ind w:left="180"/>
        <w:rPr>
          <w:sz w:val="21"/>
        </w:rPr>
      </w:pPr>
      <w:r>
        <w:rPr>
          <w:sz w:val="21"/>
        </w:rPr>
        <w:t>Solar declination as a function of day of year n (Cooper). It fixes the seasonal solar path and, with latitude, the daily irradiation envelope used to synthesise the resource.</w:t>
      </w:r>
    </w:p>
    <w:p w14:paraId="6ADF9679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=1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·(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solar</m:t>
            </m:r>
          </m:sub>
        </m:sSub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12)</m:t>
        </m:r>
      </m:oMath>
      <w:r>
        <w:tab/>
        <w:t>(4)</w:t>
      </w:r>
    </w:p>
    <w:p w14:paraId="1E9C93B9" w14:textId="77777777" w:rsidR="00271B7C" w:rsidRDefault="00462CFE">
      <w:pPr>
        <w:ind w:left="180"/>
        <w:rPr>
          <w:sz w:val="21"/>
        </w:rPr>
      </w:pPr>
      <w:r>
        <w:rPr>
          <w:sz w:val="21"/>
        </w:rPr>
        <w:t>Hour angle: the angular displacement of the sun from solar noon, 15 degrees per hour, locating the sun through the day.</w:t>
      </w:r>
    </w:p>
    <w:p w14:paraId="77DBEC1B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r>
          <w:rPr>
            <w:rFonts w:ascii="Cambria Math" w:hAnsi="Cambria Math"/>
          </w:rPr>
          <m:t>cos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sinδsinφ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cosδcosφcosω</m:t>
        </m:r>
      </m:oMath>
      <w:r>
        <w:tab/>
        <w:t>(5)</w:t>
      </w:r>
    </w:p>
    <w:p w14:paraId="4AFDC816" w14:textId="77777777" w:rsidR="00271B7C" w:rsidRDefault="00462CFE">
      <w:pPr>
        <w:ind w:left="180"/>
        <w:rPr>
          <w:sz w:val="21"/>
        </w:rPr>
      </w:pPr>
      <w:r>
        <w:rPr>
          <w:sz w:val="21"/>
        </w:rPr>
        <w:t>Solar zenith angle from declination, latitude and hour angle - the master geometric relation governing beam incidence and air mass.</w:t>
      </w:r>
    </w:p>
    <w:p w14:paraId="04F1CCA3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r>
          <w:rPr>
            <w:rFonts w:ascii="Cambria Math" w:hAnsi="Cambria Math"/>
          </w:rPr>
          <m:t>cosθ</m:t>
        </m:r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ω</m:t>
            </m:r>
          </m:e>
        </m:rad>
      </m:oMath>
      <w:r>
        <w:tab/>
        <w:t>(6)</w:t>
      </w:r>
    </w:p>
    <w:p w14:paraId="4B44381F" w14:textId="77777777" w:rsidR="00271B7C" w:rsidRDefault="00462CFE">
      <w:pPr>
        <w:ind w:left="180"/>
        <w:rPr>
          <w:sz w:val="21"/>
        </w:rPr>
      </w:pPr>
      <w:r>
        <w:rPr>
          <w:sz w:val="21"/>
        </w:rPr>
        <w:t>Incidence angle on a horizontal N-S single-axis tracking parabolic-trough aperture; it determines the cosine and incidence-angle-modifier losses of the collector field.</w:t>
      </w:r>
    </w:p>
    <w:p w14:paraId="1329CBDD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cell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amb</m:t>
            </m:r>
          </m:sub>
        </m:sSub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NOCT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20</m:t>
            </m:r>
          </m:num>
          <m:den>
            <m:r>
              <w:rPr>
                <w:rFonts w:ascii="Cambria Math" w:hAnsi="Cambria Math"/>
              </w:rPr>
              <m:t>800</m:t>
            </m:r>
          </m:den>
        </m:f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G</m:t>
        </m:r>
      </m:oMath>
      <w:r>
        <w:tab/>
        <w:t>(7)</w:t>
      </w:r>
    </w:p>
    <w:p w14:paraId="457EA584" w14:textId="77777777" w:rsidR="00271B7C" w:rsidRDefault="00462CFE">
      <w:pPr>
        <w:ind w:left="180"/>
        <w:rPr>
          <w:sz w:val="21"/>
        </w:rPr>
      </w:pPr>
      <w:r>
        <w:rPr>
          <w:sz w:val="21"/>
        </w:rPr>
        <w:lastRenderedPageBreak/>
        <w:t>PV module temperature via the NOCT method; cell heating reduces PV output through the temperature coefficient.</w:t>
      </w:r>
    </w:p>
    <w:p w14:paraId="26A096B1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PV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PV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stc</m:t>
                </m:r>
              </m:sub>
            </m:sSub>
          </m:den>
        </m:f>
        <m:r>
          <w:rPr>
            <w:rFonts w:ascii="Cambria Math" w:hAnsi="Cambria Math"/>
          </w:rPr>
          <m:t>[1-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PV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cell</m:t>
            </m:r>
          </m:sub>
        </m:sSub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25)]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PV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sys</m:t>
            </m:r>
          </m:sub>
        </m:sSub>
      </m:oMath>
      <w:r>
        <w:tab/>
        <w:t>(8)</w:t>
      </w:r>
    </w:p>
    <w:p w14:paraId="79C1C0B1" w14:textId="77777777" w:rsidR="00271B7C" w:rsidRDefault="00462CFE">
      <w:pPr>
        <w:ind w:left="180"/>
        <w:rPr>
          <w:sz w:val="21"/>
        </w:rPr>
      </w:pPr>
      <w:r>
        <w:rPr>
          <w:sz w:val="21"/>
        </w:rPr>
        <w:t>PV power from the temperature-corrected single-point model, scaled by installed DC capacity and the system performance ratio.</w:t>
      </w:r>
    </w:p>
    <w:p w14:paraId="190A2F94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wind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wind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ρ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  <m:sup>
                <m:r>
                  <w:rPr>
                    <w:rFonts w:ascii="Cambria Math" w:hAnsi="Cambria Math"/>
                  </w:rPr>
                  <m:t>3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  <m:sup>
                <m:r>
                  <w:rPr>
                    <w:rFonts w:ascii="Cambria Math" w:hAnsi="Cambria Math"/>
                  </w:rPr>
                  <m:t>3</m:t>
                </m:r>
              </m:sup>
            </m:sSubSup>
            <m: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  <m:sup>
                <m:r>
                  <w:rPr>
                    <w:rFonts w:ascii="Cambria Math" w:hAnsi="Cambria Math"/>
                  </w:rPr>
                  <m:t>3</m:t>
                </m:r>
              </m:sup>
            </m:sSubSup>
          </m:den>
        </m:f>
        <m:r>
          <w:rPr>
            <w:rFonts w:ascii="Cambria Math" w:hAnsi="Cambria Math"/>
          </w:rPr>
          <m:t xml:space="preserve">,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 xml:space="preserve">≤ 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ab/>
        <w:t>(9)</w:t>
      </w:r>
    </w:p>
    <w:p w14:paraId="36CFFC2F" w14:textId="77777777" w:rsidR="00271B7C" w:rsidRDefault="00462CFE">
      <w:pPr>
        <w:ind w:left="180"/>
        <w:rPr>
          <w:sz w:val="21"/>
        </w:rPr>
      </w:pPr>
      <w:r>
        <w:rPr>
          <w:sz w:val="21"/>
        </w:rPr>
        <w:t>Wind power in the cubic region of the normalized four-region power curve with air-density correction; flat at rated between v_r and v_out and zero outside the cut-in/cut-out band.</w:t>
      </w:r>
    </w:p>
    <w:p w14:paraId="640A727C" w14:textId="77777777" w:rsidR="00271B7C" w:rsidRDefault="00462CFE">
      <w:pPr>
        <w:pStyle w:val="Heading1"/>
        <w:spacing w:before="240" w:after="120"/>
        <w:rPr>
          <w:b/>
          <w:color w:val="1F3864"/>
          <w:sz w:val="34"/>
        </w:rPr>
      </w:pPr>
      <w:r>
        <w:rPr>
          <w:b/>
          <w:color w:val="1F3864"/>
          <w:sz w:val="34"/>
        </w:rPr>
        <w:t>3. CSP Solar Field (Heat Route)</w:t>
      </w:r>
    </w:p>
    <w:p w14:paraId="7FD6EFF6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)=1-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ab/>
        <w:t>(12)</w:t>
      </w:r>
    </w:p>
    <w:p w14:paraId="73C0A64D" w14:textId="77777777" w:rsidR="00271B7C" w:rsidRDefault="00462CFE">
      <w:pPr>
        <w:ind w:left="180"/>
        <w:rPr>
          <w:sz w:val="21"/>
        </w:rPr>
      </w:pPr>
      <w:r>
        <w:rPr>
          <w:sz w:val="21"/>
        </w:rPr>
        <w:t>Incidence-angle modifier capturing the optical de-rating of the collector as the beam departs from normal incidence.</w:t>
      </w:r>
    </w:p>
    <w:p w14:paraId="40B8D494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abs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ap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opt</m:t>
            </m:r>
            <m:r>
              <w:rPr>
                <w:rFonts w:ascii="Cambria Math" w:hAnsi="Cambria Math"/>
              </w:rPr>
              <m:t>,0</m:t>
            </m:r>
          </m:sub>
        </m:sSub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avail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clean</m:t>
            </m:r>
          </m:sub>
        </m:sSub>
      </m:oMath>
      <w:r>
        <w:tab/>
        <w:t>(13)</w:t>
      </w:r>
    </w:p>
    <w:p w14:paraId="0DC00E4E" w14:textId="77777777" w:rsidR="00271B7C" w:rsidRDefault="00462CFE">
      <w:pPr>
        <w:ind w:left="180"/>
        <w:rPr>
          <w:sz w:val="21"/>
        </w:rPr>
      </w:pPr>
      <w:r>
        <w:rPr>
          <w:sz w:val="21"/>
        </w:rPr>
        <w:t>Absorbed beam power on the field aperture after optical efficiency, IAM, availability and mirror-cleanliness factors. This is the primary thermal harvest of the heat route.</w:t>
      </w:r>
    </w:p>
    <w:p w14:paraId="1BF18654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loss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rec</m:t>
            </m:r>
          </m:sub>
        </m:sSub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</w:rPr>
              <m:t>tf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amb</m:t>
            </m:r>
          </m:sub>
        </m:sSub>
        <m: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</w:rPr>
              <m:t>tf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amb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]</m:t>
        </m:r>
      </m:oMath>
      <w:r>
        <w:tab/>
        <w:t>(14)</w:t>
      </w:r>
    </w:p>
    <w:p w14:paraId="1BBAFCA4" w14:textId="77777777" w:rsidR="00271B7C" w:rsidRDefault="00462CFE">
      <w:pPr>
        <w:ind w:left="180"/>
        <w:rPr>
          <w:sz w:val="21"/>
        </w:rPr>
      </w:pPr>
      <w:r>
        <w:rPr>
          <w:sz w:val="21"/>
        </w:rPr>
        <w:t>Receiver thermal losses (convective and radiative) as a quadratic in the temperature difference between the heat-transfer fluid and ambient.</w:t>
      </w:r>
    </w:p>
    <w:p w14:paraId="6F7AD4ED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field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max</m:t>
        </m:r>
        <m:r>
          <w:rPr>
            <w:rFonts w:ascii="Cambria Math" w:hAnsi="Cambria Math"/>
          </w:rPr>
          <m:t xml:space="preserve">(0,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abs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loss</m:t>
            </m:r>
          </m:sub>
        </m:sSub>
        <m:r>
          <w:rPr>
            <w:rFonts w:ascii="Cambria Math" w:hAnsi="Cambria Math"/>
          </w:rPr>
          <m:t>)</m:t>
        </m:r>
      </m:oMath>
      <w:r>
        <w:tab/>
        <w:t>(15)</w:t>
      </w:r>
    </w:p>
    <w:p w14:paraId="56476E86" w14:textId="77777777" w:rsidR="00271B7C" w:rsidRDefault="00462CFE">
      <w:pPr>
        <w:ind w:left="180"/>
        <w:rPr>
          <w:sz w:val="21"/>
        </w:rPr>
      </w:pPr>
      <w:r>
        <w:rPr>
          <w:sz w:val="21"/>
        </w:rPr>
        <w:t>Net useful field thermal output delivered to the power block and storage.</w:t>
      </w:r>
    </w:p>
    <w:p w14:paraId="0D67F036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r>
          <w:rPr>
            <w:rFonts w:ascii="Cambria Math" w:hAnsi="Cambria Math"/>
          </w:rPr>
          <m:t>SM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field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design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pb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in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design</m:t>
                </m:r>
              </m:sub>
            </m:sSub>
          </m:den>
        </m:f>
      </m:oMath>
      <w:r>
        <w:tab/>
        <w:t>(16)</w:t>
      </w:r>
    </w:p>
    <w:p w14:paraId="6776FFD0" w14:textId="77777777" w:rsidR="00271B7C" w:rsidRDefault="00462CFE">
      <w:pPr>
        <w:ind w:left="180"/>
        <w:rPr>
          <w:sz w:val="21"/>
        </w:rPr>
      </w:pPr>
      <w:r>
        <w:rPr>
          <w:sz w:val="21"/>
        </w:rPr>
        <w:t>Solar multiple: the field is oversized relative to the design block input so that surplus daytime heat can charge storage for round-the-clock firm operation.</w:t>
      </w:r>
    </w:p>
    <w:p w14:paraId="5B40B13E" w14:textId="77777777" w:rsidR="00271B7C" w:rsidRDefault="00462CFE">
      <w:pPr>
        <w:pStyle w:val="Heading1"/>
        <w:spacing w:before="240" w:after="120"/>
        <w:rPr>
          <w:b/>
          <w:color w:val="1F3864"/>
          <w:sz w:val="34"/>
        </w:rPr>
      </w:pPr>
      <w:r>
        <w:rPr>
          <w:b/>
          <w:color w:val="1F3864"/>
          <w:sz w:val="34"/>
        </w:rPr>
        <w:t>4. Two-Tank Thermal Storage and Power Block</w:t>
      </w:r>
    </w:p>
    <w:p w14:paraId="5BDC79D4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TES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TES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1)+[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</w:rPr>
              <m:t>h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dis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η</m:t>
                </m:r>
              </m:e>
              <m:sub>
                <m:r>
                  <w:rPr>
                    <w:rFonts w:ascii="Cambria Math" w:hAnsi="Cambria Math"/>
                  </w:rPr>
                  <m:t>dis</m:t>
                </m:r>
              </m:sub>
            </m:sSub>
          </m:den>
        </m:f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sb</m:t>
            </m:r>
          </m:sub>
        </m:sSub>
        <m:r>
          <w:rPr>
            <w:rFonts w:ascii="Cambria Math" w:hAnsi="Cambria Math"/>
          </w:rPr>
          <m:t>]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t</m:t>
        </m:r>
      </m:oMath>
      <w:r>
        <w:tab/>
        <w:t>(17)</w:t>
      </w:r>
    </w:p>
    <w:p w14:paraId="343A9FD8" w14:textId="77777777" w:rsidR="00271B7C" w:rsidRDefault="00462CFE">
      <w:pPr>
        <w:ind w:left="180"/>
        <w:rPr>
          <w:sz w:val="21"/>
        </w:rPr>
      </w:pPr>
      <w:r>
        <w:rPr>
          <w:sz w:val="21"/>
        </w:rPr>
        <w:t>Energy balance of the molten-salt store with separate charge/discharge efficiencies and a standby loss; the diurnal charge-discharge cycle is what delivers firmness in the heat route.</w:t>
      </w:r>
    </w:p>
    <w:p w14:paraId="4812F58A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TES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TES</m:t>
            </m:r>
          </m:sub>
        </m:sSub>
        <m: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pb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in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design</m:t>
            </m:r>
          </m:sub>
        </m:sSub>
      </m:oMath>
      <w:r>
        <w:tab/>
        <w:t>(18)</w:t>
      </w:r>
    </w:p>
    <w:p w14:paraId="1A628155" w14:textId="77777777" w:rsidR="00271B7C" w:rsidRDefault="00462CFE">
      <w:pPr>
        <w:ind w:left="180"/>
        <w:rPr>
          <w:sz w:val="21"/>
        </w:rPr>
      </w:pPr>
      <w:r>
        <w:rPr>
          <w:sz w:val="21"/>
        </w:rPr>
        <w:lastRenderedPageBreak/>
        <w:t>Storage capacity expressed through the storage duration in full-load hours - the key sizing lever for overnight firmness.</w:t>
      </w:r>
    </w:p>
    <w:p w14:paraId="50085752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gross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pb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pl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pb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qquad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net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gross</m:t>
            </m:r>
          </m:sub>
        </m:sSub>
        <m:r>
          <w:rPr>
            <w:rFonts w:ascii="Cambria Math" w:hAnsi="Cambria Math"/>
          </w:rPr>
          <m:t>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par</m:t>
            </m:r>
          </m:sub>
        </m:sSub>
        <m:r>
          <w:rPr>
            <w:rFonts w:ascii="Cambria Math" w:hAnsi="Cambria Math"/>
          </w:rPr>
          <m:t>)</m:t>
        </m:r>
      </m:oMath>
      <w:r>
        <w:tab/>
        <w:t>(21)</w:t>
      </w:r>
    </w:p>
    <w:p w14:paraId="6B0ABC87" w14:textId="77777777" w:rsidR="00271B7C" w:rsidRDefault="00462CFE">
      <w:pPr>
        <w:ind w:left="180"/>
        <w:rPr>
          <w:sz w:val="21"/>
        </w:rPr>
      </w:pPr>
      <w:r>
        <w:rPr>
          <w:sz w:val="21"/>
        </w:rPr>
        <w:t>Rankine gross electrical output from delivered thermal power with a part-load correction, less the parasitic fraction to obtain net electricity for the SOEC.</w:t>
      </w:r>
    </w:p>
    <w:p w14:paraId="15EF7BC9" w14:textId="77777777" w:rsidR="00271B7C" w:rsidRDefault="00462CFE">
      <w:pPr>
        <w:pStyle w:val="Heading1"/>
        <w:spacing w:before="240" w:after="120"/>
        <w:rPr>
          <w:b/>
          <w:color w:val="1F3864"/>
          <w:sz w:val="34"/>
        </w:rPr>
      </w:pPr>
      <w:r>
        <w:rPr>
          <w:b/>
          <w:color w:val="1F3864"/>
          <w:sz w:val="34"/>
        </w:rPr>
        <w:t>5. SOEC Electrochemical and Thermal Model</w:t>
      </w:r>
    </w:p>
    <w:p w14:paraId="1F6C817F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rev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G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 xml:space="preserve">· </m:t>
            </m:r>
            <m:r>
              <w:rPr>
                <w:rFonts w:ascii="Cambria Math" w:hAnsi="Cambria Math"/>
              </w:rPr>
              <m:t>F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 xml:space="preserve">· </m:t>
            </m:r>
            <m:r>
              <w:rPr>
                <w:rFonts w:ascii="Cambria Math" w:hAnsi="Cambria Math"/>
              </w:rPr>
              <m:t>F</m:t>
            </m:r>
          </m:den>
        </m:f>
        <m: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!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sub>
            </m:sSub>
            <m: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sub>
              <m:sup>
                <m:r>
                  <w:rPr>
                    <w:rFonts w:ascii="Cambria Math" w:hAnsi="Cambria Math"/>
                  </w:rPr>
                  <m:t>0.5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O</m:t>
                </m:r>
              </m:sub>
            </m:sSub>
          </m:den>
        </m:f>
      </m:oMath>
      <w:r>
        <w:tab/>
        <w:t>(23)</w:t>
      </w:r>
    </w:p>
    <w:p w14:paraId="20B0B6D0" w14:textId="77777777" w:rsidR="00271B7C" w:rsidRDefault="00462CFE">
      <w:pPr>
        <w:ind w:left="180"/>
        <w:rPr>
          <w:sz w:val="21"/>
        </w:rPr>
      </w:pPr>
      <w:r>
        <w:rPr>
          <w:sz w:val="21"/>
        </w:rPr>
        <w:t>Temperature-dependent Nernst voltage for steam electrolysis; at SOEC temperatures it falls to about 0.9 V, lowering the electrical demand.</w:t>
      </w:r>
    </w:p>
    <w:p w14:paraId="3661FC97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act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F</m:t>
            </m:r>
          </m:den>
        </m:f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asin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>!(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i</m:t>
            </m:r>
          </m:num>
          <m:den>
            <m:r>
              <w:rPr>
                <w:rFonts w:ascii="Cambria Math" w:hAnsi="Cambria Math"/>
              </w:rPr>
              <m:t>2,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0,</m:t>
                </m:r>
                <m:r>
                  <w:rPr>
                    <w:rFonts w:ascii="Cambria Math" w:hAnsi="Cambria Math"/>
                  </w:rPr>
                  <m:t>k</m:t>
                </m:r>
              </m:sub>
            </m:sSub>
          </m:den>
        </m:f>
        <m:r>
          <w:rPr>
            <w:rFonts w:ascii="Cambria Math" w:hAnsi="Cambria Math"/>
          </w:rPr>
          <m:t xml:space="preserve">),    </m:t>
        </m:r>
        <m:r>
          <w:rPr>
            <w:rFonts w:ascii="Cambria Math" w:hAnsi="Cambria Math"/>
          </w:rPr>
          <m:t>kin</m:t>
        </m:r>
        <m: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an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cat</m:t>
        </m:r>
        <m:r>
          <w:rPr>
            <w:rFonts w:ascii="Cambria Math" w:hAnsi="Cambria Math"/>
          </w:rPr>
          <m:t>}</m:t>
        </m:r>
      </m:oMath>
      <w:r>
        <w:tab/>
        <w:t>(24)</w:t>
      </w:r>
    </w:p>
    <w:p w14:paraId="6823FB14" w14:textId="77777777" w:rsidR="00271B7C" w:rsidRDefault="00462CFE">
      <w:pPr>
        <w:ind w:left="180"/>
        <w:rPr>
          <w:sz w:val="21"/>
        </w:rPr>
      </w:pPr>
      <w:r>
        <w:rPr>
          <w:sz w:val="21"/>
        </w:rPr>
        <w:t>Activation overpotential per electrode from the symmetric Butler-Volmer kinetics written in inverse-hyperbolic-sine form.</w:t>
      </w:r>
    </w:p>
    <w:p w14:paraId="47642062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0,</m:t>
            </m:r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exp</m:t>
        </m:r>
        <m:r>
          <w:rPr>
            <w:rFonts w:ascii="Cambria Math" w:hAnsi="Cambria Math"/>
          </w:rPr>
          <m:t>!(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act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k</m:t>
                </m:r>
              </m:sub>
            </m:sSub>
          </m:num>
          <m:den>
            <m:r>
              <w:rPr>
                <w:rFonts w:ascii="Cambria Math" w:hAnsi="Cambria Math"/>
              </w:rPr>
              <m:t>R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>)</m:t>
        </m:r>
      </m:oMath>
      <w:r>
        <w:tab/>
        <w:t>(25)</w:t>
      </w:r>
    </w:p>
    <w:p w14:paraId="673B1B94" w14:textId="77777777" w:rsidR="00271B7C" w:rsidRDefault="00462CFE">
      <w:pPr>
        <w:ind w:left="180"/>
        <w:rPr>
          <w:sz w:val="21"/>
        </w:rPr>
      </w:pPr>
      <w:r>
        <w:rPr>
          <w:sz w:val="21"/>
        </w:rPr>
        <w:t>Exchange current density with an Arrhenius temperature dependence; higher temperature raises kinetics and lowers activation losses.</w:t>
      </w:r>
    </w:p>
    <w:p w14:paraId="619DDDA5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o</m:t>
            </m:r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 xml:space="preserve">· </m:t>
        </m:r>
        <m:r>
          <w:rPr>
            <w:rFonts w:ascii="Cambria Math" w:hAnsi="Cambria Math"/>
          </w:rPr>
          <m:t>AS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);</m:t>
        </m:r>
        <m:r>
          <w:rPr>
            <w:rFonts w:ascii="Cambria Math" w:hAnsi="Cambria Math"/>
          </w:rPr>
          <m:t>qquad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AS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el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el</m:t>
                </m:r>
              </m:sub>
            </m:sSub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)</m:t>
            </m:r>
          </m:den>
        </m:f>
      </m:oMath>
      <w:r>
        <w:tab/>
        <w:t>(26)</w:t>
      </w:r>
    </w:p>
    <w:p w14:paraId="004CFDD4" w14:textId="77777777" w:rsidR="00271B7C" w:rsidRDefault="00462CFE">
      <w:pPr>
        <w:ind w:left="180"/>
        <w:rPr>
          <w:sz w:val="21"/>
        </w:rPr>
      </w:pPr>
      <w:r>
        <w:rPr>
          <w:sz w:val="21"/>
        </w:rPr>
        <w:t>Ohmic overpotential from the area-specific resistance, dominated by the electrolyte thickness over its conductivity.</w:t>
      </w:r>
    </w:p>
    <w:p w14:paraId="24B25D4C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el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exp</m:t>
        </m:r>
        <m:r>
          <w:rPr>
            <w:rFonts w:ascii="Cambria Math" w:hAnsi="Cambria Math"/>
          </w:rPr>
          <m:t>!(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σ</m:t>
                </m:r>
              </m:sub>
            </m:sSub>
          </m:num>
          <m:den>
            <m:r>
              <w:rPr>
                <w:rFonts w:ascii="Cambria Math" w:hAnsi="Cambria Math"/>
              </w:rPr>
              <m:t>R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>)</m:t>
        </m:r>
      </m:oMath>
      <w:r>
        <w:tab/>
        <w:t>(27)</w:t>
      </w:r>
    </w:p>
    <w:p w14:paraId="69B1F7B0" w14:textId="77777777" w:rsidR="00271B7C" w:rsidRDefault="00462CFE">
      <w:pPr>
        <w:ind w:left="180"/>
        <w:rPr>
          <w:sz w:val="21"/>
        </w:rPr>
      </w:pPr>
      <w:r>
        <w:rPr>
          <w:sz w:val="21"/>
        </w:rPr>
        <w:t>Thermally-activated ionic conductivity of the YSZ electrolyte; the strong temperature rise is why SOECs operate near 1000 K.</w:t>
      </w:r>
    </w:p>
    <w:p w14:paraId="6B78034F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cell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rev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act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an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act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cat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o</m:t>
            </m:r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conc</m:t>
            </m:r>
          </m:sub>
        </m:sSub>
      </m:oMath>
      <w:r>
        <w:tab/>
        <w:t>(29)</w:t>
      </w:r>
    </w:p>
    <w:p w14:paraId="7623EEDF" w14:textId="77777777" w:rsidR="00271B7C" w:rsidRDefault="00462CFE">
      <w:pPr>
        <w:ind w:left="180"/>
        <w:rPr>
          <w:sz w:val="21"/>
        </w:rPr>
      </w:pPr>
      <w:r>
        <w:rPr>
          <w:sz w:val="21"/>
        </w:rPr>
        <w:t>Total operating cell voltage as the sum of reversible voltage and the activation, ohmic and concentration overpotentials.</w:t>
      </w:r>
    </w:p>
    <w:p w14:paraId="5B8FE6E8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cell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cells</m:t>
                </m:r>
              </m:sub>
            </m:sSub>
          </m:num>
          <m:den>
            <m:r>
              <w:rPr>
                <w:rFonts w:ascii="Cambria Math" w:hAnsi="Cambria Math"/>
              </w:rPr>
              <m:t>z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F</m:t>
            </m:r>
          </m:den>
        </m:f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</m:oMath>
      <w:r>
        <w:tab/>
        <w:t>(31)</w:t>
      </w:r>
    </w:p>
    <w:p w14:paraId="3A9A42E6" w14:textId="77777777" w:rsidR="00271B7C" w:rsidRDefault="00462CFE">
      <w:pPr>
        <w:ind w:left="180"/>
        <w:rPr>
          <w:sz w:val="21"/>
        </w:rPr>
      </w:pPr>
      <w:r>
        <w:rPr>
          <w:sz w:val="21"/>
        </w:rPr>
        <w:t>Hydrogen mass production from Faraday’s law scaled by the stack size and Faradaic efficiency.</w:t>
      </w:r>
    </w:p>
    <w:p w14:paraId="4B054B9E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rxn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max</m:t>
        </m:r>
        <m:r>
          <w:rPr>
            <w:rFonts w:ascii="Cambria Math" w:hAnsi="Cambria Math"/>
          </w:rPr>
          <m:t xml:space="preserve">!(0, 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cell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cells</m:t>
            </m:r>
          </m:sub>
        </m:sSub>
        <m:r>
          <w:rPr>
            <w:rFonts w:ascii="Cambria Math" w:hAnsi="Cambria Math"/>
          </w:rPr>
          <m:t>,(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tn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cell</m:t>
            </m:r>
          </m:sub>
        </m:sSub>
        <m:r>
          <w:rPr>
            <w:rFonts w:ascii="Cambria Math" w:hAnsi="Cambria Math"/>
          </w:rPr>
          <m:t>))</m:t>
        </m:r>
      </m:oMath>
      <w:r>
        <w:tab/>
        <w:t>(33)</w:t>
      </w:r>
    </w:p>
    <w:p w14:paraId="2532D2FA" w14:textId="77777777" w:rsidR="00271B7C" w:rsidRDefault="00462CFE">
      <w:pPr>
        <w:ind w:left="180"/>
        <w:rPr>
          <w:sz w:val="21"/>
        </w:rPr>
      </w:pPr>
      <w:r>
        <w:rPr>
          <w:sz w:val="21"/>
        </w:rPr>
        <w:t>Endothermic reaction heat demanded when the cell runs below thermoneutral; supplied by the CSP/TES system in the heat route.</w:t>
      </w:r>
    </w:p>
    <w:p w14:paraId="29D48DD9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steam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liq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boil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feed</m:t>
            </m:r>
          </m:sub>
        </m:sSub>
        <m: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vap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vap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SOEC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boil</m:t>
            </m:r>
          </m:sub>
        </m:sSub>
        <m:r>
          <w:rPr>
            <w:rFonts w:ascii="Cambria Math" w:hAnsi="Cambria Math"/>
          </w:rPr>
          <m:t>)]</m:t>
        </m:r>
      </m:oMath>
      <w:r>
        <w:tab/>
        <w:t>(34)</w:t>
      </w:r>
    </w:p>
    <w:p w14:paraId="5A528D2E" w14:textId="77777777" w:rsidR="00271B7C" w:rsidRDefault="00462CFE">
      <w:pPr>
        <w:ind w:left="180"/>
        <w:rPr>
          <w:sz w:val="21"/>
        </w:rPr>
      </w:pPr>
      <w:r>
        <w:rPr>
          <w:sz w:val="21"/>
        </w:rPr>
        <w:t>Heat to raise feed water to superheated steam at the SOEC temperature - the second thermal draw met by solar heat.</w:t>
      </w:r>
    </w:p>
    <w:p w14:paraId="2BFF0543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SOEC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el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tn</m:t>
                </m:r>
              </m:sub>
            </m:sSub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cell</m:t>
                </m:r>
              </m:sub>
            </m:sSub>
          </m:den>
        </m:f>
      </m:oMath>
      <w:r>
        <w:tab/>
        <w:t>(36)</w:t>
      </w:r>
    </w:p>
    <w:p w14:paraId="7179B63A" w14:textId="77777777" w:rsidR="00271B7C" w:rsidRDefault="00462CFE">
      <w:pPr>
        <w:ind w:left="180"/>
        <w:rPr>
          <w:sz w:val="21"/>
        </w:rPr>
      </w:pPr>
      <w:r>
        <w:rPr>
          <w:sz w:val="21"/>
        </w:rPr>
        <w:t>Electrical (voltage) efficiency of the SOEC; because part of the energy enters as heat it can exceed low-temperature values.</w:t>
      </w:r>
    </w:p>
    <w:p w14:paraId="6550B592" w14:textId="77777777" w:rsidR="00271B7C" w:rsidRDefault="00462CFE">
      <w:pPr>
        <w:pStyle w:val="Heading1"/>
        <w:spacing w:before="240" w:after="120"/>
        <w:rPr>
          <w:b/>
          <w:color w:val="1F3864"/>
          <w:sz w:val="34"/>
        </w:rPr>
      </w:pPr>
      <w:r>
        <w:rPr>
          <w:b/>
          <w:color w:val="1F3864"/>
          <w:sz w:val="34"/>
        </w:rPr>
        <w:t>6. Battery and Low-Temperature Electrolyzer (Electricity Route)</w:t>
      </w:r>
    </w:p>
    <w:p w14:paraId="64528E75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r>
          <w:rPr>
            <w:rFonts w:ascii="Cambria Math" w:hAnsi="Cambria Math"/>
          </w:rPr>
          <m:t>SOC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SOC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1)+[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bc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bc</m:t>
            </m:r>
          </m:sub>
        </m:sSub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bd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η</m:t>
                </m:r>
              </m:e>
              <m:sub>
                <m:r>
                  <w:rPr>
                    <w:rFonts w:ascii="Cambria Math" w:hAnsi="Cambria Math"/>
                  </w:rPr>
                  <m:t>bd</m:t>
                </m:r>
              </m:sub>
            </m:sSub>
          </m:den>
        </m:f>
        <m:r>
          <w:rPr>
            <w:rFonts w:ascii="Cambria Math" w:hAnsi="Cambria Math"/>
          </w:rPr>
          <m:t>]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t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batt</m:t>
                </m:r>
              </m:sub>
            </m:sSub>
          </m:den>
        </m:f>
      </m:oMath>
      <w:r>
        <w:tab/>
        <w:t>(38)</w:t>
      </w:r>
    </w:p>
    <w:p w14:paraId="4E301856" w14:textId="77777777" w:rsidR="00271B7C" w:rsidRDefault="00462CFE">
      <w:pPr>
        <w:ind w:left="180"/>
        <w:rPr>
          <w:sz w:val="21"/>
        </w:rPr>
      </w:pPr>
      <w:r>
        <w:rPr>
          <w:sz w:val="21"/>
        </w:rPr>
        <w:t>Battery state-of-charge balance with charge/discharge efficiencies; the round-trip loss and high energy cost make electrical firming expensive.</w:t>
      </w:r>
    </w:p>
    <w:p w14:paraId="2622826C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r>
          <w:rPr>
            <w:rFonts w:ascii="Cambria Math" w:hAnsi="Cambria Math"/>
          </w:rPr>
          <m:t>SEC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ell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SE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rated</m:t>
            </m:r>
          </m:sub>
        </m:sSub>
        <m:r>
          <w:rPr>
            <w:rFonts w:ascii="Cambria Math" w:hAnsi="Cambria Math"/>
          </w:rPr>
          <m:t>[1+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ell</m:t>
            </m:r>
          </m:den>
        </m:f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1)]</m:t>
        </m:r>
      </m:oMath>
      <w:r>
        <w:tab/>
        <w:t>(41)</w:t>
      </w:r>
    </w:p>
    <w:p w14:paraId="14F22149" w14:textId="77777777" w:rsidR="00271B7C" w:rsidRDefault="00462CFE">
      <w:pPr>
        <w:ind w:left="180"/>
        <w:rPr>
          <w:sz w:val="21"/>
        </w:rPr>
      </w:pPr>
      <w:r>
        <w:rPr>
          <w:sz w:val="21"/>
        </w:rPr>
        <w:t>Part-load specific energy consumption of the low-temperature electrolyzer rising at low load fraction.</w:t>
      </w:r>
    </w:p>
    <w:p w14:paraId="27F39BE7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LT</m:t>
                </m:r>
              </m:sub>
            </m:sSub>
          </m:num>
          <m:den>
            <m:r>
              <w:rPr>
                <w:rFonts w:ascii="Cambria Math" w:hAnsi="Cambria Math"/>
              </w:rPr>
              <m:t>SEC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ell</m:t>
            </m:r>
            <m:r>
              <w:rPr>
                <w:rFonts w:ascii="Cambria Math" w:hAnsi="Cambria Math"/>
              </w:rPr>
              <m:t>)</m:t>
            </m:r>
          </m:den>
        </m:f>
      </m:oMath>
      <w:r>
        <w:tab/>
        <w:t>(42)</w:t>
      </w:r>
    </w:p>
    <w:p w14:paraId="47B0B11A" w14:textId="77777777" w:rsidR="00271B7C" w:rsidRDefault="00462CFE">
      <w:pPr>
        <w:ind w:left="180"/>
        <w:rPr>
          <w:sz w:val="21"/>
        </w:rPr>
      </w:pPr>
      <w:r>
        <w:rPr>
          <w:sz w:val="21"/>
        </w:rPr>
        <w:t>Hydrogen output of the LT electrolyzer from its power input and load-dependent specific energy use.</w:t>
      </w:r>
    </w:p>
    <w:p w14:paraId="60871786" w14:textId="77777777" w:rsidR="00271B7C" w:rsidRDefault="00462CFE">
      <w:pPr>
        <w:pStyle w:val="Heading1"/>
        <w:spacing w:before="240" w:after="120"/>
        <w:rPr>
          <w:b/>
          <w:color w:val="1F3864"/>
          <w:sz w:val="34"/>
        </w:rPr>
      </w:pPr>
      <w:r>
        <w:rPr>
          <w:b/>
          <w:color w:val="1F3864"/>
          <w:sz w:val="34"/>
        </w:rPr>
        <w:t>7. Dispatch and the Firmness Constraint</w:t>
      </w:r>
    </w:p>
    <w:p w14:paraId="399E4ACB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 xml:space="preserve">)≥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firm</m:t>
            </m:r>
          </m:sub>
        </m:sSub>
        <m:r>
          <w:rPr>
            <w:rFonts w:ascii="Cambria Math" w:hAnsi="Cambria Math"/>
          </w:rPr>
          <m:t xml:space="preserve">    </m:t>
        </m:r>
        <m:r>
          <w:rPr>
            <w:rFonts w:ascii="Cambria Math" w:hAnsi="Cambria Math"/>
          </w:rPr>
          <m:t>forall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t</m:t>
        </m:r>
      </m:oMath>
      <w:r>
        <w:tab/>
        <w:t>(44)</w:t>
      </w:r>
    </w:p>
    <w:p w14:paraId="08A822CB" w14:textId="77777777" w:rsidR="00271B7C" w:rsidRDefault="00462CFE">
      <w:pPr>
        <w:ind w:left="180"/>
        <w:rPr>
          <w:sz w:val="21"/>
        </w:rPr>
      </w:pPr>
      <w:r>
        <w:rPr>
          <w:sz w:val="21"/>
        </w:rPr>
        <w:t>The defining firmness constraint: a constant hydrogen output must be met every hour, which converts the electrolyzer into a constant load that storage must serve.</w:t>
      </w:r>
    </w:p>
    <w:p w14:paraId="354B7F71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firm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firm</m:t>
            </m:r>
          </m:sub>
        </m:sSub>
        <m:r>
          <w:rPr>
            <w:rFonts w:ascii="Cambria Math" w:hAnsi="Cambria Math"/>
          </w:rPr>
          <m:t xml:space="preserve">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</m:e>
            </m:ba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</m:oMath>
      <w:r>
        <w:tab/>
        <w:t>(45)</w:t>
      </w:r>
    </w:p>
    <w:p w14:paraId="2C64E6A5" w14:textId="77777777" w:rsidR="00271B7C" w:rsidRDefault="00462CFE">
      <w:pPr>
        <w:ind w:left="180"/>
        <w:rPr>
          <w:sz w:val="21"/>
        </w:rPr>
      </w:pPr>
      <w:r>
        <w:rPr>
          <w:sz w:val="21"/>
        </w:rPr>
        <w:t>Firm output level set by the firm capacity factor times the rated production.</w:t>
      </w:r>
    </w:p>
    <w:p w14:paraId="35F1248E" w14:textId="77777777" w:rsidR="00271B7C" w:rsidRDefault="00462CFE">
      <w:pPr>
        <w:pStyle w:val="Heading1"/>
        <w:spacing w:before="240" w:after="120"/>
        <w:rPr>
          <w:b/>
          <w:color w:val="1F3864"/>
          <w:sz w:val="34"/>
        </w:rPr>
      </w:pPr>
      <w:r>
        <w:rPr>
          <w:b/>
          <w:color w:val="1F3864"/>
          <w:sz w:val="34"/>
        </w:rPr>
        <w:t>8. Techno-Economics and Levelized Cost of Hydrogen</w:t>
      </w:r>
    </w:p>
    <w:p w14:paraId="7F14228A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r>
          <w:rPr>
            <w:rFonts w:ascii="Cambria Math" w:hAnsi="Cambria Math"/>
          </w:rPr>
          <m:t>CAPEX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</m:t>
                </m:r>
              </m:sub>
              <m:sup/>
              <m:e>
                <m:r>
                  <w:rPr>
                    <w:rFonts w:ascii="Cambria Math" w:hAnsi="Cambria Math"/>
                  </w:rPr>
                  <m:t>c</m:t>
                </m:r>
              </m:e>
            </m:nary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ab/>
        <w:t>(51)</w:t>
      </w:r>
    </w:p>
    <w:p w14:paraId="427E08DC" w14:textId="77777777" w:rsidR="00271B7C" w:rsidRDefault="00462CFE">
      <w:pPr>
        <w:ind w:left="180"/>
        <w:rPr>
          <w:sz w:val="21"/>
        </w:rPr>
      </w:pPr>
      <w:r>
        <w:rPr>
          <w:sz w:val="21"/>
        </w:rPr>
        <w:t>Total capital cost as the sum over components of unit cost times sized capacity.</w:t>
      </w:r>
    </w:p>
    <w:p w14:paraId="7826BC28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r>
          <w:rPr>
            <w:rFonts w:ascii="Cambria Math" w:hAnsi="Cambria Math"/>
          </w:rPr>
          <m:t>CRF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WACC</m:t>
            </m:r>
            <m:r>
              <w:rPr>
                <w:rFonts w:ascii="Cambria Math" w:hAnsi="Cambria Math"/>
              </w:rPr>
              <m:t>,(1+</m:t>
            </m:r>
            <m:r>
              <w:rPr>
                <w:rFonts w:ascii="Cambria Math" w:hAnsi="Cambria Math"/>
              </w:rPr>
              <m:t>WACC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L</m:t>
                </m:r>
              </m:sup>
            </m:sSup>
          </m:num>
          <m:den>
            <m:r>
              <w:rPr>
                <w:rFonts w:ascii="Cambria Math" w:hAnsi="Cambria Math"/>
              </w:rPr>
              <m:t>(1+</m:t>
            </m:r>
            <m:r>
              <w:rPr>
                <w:rFonts w:ascii="Cambria Math" w:hAnsi="Cambria Math"/>
              </w:rPr>
              <m:t>WACC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L</m:t>
                </m:r>
              </m:sup>
            </m:s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ab/>
        <w:t>(52)</w:t>
      </w:r>
    </w:p>
    <w:p w14:paraId="010D3B61" w14:textId="77777777" w:rsidR="00271B7C" w:rsidRDefault="00462CFE">
      <w:pPr>
        <w:ind w:left="180"/>
        <w:rPr>
          <w:sz w:val="21"/>
        </w:rPr>
      </w:pPr>
      <w:r>
        <w:rPr>
          <w:sz w:val="21"/>
        </w:rPr>
        <w:lastRenderedPageBreak/>
        <w:t>Capital recovery factor annuitizing the capital over the project life at the weighted average cost of capital.</w:t>
      </w:r>
    </w:p>
    <w:p w14:paraId="73AB9AA1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ann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CRF</m:t>
        </m:r>
        <m:r>
          <w:rPr>
            <w:rFonts w:ascii="Cambria Math" w:hAnsi="Cambria Math"/>
          </w:rPr>
          <m:t xml:space="preserve">· </m:t>
        </m:r>
        <m:r>
          <w:rPr>
            <w:rFonts w:ascii="Cambria Math" w:hAnsi="Cambria Math"/>
          </w:rPr>
          <m:t>CAPEX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OPE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fix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OPE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var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water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repl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ann</m:t>
            </m:r>
          </m:sub>
        </m:sSub>
      </m:oMath>
      <w:r>
        <w:tab/>
        <w:t>(54)</w:t>
      </w:r>
    </w:p>
    <w:p w14:paraId="1957FAA4" w14:textId="77777777" w:rsidR="00271B7C" w:rsidRDefault="00462CFE">
      <w:pPr>
        <w:ind w:left="180"/>
        <w:rPr>
          <w:sz w:val="21"/>
        </w:rPr>
      </w:pPr>
      <w:r>
        <w:rPr>
          <w:sz w:val="21"/>
        </w:rPr>
        <w:t>Total annualized cost: annuitized capital plus fixed and variable O&amp;M, water and annualized stack replacement.</w:t>
      </w:r>
    </w:p>
    <w:p w14:paraId="5F373706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r>
          <w:rPr>
            <w:rFonts w:ascii="Cambria Math" w:hAnsi="Cambria Math"/>
          </w:rPr>
          <m:t>LCOH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ann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ann</m:t>
                </m:r>
              </m:sub>
            </m:sSub>
          </m:den>
        </m:f>
      </m:oMath>
      <w:r>
        <w:tab/>
        <w:t>(56)</w:t>
      </w:r>
    </w:p>
    <w:p w14:paraId="6446CC07" w14:textId="77777777" w:rsidR="00271B7C" w:rsidRDefault="00462CFE">
      <w:pPr>
        <w:ind w:left="180"/>
        <w:rPr>
          <w:sz w:val="21"/>
        </w:rPr>
      </w:pPr>
      <w:r>
        <w:rPr>
          <w:sz w:val="21"/>
        </w:rPr>
        <w:t>Levelized cost of hydrogen: the annualized cost divided by annual hydrogen delivered - the study’s headline metric (here on a firm-output basis).</w:t>
      </w:r>
    </w:p>
    <w:p w14:paraId="0B0E0323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ref</m:t>
            </m:r>
          </m:sub>
        </m:sSub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cum</m:t>
                </m:r>
              </m:sub>
            </m:sSub>
          </m:num>
          <m:den>
            <m:r>
              <w:rPr>
                <w:rFonts w:ascii="Cambria Math" w:hAnsi="Cambria Math"/>
              </w:rPr>
              <m:t>Ca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ref</m:t>
                </m:r>
              </m:sub>
            </m:sSub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sup>
        </m:sSup>
        <m:r>
          <w:rPr>
            <w:rFonts w:ascii="Cambria Math" w:hAnsi="Cambria Math"/>
          </w:rPr>
          <m:t xml:space="preserve">,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(1-</m:t>
        </m:r>
        <m:r>
          <w:rPr>
            <w:rFonts w:ascii="Cambria Math" w:hAnsi="Cambria Math"/>
          </w:rPr>
          <m:t>L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</m:oMath>
      <w:r>
        <w:tab/>
        <w:t>(57)</w:t>
      </w:r>
    </w:p>
    <w:p w14:paraId="339AF9FB" w14:textId="77777777" w:rsidR="00271B7C" w:rsidRDefault="00462CFE">
      <w:pPr>
        <w:ind w:left="180"/>
        <w:rPr>
          <w:sz w:val="21"/>
        </w:rPr>
      </w:pPr>
      <w:r>
        <w:rPr>
          <w:sz w:val="21"/>
        </w:rPr>
        <w:t>One-factor learning curve mapping cumulative deployment to unit cost via the learning rate, used for the 2030/2050 cost scenarios.</w:t>
      </w:r>
    </w:p>
    <w:p w14:paraId="5B74E8B9" w14:textId="77777777" w:rsidR="00271B7C" w:rsidRDefault="00462CFE">
      <w:pPr>
        <w:pStyle w:val="Heading1"/>
        <w:spacing w:before="240" w:after="120"/>
        <w:rPr>
          <w:b/>
          <w:color w:val="1F3864"/>
          <w:sz w:val="34"/>
        </w:rPr>
      </w:pPr>
      <w:r>
        <w:rPr>
          <w:b/>
          <w:color w:val="1F3864"/>
          <w:sz w:val="34"/>
        </w:rPr>
        <w:t>9. Exergy Attribution (Second Law)</w:t>
      </w:r>
    </w:p>
    <w:p w14:paraId="2F10F98B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Ex</m:t>
                </m:r>
              </m:e>
            </m:acc>
          </m:e>
          <m:sub>
            <m:r>
              <w:rPr>
                <w:rFonts w:ascii="Cambria Math" w:hAnsi="Cambria Math"/>
              </w:rPr>
              <m:t>solar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abs</m:t>
            </m:r>
          </m:sub>
        </m:sSub>
        <m:r>
          <w:rPr>
            <w:rFonts w:ascii="Cambria Math" w:hAnsi="Cambria Math"/>
          </w:rPr>
          <m:t>[1-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sun</m:t>
                </m:r>
              </m:sub>
            </m:sSub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sun</m:t>
                </m:r>
              </m:sub>
            </m:sSub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]</m:t>
        </m:r>
      </m:oMath>
      <w:r>
        <w:tab/>
        <w:t>(58)</w:t>
      </w:r>
    </w:p>
    <w:p w14:paraId="39421865" w14:textId="77777777" w:rsidR="00271B7C" w:rsidRDefault="00462CFE">
      <w:pPr>
        <w:ind w:left="180"/>
        <w:rPr>
          <w:sz w:val="21"/>
        </w:rPr>
      </w:pPr>
      <w:r>
        <w:rPr>
          <w:sz w:val="21"/>
        </w:rPr>
        <w:t>Exergy of concentrated solar radiation via the Petela efficiency; it quantifies the maximum work extractable from the solar input.</w:t>
      </w:r>
    </w:p>
    <w:p w14:paraId="37AEBECC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Ex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</m:oMath>
      <w:r>
        <w:tab/>
        <w:t>(59)</w:t>
      </w:r>
    </w:p>
    <w:p w14:paraId="45DA655C" w14:textId="77777777" w:rsidR="00271B7C" w:rsidRDefault="00462CFE">
      <w:pPr>
        <w:ind w:left="180"/>
        <w:rPr>
          <w:sz w:val="21"/>
        </w:rPr>
      </w:pPr>
      <w:r>
        <w:rPr>
          <w:sz w:val="21"/>
        </w:rPr>
        <w:t>Exergy carried by the hydrogen product through its specific chemical exergy.</w:t>
      </w:r>
    </w:p>
    <w:p w14:paraId="666F5EAD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r>
          <w:rPr>
            <w:rFonts w:ascii="Cambria Math" w:hAnsi="Cambria Math"/>
          </w:rPr>
          <m:t>ψ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t</m:t>
                </m:r>
              </m:sub>
              <m:sup/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/>
                </m:acc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Ex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sub>
            </m:sSub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),</m:t>
            </m:r>
            <m: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t</m:t>
            </m:r>
          </m:num>
          <m:den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t</m:t>
                </m:r>
              </m:sub>
              <m:sup/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/>
                </m:acc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Ex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),</m:t>
            </m:r>
            <m: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t</m:t>
            </m:r>
          </m:den>
        </m:f>
      </m:oMath>
      <w:r>
        <w:tab/>
        <w:t>(60)</w:t>
      </w:r>
    </w:p>
    <w:p w14:paraId="598FEE09" w14:textId="77777777" w:rsidR="00271B7C" w:rsidRDefault="00462CFE">
      <w:pPr>
        <w:ind w:left="180"/>
        <w:rPr>
          <w:sz w:val="21"/>
        </w:rPr>
      </w:pPr>
      <w:r>
        <w:rPr>
          <w:sz w:val="21"/>
        </w:rPr>
        <w:t>Overall (second-law) exergy efficiency: the share of input exergy preserved as chemical exergy of hydrogen.</w:t>
      </w:r>
    </w:p>
    <w:p w14:paraId="01ABAB49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Ex</m:t>
                </m:r>
              </m:e>
            </m:acc>
          </m:e>
          <m:sub>
            <m:r>
              <w:rPr>
                <w:rFonts w:ascii="Cambria Math" w:hAnsi="Cambria Math"/>
              </w:rPr>
              <m:t>dest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Ex</m:t>
                </m:r>
              </m:e>
            </m:acc>
          </m:e>
          <m:sub>
            <m:r>
              <w:rPr>
                <w:rFonts w:ascii="Cambria Math" w:hAnsi="Cambria Math"/>
              </w:rPr>
              <m:t>in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Ex</m:t>
                </m:r>
              </m:e>
            </m:acc>
          </m:e>
          <m:sub>
            <m:r>
              <w:rPr>
                <w:rFonts w:ascii="Cambria Math" w:hAnsi="Cambria Math"/>
              </w:rPr>
              <m:t>out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c</m:t>
            </m:r>
          </m:sub>
        </m:sSub>
      </m:oMath>
      <w:r>
        <w:tab/>
        <w:t>(61)</w:t>
      </w:r>
    </w:p>
    <w:p w14:paraId="31D6C518" w14:textId="77777777" w:rsidR="00271B7C" w:rsidRDefault="00462CFE">
      <w:pPr>
        <w:ind w:left="180"/>
        <w:rPr>
          <w:sz w:val="21"/>
        </w:rPr>
      </w:pPr>
      <w:r>
        <w:rPr>
          <w:sz w:val="21"/>
        </w:rPr>
        <w:t>Component exergy destruction from a steady exergy balance; mapping it locates the dominant irreversibilities.</w:t>
      </w:r>
    </w:p>
    <w:p w14:paraId="1753FEB1" w14:textId="77777777" w:rsidR="00271B7C" w:rsidRDefault="00462CFE">
      <w:pPr>
        <w:pStyle w:val="Heading1"/>
        <w:spacing w:before="240" w:after="120"/>
        <w:rPr>
          <w:b/>
          <w:color w:val="1F3864"/>
          <w:sz w:val="34"/>
        </w:rPr>
      </w:pPr>
      <w:r>
        <w:rPr>
          <w:b/>
          <w:color w:val="1F3864"/>
          <w:sz w:val="34"/>
        </w:rPr>
        <w:t>10. Optimization and Comparison Metrics</w:t>
      </w:r>
    </w:p>
    <w:p w14:paraId="0C5E9609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min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LCOH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 xml:space="preserve">)    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 xml:space="preserve">.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firm</m:t>
            </m:r>
          </m:sub>
        </m:sSub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forall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t</m:t>
        </m:r>
      </m:oMath>
      <w:r>
        <w:tab/>
        <w:t>(62)</w:t>
      </w:r>
    </w:p>
    <w:p w14:paraId="23AE808F" w14:textId="77777777" w:rsidR="00271B7C" w:rsidRDefault="00462CFE">
      <w:pPr>
        <w:ind w:left="180"/>
        <w:rPr>
          <w:sz w:val="21"/>
        </w:rPr>
      </w:pPr>
      <w:r>
        <w:rPr>
          <w:sz w:val="21"/>
        </w:rPr>
        <w:t>Per-cell least-cost sizing problem subject to firmness and all physical balances; solved by a deterministic grid-plus-refine search over the decision vector.</w:t>
      </w:r>
    </w:p>
    <w:p w14:paraId="7886A4A5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LCOH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LCO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B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LCO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>)</m:t>
        </m:r>
      </m:oMath>
      <w:r>
        <w:tab/>
        <w:t>(67)</w:t>
      </w:r>
    </w:p>
    <w:p w14:paraId="60673EB5" w14:textId="77777777" w:rsidR="00271B7C" w:rsidRDefault="00462CFE">
      <w:pPr>
        <w:ind w:left="180"/>
        <w:rPr>
          <w:sz w:val="21"/>
        </w:rPr>
      </w:pPr>
      <w:r>
        <w:rPr>
          <w:sz w:val="21"/>
        </w:rPr>
        <w:lastRenderedPageBreak/>
        <w:t>Cost-difference metric per grid cell; positive values mark where the heat route is the cheaper firm-hydrogen architecture.</w:t>
      </w:r>
    </w:p>
    <w:p w14:paraId="73DD8DD4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r>
          <w:rPr>
            <w:rFonts w:ascii="Cambria Math" w:hAnsi="Cambria Math"/>
          </w:rPr>
          <m:t>DN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 xml:space="preserve">: 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LCOH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DN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)=0</m:t>
        </m:r>
      </m:oMath>
      <w:r>
        <w:tab/>
        <w:t>(69)</w:t>
      </w:r>
    </w:p>
    <w:p w14:paraId="1596E352" w14:textId="77777777" w:rsidR="00271B7C" w:rsidRDefault="00462CFE">
      <w:pPr>
        <w:ind w:left="180"/>
        <w:rPr>
          <w:sz w:val="21"/>
        </w:rPr>
      </w:pPr>
      <w:r>
        <w:rPr>
          <w:sz w:val="21"/>
        </w:rPr>
        <w:t>Break-even direct-normal-irradiance: the crossover resource level at which the two routes cost the same - the transferable rule of thumb.</w:t>
      </w:r>
    </w:p>
    <w:p w14:paraId="589B8A71" w14:textId="77777777" w:rsidR="00271B7C" w:rsidRDefault="00462CFE">
      <w:pPr>
        <w:pStyle w:val="Heading1"/>
        <w:spacing w:before="240" w:after="120"/>
        <w:rPr>
          <w:b/>
          <w:color w:val="1F3864"/>
          <w:sz w:val="34"/>
        </w:rPr>
      </w:pPr>
      <w:r>
        <w:rPr>
          <w:b/>
          <w:color w:val="1F3864"/>
          <w:sz w:val="34"/>
        </w:rPr>
        <w:t>11. Uncertainty Propagation</w:t>
      </w:r>
    </w:p>
    <w:p w14:paraId="621B0018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r>
          <w:rPr>
            <w:rFonts w:ascii="Cambria Math" w:hAnsi="Cambria Math"/>
          </w:rPr>
          <m:t>Pr</m:t>
        </m:r>
        <m: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LCOH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>)&gt;0]=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M</m:t>
            </m:r>
          </m:sup>
          <m:e>
            <m:r>
              <w:rPr>
                <w:rFonts w:ascii="Cambria Math" w:hAnsi="Cambria Math"/>
              </w:rPr>
              <m:t>mat</m:t>
            </m:r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</w:rPr>
              <m:t>bf</m:t>
            </m:r>
          </m:e>
        </m:nary>
        <m:r>
          <w:rPr>
            <w:rFonts w:ascii="Cambria Math" w:hAnsi="Cambria Math"/>
          </w:rPr>
          <m:t>1![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LCO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>)&gt;0]</m:t>
        </m:r>
      </m:oMath>
      <w:r>
        <w:tab/>
        <w:t>(71)</w:t>
      </w:r>
    </w:p>
    <w:p w14:paraId="40DF79E7" w14:textId="77777777" w:rsidR="00271B7C" w:rsidRDefault="00462CFE">
      <w:pPr>
        <w:ind w:left="180"/>
        <w:rPr>
          <w:sz w:val="21"/>
        </w:rPr>
      </w:pPr>
      <w:r>
        <w:rPr>
          <w:sz w:val="21"/>
        </w:rPr>
        <w:t>Monte-Carlo dominance probability: the fraction of Latin-hypercube draws in which the heat route wins, converting the central claim into a probabilistic statement.</w:t>
      </w:r>
    </w:p>
    <w:p w14:paraId="58545CF2" w14:textId="77777777" w:rsidR="00271B7C" w:rsidRDefault="00462CFE">
      <w:pPr>
        <w:pStyle w:val="Heading1"/>
        <w:spacing w:before="240" w:after="120"/>
        <w:rPr>
          <w:b/>
          <w:color w:val="1F3864"/>
          <w:sz w:val="34"/>
        </w:rPr>
      </w:pPr>
      <w:r>
        <w:rPr>
          <w:b/>
          <w:color w:val="1F3864"/>
          <w:sz w:val="34"/>
        </w:rPr>
        <w:t>12. Extended Analysis Equations (Implemented in the Code)</w:t>
      </w:r>
    </w:p>
    <w:p w14:paraId="377E9B70" w14:textId="77777777" w:rsidR="00271B7C" w:rsidRDefault="00462CFE">
      <w:pPr>
        <w:rPr>
          <w:sz w:val="21"/>
          <w:szCs w:val="21"/>
        </w:rPr>
      </w:pPr>
      <w:r>
        <w:rPr>
          <w:sz w:val="21"/>
          <w:szCs w:val="21"/>
        </w:rPr>
        <w:t>The following relations extend the model document and are computed by the MATLAB pipeline for the deeper scientific analysis (efficiencies, entropy, environment and the innovative dimensionless groups).</w:t>
      </w:r>
    </w:p>
    <w:p w14:paraId="0F1DE444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sub>
            </m:sSub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LH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</m:den>
        </m:f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qquad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STH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sub>
            </m:sSub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LH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ap</m:t>
                </m:r>
              </m:sub>
            </m:sSub>
          </m:den>
        </m:f>
      </m:oMath>
      <w:r>
        <w:tab/>
        <w:t>(A1)</w:t>
      </w:r>
    </w:p>
    <w:p w14:paraId="08CAD09C" w14:textId="77777777" w:rsidR="00271B7C" w:rsidRDefault="00462CFE">
      <w:pPr>
        <w:ind w:left="180"/>
        <w:rPr>
          <w:sz w:val="21"/>
        </w:rPr>
      </w:pPr>
      <w:r>
        <w:rPr>
          <w:sz w:val="21"/>
        </w:rPr>
        <w:t>First-law conversion efficiency and overall solar-to-hydrogen efficiency, the energy counterparts of the exergy efficiency.</w:t>
      </w:r>
    </w:p>
    <w:p w14:paraId="67B1A438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</w:rPr>
              <m:t>gen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Ex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dest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>
        <w:tab/>
        <w:t>(A2)</w:t>
      </w:r>
    </w:p>
    <w:p w14:paraId="24F5F759" w14:textId="77777777" w:rsidR="00271B7C" w:rsidRDefault="00462CFE">
      <w:pPr>
        <w:ind w:left="180"/>
        <w:rPr>
          <w:sz w:val="21"/>
        </w:rPr>
      </w:pPr>
      <w:r>
        <w:rPr>
          <w:sz w:val="21"/>
        </w:rPr>
        <w:t>Gouy-Stodola theorem linking exergy destruction to entropy generation; ranking components by entropy generation identifies the dominant irreversibilities.</w:t>
      </w:r>
    </w:p>
    <w:p w14:paraId="0B1EE69B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c</m:t>
                </m:r>
              </m:sub>
              <m:sup/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/>
                </m:acc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Ex</m:t>
                </m:r>
              </m:e>
              <m:sub>
                <m:r>
                  <w:rPr>
                    <w:rFonts w:ascii="Cambria Math" w:hAnsi="Cambria Math"/>
                  </w:rPr>
                  <m:t>dest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Ex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</m:den>
        </m:f>
      </m:oMath>
      <w:r>
        <w:tab/>
        <w:t>(A3)</w:t>
      </w:r>
    </w:p>
    <w:p w14:paraId="3B81708C" w14:textId="77777777" w:rsidR="00271B7C" w:rsidRDefault="00462CFE">
      <w:pPr>
        <w:ind w:left="180"/>
        <w:rPr>
          <w:sz w:val="21"/>
        </w:rPr>
      </w:pPr>
      <w:r>
        <w:rPr>
          <w:sz w:val="21"/>
        </w:rPr>
        <w:t>Entropy-generation number: the fraction of input exergy destroyed, a compact measure of overall thermodynamic imperfection.</w:t>
      </w:r>
    </w:p>
    <w:p w14:paraId="6FC77316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r>
          <w:rPr>
            <w:rFonts w:ascii="Cambria Math" w:hAnsi="Cambria Math"/>
          </w:rPr>
          <m:t>Lambda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SOEC</m:t>
                </m:r>
                <m:r>
                  <w:rPr>
                    <w:rFonts w:ascii="Cambria Math" w:hAnsi="Cambria Math"/>
                  </w:rPr>
                  <m:t>,h</m:t>
                </m:r>
                <m:r>
                  <w:rPr>
                    <w:rFonts w:ascii="Cambria Math" w:hAnsi="Cambria Math"/>
                  </w:rPr>
                  <m:t>eat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SOEC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SOEC</m:t>
                </m:r>
                <m:r>
                  <w:rPr>
                    <w:rFonts w:ascii="Cambria Math" w:hAnsi="Cambria Math"/>
                  </w:rPr>
                  <m:t>,h</m:t>
                </m:r>
                <m:r>
                  <w:rPr>
                    <w:rFonts w:ascii="Cambria Math" w:hAnsi="Cambria Math"/>
                  </w:rPr>
                  <m:t>eat</m:t>
                </m:r>
              </m:sub>
            </m:sSub>
          </m:den>
        </m:f>
      </m:oMath>
      <w:r>
        <w:tab/>
        <w:t>(A4)</w:t>
      </w:r>
    </w:p>
    <w:p w14:paraId="51971717" w14:textId="77777777" w:rsidR="00271B7C" w:rsidRDefault="00462CFE">
      <w:pPr>
        <w:ind w:left="180"/>
        <w:rPr>
          <w:sz w:val="21"/>
        </w:rPr>
      </w:pPr>
      <w:r>
        <w:rPr>
          <w:sz w:val="21"/>
        </w:rPr>
        <w:t>Heat-leverage ratio: the fraction of the total splitting energy supplied as storable heat - the physical core of the heat-route advantage (zero for the electricity route).</w:t>
      </w:r>
    </w:p>
    <w:p w14:paraId="2C5DB030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h</m:t>
                </m:r>
                <m:r>
                  <w:rPr>
                    <w:rFonts w:ascii="Cambria Math" w:hAnsi="Cambria Math"/>
                  </w:rPr>
                  <m:t>eat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block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SOEC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h</m:t>
                </m:r>
                <m:r>
                  <w:rPr>
                    <w:rFonts w:ascii="Cambria Math" w:hAnsi="Cambria Math"/>
                  </w:rPr>
                  <m:t>eat</m:t>
                </m:r>
              </m:sub>
            </m:sSub>
          </m:den>
        </m:f>
      </m:oMath>
      <w:r>
        <w:tab/>
        <w:t>(A5)</w:t>
      </w:r>
    </w:p>
    <w:p w14:paraId="213CEB52" w14:textId="77777777" w:rsidR="00271B7C" w:rsidRDefault="00462CFE">
      <w:pPr>
        <w:ind w:left="180"/>
        <w:rPr>
          <w:sz w:val="21"/>
        </w:rPr>
      </w:pPr>
      <w:r>
        <w:rPr>
          <w:sz w:val="21"/>
        </w:rPr>
        <w:t>Storage-medium split: the thermal-path share of the energy delivered to the SOEC in the hybrid; its variation with DNI defines the firmness efficient frontier.</w:t>
      </w:r>
    </w:p>
    <w:p w14:paraId="391C6003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firm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LCO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firm</m:t>
                </m:r>
              </m:sub>
            </m:sSub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LCO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avg</m:t>
                </m:r>
              </m:sub>
            </m:sSub>
          </m:num>
          <m:den>
            <m:r>
              <w:rPr>
                <w:rFonts w:ascii="Cambria Math" w:hAnsi="Cambria Math"/>
              </w:rPr>
              <m:t>LCO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avg</m:t>
                </m:r>
              </m:sub>
            </m:sSub>
          </m:den>
        </m:f>
      </m:oMath>
      <w:r>
        <w:tab/>
        <w:t>(A6)</w:t>
      </w:r>
    </w:p>
    <w:p w14:paraId="109C27E9" w14:textId="77777777" w:rsidR="00271B7C" w:rsidRDefault="00462CFE">
      <w:pPr>
        <w:ind w:left="180"/>
        <w:rPr>
          <w:sz w:val="21"/>
        </w:rPr>
      </w:pPr>
      <w:r>
        <w:rPr>
          <w:sz w:val="21"/>
        </w:rPr>
        <w:t>Firmness premium: the cost increment of imposing 24-hour firmness; it is large and positive for the battery route but near zero or negative for the heat route, the premium-reversal result.</w:t>
      </w:r>
    </w:p>
    <w:p w14:paraId="51B3E0CC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r>
          <w:rPr>
            <w:rFonts w:ascii="Cambria Math" w:hAnsi="Cambria Math"/>
          </w:rPr>
          <m:t>Re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ρ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μ</m:t>
            </m:r>
          </m:den>
        </m:f>
        <m:r>
          <w:rPr>
            <w:rFonts w:ascii="Cambria Math" w:hAnsi="Cambria Math"/>
          </w:rPr>
          <m:t xml:space="preserve">,    </m:t>
        </m:r>
        <m:r>
          <w:rPr>
            <w:rFonts w:ascii="Cambria Math" w:hAnsi="Cambria Math"/>
          </w:rPr>
          <m:t>Pr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μ</m:t>
            </m:r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num>
          <m:den>
            <m:r>
              <w:rPr>
                <w:rFonts w:ascii="Cambria Math" w:hAnsi="Cambria Math"/>
              </w:rPr>
              <m:t>k</m:t>
            </m:r>
          </m:den>
        </m:f>
        <m:r>
          <w:rPr>
            <w:rFonts w:ascii="Cambria Math" w:hAnsi="Cambria Math"/>
          </w:rPr>
          <m:t xml:space="preserve">,    </m:t>
        </m:r>
        <m:r>
          <w:rPr>
            <w:rFonts w:ascii="Cambria Math" w:hAnsi="Cambria Math"/>
          </w:rPr>
          <m:t>Nu</m:t>
        </m:r>
        <m:r>
          <w:rPr>
            <w:rFonts w:ascii="Cambria Math" w:hAnsi="Cambria Math"/>
          </w:rPr>
          <m:t>=0.023,</m:t>
        </m:r>
        <m:r>
          <w:rPr>
            <w:rFonts w:ascii="Cambria Math" w:hAnsi="Cambria Math"/>
          </w:rPr>
          <m:t>R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0.8</m:t>
            </m:r>
          </m:sup>
        </m:sSup>
        <m: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0.4</m:t>
            </m:r>
          </m:sup>
        </m:sSup>
      </m:oMath>
      <w:r>
        <w:tab/>
        <w:t>(A7)</w:t>
      </w:r>
    </w:p>
    <w:p w14:paraId="7CC3D310" w14:textId="77777777" w:rsidR="00271B7C" w:rsidRDefault="00462CFE">
      <w:pPr>
        <w:ind w:left="180"/>
        <w:rPr>
          <w:sz w:val="21"/>
        </w:rPr>
      </w:pPr>
      <w:r>
        <w:rPr>
          <w:sz w:val="21"/>
        </w:rPr>
        <w:t>Reynolds, Prandtl and Dittus-Boelter Nusselt numbers characterising forced convection of the molten-salt heat-transfer fluid in the receiver tubes.</w:t>
      </w:r>
    </w:p>
    <w:p w14:paraId="7F850EA9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r>
          <w:rPr>
            <w:rFonts w:ascii="Cambria Math" w:hAnsi="Cambria Math"/>
          </w:rPr>
          <m:t>Ra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Gr</m:t>
        </m:r>
        <m:r>
          <w:rPr>
            <w:rFonts w:ascii="Cambria Math" w:hAnsi="Cambria Math"/>
          </w:rPr>
          <m:t xml:space="preserve">· </m:t>
        </m:r>
        <m:r>
          <w:rPr>
            <w:rFonts w:ascii="Cambria Math" w:hAnsi="Cambria Math"/>
          </w:rPr>
          <m:t>Pr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β</m:t>
            </m:r>
            <m:r>
              <w:rPr>
                <w:rFonts w:ascii="Cambria Math" w:hAnsi="Cambria Math"/>
              </w:rPr>
              <m:t>,(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  <m:r>
                  <w:rPr>
                    <w:rFonts w:ascii="Cambria Math" w:hAnsi="Cambria Math"/>
                  </w:rPr>
                  <m:t>tf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),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  <m:sup>
                <m:r>
                  <w:rPr>
                    <w:rFonts w:ascii="Cambria Math" w:hAnsi="Cambria Math"/>
                  </w:rPr>
                  <m:t>3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ν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 xml:space="preserve">· </m:t>
        </m:r>
        <m:r>
          <w:rPr>
            <w:rFonts w:ascii="Cambria Math" w:hAnsi="Cambria Math"/>
          </w:rPr>
          <m:t>Pr</m:t>
        </m:r>
      </m:oMath>
      <w:r>
        <w:tab/>
        <w:t>(A8)</w:t>
      </w:r>
    </w:p>
    <w:p w14:paraId="2E90615B" w14:textId="77777777" w:rsidR="00271B7C" w:rsidRDefault="00462CFE">
      <w:pPr>
        <w:ind w:left="180"/>
        <w:rPr>
          <w:sz w:val="21"/>
        </w:rPr>
      </w:pPr>
      <w:r>
        <w:rPr>
          <w:sz w:val="21"/>
        </w:rPr>
        <w:t>Rayleigh number (product of Grashof and Prandtl) governing natural-convection receiver losses to the environment.</w:t>
      </w:r>
    </w:p>
    <w:p w14:paraId="73F3B28D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r>
          <w:rPr>
            <w:rFonts w:ascii="Cambria Math" w:hAnsi="Cambria Math"/>
          </w:rPr>
          <m:t>Bi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num>
          <m:den>
            <m:r>
              <w:rPr>
                <w:rFonts w:ascii="Cambria Math" w:hAnsi="Cambria Math"/>
              </w:rPr>
              <m:t>k</m:t>
            </m:r>
          </m:den>
        </m:f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qquad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Fo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α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</m:oMath>
      <w:r>
        <w:tab/>
        <w:t>(A9)</w:t>
      </w:r>
    </w:p>
    <w:p w14:paraId="6715CAE6" w14:textId="77777777" w:rsidR="00271B7C" w:rsidRDefault="00462CFE">
      <w:pPr>
        <w:ind w:left="180"/>
        <w:rPr>
          <w:sz w:val="21"/>
        </w:rPr>
      </w:pPr>
      <w:r>
        <w:rPr>
          <w:sz w:val="21"/>
        </w:rPr>
        <w:t>Biot and Fourier numbers describing the transient thermal response of the storage tanks (thermally thin store, slow diurnal diffusion).</w:t>
      </w:r>
    </w:p>
    <w:p w14:paraId="4A15C72D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r>
          <w:rPr>
            <w:rFonts w:ascii="Cambria Math" w:hAnsi="Cambria Math"/>
          </w:rPr>
          <m:t>Ja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sup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fg</m:t>
                </m:r>
              </m:sub>
            </m:sSub>
          </m:den>
        </m:f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qquad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Ste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sens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fg</m:t>
                </m:r>
              </m:sub>
            </m:sSub>
          </m:den>
        </m:f>
      </m:oMath>
      <w:r>
        <w:tab/>
        <w:t>(A10)</w:t>
      </w:r>
    </w:p>
    <w:p w14:paraId="4086D939" w14:textId="77777777" w:rsidR="00271B7C" w:rsidRDefault="00462CFE">
      <w:pPr>
        <w:ind w:left="180"/>
        <w:rPr>
          <w:sz w:val="21"/>
        </w:rPr>
      </w:pPr>
      <w:r>
        <w:rPr>
          <w:sz w:val="21"/>
        </w:rPr>
        <w:t>Jakob and Stefan numbers comparing sensible/superheat to latent heat in raising the SOEC feed steam.</w:t>
      </w:r>
    </w:p>
    <w:p w14:paraId="10482B50" w14:textId="77777777" w:rsidR="00271B7C" w:rsidRDefault="00462CFE">
      <w:pPr>
        <w:tabs>
          <w:tab w:val="center" w:pos="4680"/>
          <w:tab w:val="right" w:pos="9360"/>
        </w:tabs>
        <w:spacing w:before="80" w:after="8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LCOH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LCO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grey</m:t>
                </m:r>
              </m:sub>
            </m:sSub>
          </m:num>
          <m:den>
            <m:r>
              <w:rPr>
                <w:rFonts w:ascii="Cambria Math" w:hAnsi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SMR</m:t>
                </m:r>
              </m:sub>
            </m:sSub>
          </m:den>
        </m:f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qquad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SMR</m:t>
            </m:r>
          </m:sub>
        </m:sSub>
      </m:oMath>
      <w:r>
        <w:tab/>
        <w:t>(A11)</w:t>
      </w:r>
    </w:p>
    <w:p w14:paraId="3BB25A1B" w14:textId="77777777" w:rsidR="00271B7C" w:rsidRDefault="00462CFE">
      <w:pPr>
        <w:ind w:left="180"/>
        <w:rPr>
          <w:sz w:val="21"/>
        </w:rPr>
      </w:pPr>
      <w:r>
        <w:rPr>
          <w:sz w:val="21"/>
        </w:rPr>
        <w:t>CO2 abatement cost relative to grey (SMR) hydrogen and the avoided-emissions rate; the environmental and climate value of the green output.</w:t>
      </w:r>
    </w:p>
    <w:sectPr w:rsidR="00271B7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496"/>
    <w:rsid w:val="0009640B"/>
    <w:rsid w:val="00271B7C"/>
    <w:rsid w:val="00462CFE"/>
    <w:rsid w:val="004D283D"/>
    <w:rsid w:val="00535F09"/>
    <w:rsid w:val="009420A6"/>
    <w:rsid w:val="009F61EF"/>
    <w:rsid w:val="00BD50BF"/>
    <w:rsid w:val="00FD0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BE87E1"/>
  <w15:chartTrackingRefBased/>
  <w15:docId w15:val="{C5F2FA25-34D6-4905-9C32-0AD286D02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4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4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4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4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4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1367</Words>
  <Characters>9243</Characters>
  <Application>Microsoft Office Word</Application>
  <DocSecurity>0</DocSecurity>
  <Lines>188</Lines>
  <Paragraphs>128</Paragraphs>
  <ScaleCrop>false</ScaleCrop>
  <Company/>
  <LinksUpToDate>false</LinksUpToDate>
  <CharactersWithSpaces>10559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Hossam S. S. AbdElmeguid</dc:creator>
  <cp:keywords/>
  <dc:description/>
  <cp:lastModifiedBy>Hossam S. S. AbdElmeguid</cp:lastModifiedBy>
  <cp:revision>2</cp:revision>
  <dcterms:created xsi:type="dcterms:W3CDTF">2026-06-23T02:49:00Z</dcterms:created>
  <dcterms:modified xsi:type="dcterms:W3CDTF">2026-06-23T02:56:00Z</dcterms:modified>
</cp:coreProperties>
</file>