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7, 2026</w:t>
      </w:r>
    </w:p>
    <w:p/>
    <w:p>
      <w:r>
        <w:t>The Editor-in-Chief</w:t>
      </w:r>
    </w:p>
    <w:p>
      <w:r>
        <w:t>Indian Journal of Pharmacology</w:t>
      </w:r>
    </w:p>
    <w:p/>
    <w:p>
      <w:r>
        <w:rPr>
          <w:b/>
        </w:rPr>
        <w:t xml:space="preserve">Subject: </w:t>
      </w:r>
      <w:r>
        <w:t>Submission of Original Research Article</w:t>
      </w:r>
    </w:p>
    <w:p/>
    <w:p>
      <w:r>
        <w:t>Dear Editor,</w:t>
      </w:r>
    </w:p>
    <w:p/>
    <w:p>
      <w:r>
        <w:t>We are pleased to submit our manuscript entitled "Antimicrobial Resistance Trends in India During the Red Line Campaign Era (2016-2024): An Interrupted Time Series Analysis of National Surveillance Data" for consideration for publication in the Indian Journal of Pharmacology.</w:t>
      </w:r>
    </w:p>
    <w:p>
      <w:r>
        <w:t>This study represents the first systematic characterization of antimicrobial resistance trends during India's Red Line Campaign era using ICMR-AMRSN surveillance data. We employed interrupted time series analysis to model temporal trends across nine years (2016-2024), providing important insights into the trajectory of AMR during this critical policy period.</w:t>
      </w:r>
    </w:p>
    <w:p>
      <w:r>
        <w:t>Our key findings include: (1) a significant annual increase in mean resistance of 2.5%/year (p=0.004); (2) heterogeneous trends across WHO priority pathogens; and (3) persistence of upward trends even after excluding COVID-19 years. These findings have important implications for national AMR policy and suggest that awareness campaigns alone may be insufficient to reverse resistance trends.</w:t>
      </w:r>
    </w:p>
    <w:p>
      <w:r>
        <w:t>We believe this manuscript is well-suited for the Indian Journal of Pharmacology given its focus on pharmaceutical policy implications and antimicrobial stewardship. The findings are relevant to pharmacologists, public health practitioners, and policymakers engaged in AMR containment efforts.</w:t>
      </w:r>
    </w:p>
    <w:p>
      <w:r>
        <w:t>All authors have approved the manuscript and agree with its submission to your journal. The manuscript has not been published previously and is not under consideration elsewhere. We have no conflicts of interest to declare.</w:t>
      </w:r>
    </w:p>
    <w:p>
      <w:r>
        <w:t>We look forward to your favorable consideration.</w:t>
      </w:r>
    </w:p>
    <w:p/>
    <w:p>
      <w:r>
        <w:t>Sincerely,</w:t>
      </w:r>
    </w:p>
    <w:p/>
    <w:p>
      <w:r>
        <w:t>Dr. Siddalingaiah H S</w:t>
      </w:r>
    </w:p>
    <w:p>
      <w:r>
        <w:t>Professor, Department of Community Medicine</w:t>
      </w:r>
    </w:p>
    <w:p>
      <w:r>
        <w:t>Shridevi Institute of Medical Sciences and Research Hospital</w:t>
      </w:r>
    </w:p>
    <w:p>
      <w:r>
        <w:t>Tumkur, Karnataka, India</w:t>
      </w:r>
    </w:p>
    <w:p>
      <w:r>
        <w:t>Email: hssling@yahoo.com</w:t>
      </w:r>
    </w:p>
    <w:p>
      <w:r>
        <w:t>Phone: +91-8941087719</w:t>
      </w:r>
    </w:p>
    <w:p>
      <w:r>
        <w:t>ORCID: 0000-0002-4771-8285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