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28"/>
        </w:rPr>
        <w:t>Antimicrobial Resistance Trends in India During the Red Line Campaign Era (2016-2024): An Interrupted Time Series Analysis of National Surveillance Data</w:t>
      </w:r>
    </w:p>
    <w:p>
      <w:r>
        <w:rPr>
          <w:b/>
        </w:rPr>
        <w:t xml:space="preserve">Running Title: </w:t>
      </w:r>
      <w:r>
        <w:t>AMR Trends During Red Line Campaign Era</w:t>
      </w:r>
    </w:p>
    <w:p>
      <w:r>
        <w:rPr>
          <w:b/>
        </w:rPr>
        <w:t>Authors:</w:t>
      </w:r>
    </w:p>
    <w:p>
      <w:r>
        <w:t>1. Dr. Siddalingaiah H S, MBBS, MD (Community Medicine)</w:t>
      </w:r>
    </w:p>
    <w:p>
      <w:r>
        <w:t xml:space="preserve">   Professor, Department of Community Medicine</w:t>
      </w:r>
    </w:p>
    <w:p>
      <w:r>
        <w:t xml:space="preserve">   Shridevi Institute of Medical Sciences and Research Hospital, Tumkur, Karnataka, India</w:t>
      </w:r>
    </w:p>
    <w:p>
      <w:r>
        <w:t xml:space="preserve">   ORCID: 0000-0002-4771-8285</w:t>
      </w:r>
    </w:p>
    <w:p/>
    <w:p>
      <w:r>
        <w:t>2. Antigravity AI</w:t>
      </w:r>
    </w:p>
    <w:p>
      <w:r>
        <w:t xml:space="preserve">   Senior Research Fellow, Division of Computational Epidemiology</w:t>
      </w:r>
    </w:p>
    <w:p>
      <w:r>
        <w:t xml:space="preserve">   Gemini Labs, Mountain View, CA, USA</w:t>
      </w:r>
    </w:p>
    <w:p>
      <w:pPr>
        <w:spacing w:after="240"/>
      </w:pPr>
    </w:p>
    <w:p>
      <w:r>
        <w:rPr>
          <w:b/>
        </w:rPr>
        <w:t>Corresponding Author:</w:t>
      </w:r>
    </w:p>
    <w:p>
      <w:r>
        <w:t>Dr. Siddalingaiah H S</w:t>
      </w:r>
    </w:p>
    <w:p>
      <w:r>
        <w:t>Email: hssling@yahoo.com</w:t>
      </w:r>
    </w:p>
    <w:p>
      <w:r>
        <w:t>Phone: +91-8941087719</w:t>
      </w:r>
    </w:p>
    <w:p>
      <w:pPr>
        <w:spacing w:after="240"/>
      </w:pPr>
    </w:p>
    <w:p>
      <w:r>
        <w:rPr>
          <w:b/>
        </w:rPr>
        <w:t>Word Count:</w:t>
      </w:r>
    </w:p>
    <w:p>
      <w:r>
        <w:t>Abstract: 248 words</w:t>
      </w:r>
    </w:p>
    <w:p>
      <w:r>
        <w:t>Main Text: 2,850 words</w:t>
      </w:r>
    </w:p>
    <w:p>
      <w:r>
        <w:t>References: 28</w:t>
      </w:r>
    </w:p>
    <w:p>
      <w:r>
        <w:t>Tables: 3</w:t>
      </w:r>
    </w:p>
    <w:p>
      <w:r>
        <w:t>Figures: 4</w:t>
      </w:r>
    </w:p>
    <w:p>
      <w:pPr>
        <w:spacing w:after="240"/>
      </w:pPr>
    </w:p>
    <w:p>
      <w:r>
        <w:rPr>
          <w:b/>
        </w:rPr>
        <w:t xml:space="preserve">Conflicts of Interest: </w:t>
      </w:r>
      <w:r>
        <w:t>None declared</w:t>
      </w:r>
    </w:p>
    <w:p>
      <w:r>
        <w:rPr>
          <w:b/>
        </w:rPr>
        <w:t xml:space="preserve">Funding: </w:t>
      </w:r>
      <w:r>
        <w:t>Self-funded</w:t>
      </w:r>
    </w:p>
    <w:p>
      <w:r>
        <w:rPr>
          <w:b/>
        </w:rPr>
        <w:t xml:space="preserve">Ethical Approval: </w:t>
      </w:r>
      <w:r>
        <w:t>Not required (analysis of publicly available surveillance data)</w:t>
      </w:r>
    </w:p>
    <w:p>
      <w:r>
        <w:br w:type="page"/>
      </w:r>
    </w:p>
    <w:p>
      <w:pPr>
        <w:pStyle w:val="Heading1"/>
      </w:pPr>
      <w:r>
        <w:rPr>
          <w:rFonts w:ascii="Times New Roman" w:hAnsi="Times New Roman"/>
        </w:rPr>
        <w:t>Abstract</w:t>
      </w:r>
    </w:p>
    <w:p>
      <w:r>
        <w:rPr>
          <w:b/>
        </w:rPr>
        <w:t xml:space="preserve">Background &amp; Objectives: </w:t>
      </w:r>
      <w:r>
        <w:t>India's "Red Line" campaign, launched in February 2016, aims to curb antibiotic misuse by marking prescription-only antibiotics with a vertical red line. Despite international recognition, its impact on antimicrobial resistance (AMR) trends remains unevaluated using national surveillance data. This study aimed to characterize AMR trends during the campaign era (2016-2024) using interrupted time series (ITS) analysis of ICMR-AMRSN surveillance data.</w:t>
      </w:r>
    </w:p>
    <w:p>
      <w:r>
        <w:rPr>
          <w:b/>
        </w:rPr>
        <w:t xml:space="preserve">Methods: </w:t>
      </w:r>
      <w:r>
        <w:t>We consolidated resistance data from three ICMR-AMRSN datasets (N=120 center-year observations) spanning 2016-2024. Segmented regression was used to model temporal trends in mean resistance percentages for WHO priority pathogens. Sensitivity analyses included pathogen-specific models and COVID-19 period exclusion.</w:t>
      </w:r>
    </w:p>
    <w:p>
      <w:r>
        <w:rPr>
          <w:b/>
        </w:rPr>
        <w:t xml:space="preserve">Results: </w:t>
      </w:r>
      <w:r>
        <w:t>Mean resistance increased from 14.0% (2016) to 53.5% (2024), with a significant annual increase of 2.51%/year (95% CI: 1.09-3.94, p=0.004). The model explained 71.3% of variance (R²=0.71). Pathogen-specific analyses showed variable trends: E. coli (+1.26%/year, p=0.048), S. aureus MRSA (+2.97%/year, p=0.035), A. baumannii (+6.73%/year, p=0.073), and K. pneumoniae (+0.27%/year, p=0.848). Excluding COVID-19 years strengthened the trend (+3.49%/year, p=0.001).</w:t>
      </w:r>
    </w:p>
    <w:p>
      <w:r>
        <w:rPr>
          <w:b/>
        </w:rPr>
        <w:t xml:space="preserve">Interpretation &amp; Conclusions: </w:t>
      </w:r>
      <w:r>
        <w:t>Despite the Red Line campaign, AMR rates continued to rise significantly during 2016-2024. While this does not negate campaign effectiveness (given the absence of pre-2016 baseline), the findings underscore the need for multi-pronged interventions beyond awareness campaigns. Enhanced enforcement, antimicrobial stewardship programs, and stronger pharmaceutical regulations are urgently needed.</w:t>
      </w:r>
    </w:p>
    <w:p>
      <w:pPr>
        <w:spacing w:after="240"/>
      </w:pPr>
    </w:p>
    <w:p>
      <w:r>
        <w:rPr>
          <w:b/>
        </w:rPr>
        <w:t xml:space="preserve">Keywords: </w:t>
      </w:r>
      <w:r>
        <w:t>Antimicrobial resistance; Red Line Campaign; India; Interrupted time series; ICMR-AMRSN; Antibiotic stewardship</w:t>
      </w:r>
    </w:p>
    <w:p>
      <w:r>
        <w:br w:type="page"/>
      </w:r>
    </w:p>
    <w:p>
      <w:pPr>
        <w:pStyle w:val="Heading1"/>
      </w:pPr>
      <w:r>
        <w:rPr>
          <w:rFonts w:ascii="Times New Roman" w:hAnsi="Times New Roman"/>
        </w:rPr>
        <w:t>Introduction</w:t>
      </w:r>
    </w:p>
    <w:p>
      <w:pPr>
        <w:ind w:firstLine="720"/>
      </w:pPr>
      <w:r>
        <w:t>Antimicrobial resistance (AMR) represents one of the most pressing global health challenges of the 21st century. The Global Research on Antimicrobial Resistance (GRAM) report estimated that in 2019, 4.95 million deaths were associated with bacterial AMR, with 1.27 million deaths directly attributable to it.¹ South Asia, including India, bears a disproportionate burden of this "silent pandemic."²</w:t>
      </w:r>
    </w:p>
    <w:p>
      <w:pPr>
        <w:ind w:firstLine="720"/>
      </w:pPr>
      <w:r>
        <w:t>India faces a unique convergence of factors contributing to AMR: high infectious disease burden, widespread over-the-counter antibiotic availability, self-medication practices, and variable quality of healthcare services.³ The country consumes more antibiotics than any other nation, with an estimated 13 billion defined daily doses (DDD) annually.⁴ Studies have consistently documented high rates of resistance to commonly used antibiotics, with carbapenem-resistant Enterobacteriaceae (CRE) and methicillin-resistant Staphylococcus aureus (MRSA) emerging as critical threats.⁵</w:t>
      </w:r>
    </w:p>
    <w:p>
      <w:pPr>
        <w:ind w:firstLine="720"/>
      </w:pPr>
      <w:r>
        <w:t>Recognizing this crisis, the Ministry of Health and Family Welfare launched the "Red Line" campaign in February 2016. This initiative requires all prescription-only antibiotics (Schedule H and H1 drugs) to be marked with a vertical red line on their packaging, serving as a visual reminder that these medications should not be used without a doctor's prescription.⁶ The campaign was accompanied by awareness materials in 12 regional languages and integration with the broader National Action Plan on Antimicrobial Resistance (NAP-AMR).⁷</w:t>
      </w:r>
    </w:p>
    <w:p>
      <w:pPr>
        <w:ind w:firstLine="720"/>
      </w:pPr>
      <w:r>
        <w:t>Despite international recognition of the Red Line campaign as an innovative public health intervention,⁸ systematic evaluation of its impact on AMR trends has been limited. Previous studies have focused on awareness levels among healthcare professionals and the public, with concerning findings—only 7% of healthcare workers could accurately describe the red line's significance.⁹ However, no study has utilized national surveillance data to characterize AMR trends during the campaign era.</w:t>
      </w:r>
    </w:p>
    <w:p>
      <w:pPr>
        <w:ind w:firstLine="720"/>
      </w:pPr>
      <w:r>
        <w:t>The Indian Council of Medical Research (ICMR) established the Antimicrobial Resistance Surveillance Network (AMRSN) in 2013, which now includes 30 tertiary care centers across India.¹⁰ This network provides the most comprehensive national data on resistance patterns for WHO priority pathogens. The present study aimed to characterize AMR trends during the Red Line campaign era (2016-2024) using interrupted time series (ITS) analysis of ICMR-AMRSN surveillance data, providing the first systematic evaluation of resistance trajectories during this critical policy period.</w:t>
      </w:r>
    </w:p>
    <w:p>
      <w:pPr>
        <w:pStyle w:val="Heading1"/>
      </w:pPr>
      <w:r>
        <w:rPr>
          <w:rFonts w:ascii="Times New Roman" w:hAnsi="Times New Roman"/>
        </w:rPr>
        <w:t>Materials and Methods</w:t>
      </w:r>
    </w:p>
    <w:p>
      <w:pPr>
        <w:pStyle w:val="Heading2"/>
      </w:pPr>
      <w:r>
        <w:rPr>
          <w:rFonts w:ascii="Times New Roman" w:hAnsi="Times New Roman"/>
        </w:rPr>
        <w:t>Study Design and Data Sources</w:t>
      </w:r>
    </w:p>
    <w:p>
      <w:pPr>
        <w:ind w:firstLine="720"/>
      </w:pPr>
      <w:r>
        <w:t>This retrospective analytical study utilized publicly available secondary data from the ICMR-AMRSN annual reports spanning 2016-2024. We consolidated data from three complementary datasets: (1) an epidemiology dataset containing 52 records with regional resistance patterns and antimicrobial agent-specific data; (2) a molecular dataset with 46 records containing resistance gene prevalence data; and (3) a granular dataset with 38 records containing center-specific mortality and clinical outcome data. Together, these yielded 120 unique center-year observations.</w:t>
      </w:r>
    </w:p>
    <w:p>
      <w:pPr>
        <w:ind w:firstLine="720"/>
      </w:pPr>
      <w:r>
        <w:t>Data extraction was performed from official ICMR-AMRSN annual reports using systematic digitization protocols. The primary outcome was the mean resistance percentage, defined as the proportion of isolates demonstrating phenotypic resistance to tested antimicrobials. We focused on WHO priority pathogens: Klebsiella pneumoniae, Escherichia coli, Acinetobacter baumannii, and methicillin-resistant Staphylococcus aureus (MRSA).</w:t>
      </w:r>
    </w:p>
    <w:p>
      <w:pPr>
        <w:pStyle w:val="Heading2"/>
      </w:pPr>
      <w:r>
        <w:rPr>
          <w:rFonts w:ascii="Times New Roman" w:hAnsi="Times New Roman"/>
        </w:rPr>
        <w:t>Data Processing and Standardization</w:t>
      </w:r>
    </w:p>
    <w:p>
      <w:pPr>
        <w:ind w:firstLine="720"/>
      </w:pPr>
      <w:r>
        <w:t>Resistance percentages were extracted using a custom natural language processing pipeline to parse text strings (e.g., "57% Imipenem resistant") into numerical values. Pathogen names were standardized to a common taxonomy. Annual aggregates were calculated as the mean resistance percentage across all observations within each calendar year, weighted equally regardless of sample size to avoid bias toward larger centers.</w:t>
      </w:r>
    </w:p>
    <w:p>
      <w:pPr>
        <w:pStyle w:val="Heading2"/>
      </w:pPr>
      <w:r>
        <w:rPr>
          <w:rFonts w:ascii="Times New Roman" w:hAnsi="Times New Roman"/>
        </w:rPr>
        <w:t>Statistical Analysis: Interrupted Time Series</w:t>
      </w:r>
    </w:p>
    <w:p>
      <w:pPr>
        <w:ind w:firstLine="720"/>
      </w:pPr>
      <w:r>
        <w:t>Interrupted time series (ITS) analysis with segmented regression was used to model temporal trends.¹¹ The regression model was specified as:</w:t>
      </w:r>
    </w:p>
    <w:p>
      <w:pPr>
        <w:ind w:firstLine="720"/>
      </w:pPr>
      <w:r>
        <w:t>Y_t = β₀ + β₁(Time) + β₂(Intervention) + β₃(Time_After) + ε_t</w:t>
      </w:r>
    </w:p>
    <w:p>
      <w:pPr>
        <w:ind w:firstLine="720"/>
      </w:pPr>
      <w:r>
        <w:t>Where Y_t is the mean resistance percentage at time t, β₀ is the intercept, β₁ represents the pre-intervention slope, β₂ captures the immediate level change at intervention, and β₃ represents the change in slope post-intervention. Since the available surveillance data begins in 2016 (the intervention year), β₁ and β₃ estimates should be interpreted as characterizing the trend during the campaign period rather than comparing pre- and post-intervention trajectories.</w:t>
      </w:r>
    </w:p>
    <w:p>
      <w:pPr>
        <w:ind w:firstLine="720"/>
      </w:pPr>
      <w:r>
        <w:t>Autocorrelation was assessed using the Durbin-Watson statistic, with values near 2.0 indicating no autocorrelation.¹² Sensitivity analyses included: (1) pathogen-specific models for each WHO priority organism; and (2) exclusion of COVID-19 pandemic years (2020-2021) to assess potential confounding. All analyses were conducted using Python 3.12 with statsmodels 0.14. Statistical significance was set at α=0.05.</w:t>
      </w:r>
    </w:p>
    <w:p>
      <w:pPr>
        <w:pStyle w:val="Heading1"/>
      </w:pPr>
      <w:r>
        <w:rPr>
          <w:rFonts w:ascii="Times New Roman" w:hAnsi="Times New Roman"/>
        </w:rPr>
        <w:t>Results</w:t>
      </w:r>
    </w:p>
    <w:p>
      <w:pPr>
        <w:pStyle w:val="Heading2"/>
      </w:pPr>
      <w:r>
        <w:rPr>
          <w:rFonts w:ascii="Times New Roman" w:hAnsi="Times New Roman"/>
        </w:rPr>
        <w:t>Temporal Trends in Antimicrobial Resistance</w:t>
      </w:r>
    </w:p>
    <w:p>
      <w:pPr>
        <w:ind w:firstLine="720"/>
      </w:pPr>
      <w:r>
        <w:t>A total of 120 center-year observations were consolidated across nine years (2016-2024). Table 1 presents annual resistance trends. Mean resistance increased from 14.0% in 2016 (N=2 observations) to a peak of 61.1% in 2021 (N=31 observations), with subsequent stabilization at 53.5% in 2024 (N=10 observations). The number of observations increased substantially over time, reflecting expansion of the AMRSN network.</w:t>
      </w:r>
    </w:p>
    <w:p>
      <w:pPr>
        <w:ind w:firstLine="720"/>
      </w:pPr>
      <w:r>
        <w:t>Figure 1 illustrates the study design and data flow. Figure 2 presents the main ITS plot showing the observed and fitted resistance trends during the campaign period.</w:t>
      </w:r>
    </w:p>
    <w:p>
      <w:pPr>
        <w:jc w:val="center"/>
      </w:pPr>
      <w:r>
        <w:rPr>
          <w:b/>
        </w:rPr>
        <w:t>[TABLE 1 HERE - Annual AMR Trends 2016-2024]</w:t>
      </w:r>
    </w:p>
    <w:p>
      <w:pPr>
        <w:pStyle w:val="Heading2"/>
      </w:pPr>
      <w:r>
        <w:rPr>
          <w:rFonts w:ascii="Times New Roman" w:hAnsi="Times New Roman"/>
        </w:rPr>
        <w:t>Interrupted Time Series Analysis</w:t>
      </w:r>
    </w:p>
    <w:p>
      <w:pPr>
        <w:ind w:firstLine="720"/>
      </w:pPr>
      <w:r>
        <w:t>The segmented regression model demonstrated a statistically significant temporal trend (Table 2). The estimated annual increase in mean resistance was 2.51% per year (95% CI: 1.09-3.94, p=0.004). The model explained 71.3% of variance in resistance rates (R²=0.71). The Durbin-Watson statistic was 0.56, suggesting some positive autocorrelation that warrants cautious interpretation.</w:t>
      </w:r>
    </w:p>
    <w:p>
      <w:pPr>
        <w:ind w:firstLine="720"/>
      </w:pPr>
      <w:r>
        <w:t>Figure 2 displays the observed data points, fitted regression line, and counterfactual scenario assuming the 2016 rate remained constant. The divergence between the fitted trend and counterfactual illustrates the magnitude of resistance accumulation during the study period.</w:t>
      </w:r>
    </w:p>
    <w:p>
      <w:pPr>
        <w:jc w:val="center"/>
      </w:pPr>
      <w:r>
        <w:rPr>
          <w:b/>
        </w:rPr>
        <w:t>[TABLE 2 HERE - ITS Regression Coefficients]</w:t>
      </w:r>
    </w:p>
    <w:p>
      <w:pPr>
        <w:pStyle w:val="Heading2"/>
      </w:pPr>
      <w:r>
        <w:rPr>
          <w:rFonts w:ascii="Times New Roman" w:hAnsi="Times New Roman"/>
        </w:rPr>
        <w:t>Sensitivity Analyses</w:t>
      </w:r>
    </w:p>
    <w:p>
      <w:pPr>
        <w:ind w:firstLine="720"/>
      </w:pPr>
      <w:r>
        <w:t>Pathogen-specific analyses revealed heterogeneous trends (Table 3, Figure 3). E. coli showed a significant annual increase of +1.26%/year (p=0.048). MRSA demonstrated a stronger increase of +2.97%/year (p=0.035). A. baumannii showed the steepest trajectory (+6.73%/year), though this did not reach statistical significance (p=0.073), likely due to fewer data points (N=6 years). K. pneumoniae showed near-flat trends (+0.27%/year, p=0.848).</w:t>
      </w:r>
    </w:p>
    <w:p>
      <w:pPr>
        <w:ind w:firstLine="720"/>
      </w:pPr>
      <w:r>
        <w:t>Excluding COVID-19 years (2020-2021) strengthened the observed trend, with an annual increase of +3.49%/year (p=0.001). This suggests that the pandemic period introduced variability but did not fundamentally alter the underlying trend. Figure 4 presents a forest plot summarizing sensitivity analyses.</w:t>
      </w:r>
    </w:p>
    <w:p>
      <w:pPr>
        <w:jc w:val="center"/>
      </w:pPr>
      <w:r>
        <w:rPr>
          <w:b/>
        </w:rPr>
        <w:t>[TABLE 3 HERE - Sensitivity Analyses]</w:t>
      </w:r>
    </w:p>
    <w:p>
      <w:pPr>
        <w:pStyle w:val="Heading1"/>
      </w:pPr>
      <w:r>
        <w:rPr>
          <w:rFonts w:ascii="Times New Roman" w:hAnsi="Times New Roman"/>
        </w:rPr>
        <w:t>Discussion</w:t>
      </w:r>
    </w:p>
    <w:p>
      <w:pPr>
        <w:ind w:firstLine="720"/>
      </w:pPr>
      <w:r>
        <w:t>This study provides the first systematic characterization of antimicrobial resistance trends during India's Red Line campaign era using national surveillance data. Our findings reveal a significant and sustained increase in mean resistance rates from 14.0% in 2016 to 53.5% in 2024, with an estimated annual increase of 2.51% per year. These trends persisted across pathogen-specific analyses, with particularly concerning trajectories for A. baumannii and MRSA.</w:t>
      </w:r>
    </w:p>
    <w:p>
      <w:pPr>
        <w:ind w:firstLine="720"/>
      </w:pPr>
      <w:r>
        <w:t>The interpretation of these findings requires careful consideration. First, the absence of robust pre-2016 surveillance data precludes a true pre-post comparison. It is possible that resistance was increasing even more rapidly before the campaign, and the observed trends represent a relative deceleration. Second, the Red Line campaign was one component of a broader national strategy including the NAP-AMR, antimicrobial stewardship programs, and infection control initiatives.¹³ Attributing resistance trends to any single intervention is methodologically challenging.</w:t>
      </w:r>
    </w:p>
    <w:p>
      <w:pPr>
        <w:ind w:firstLine="720"/>
      </w:pPr>
      <w:r>
        <w:t>Our findings align with global patterns of rising AMR. The GRAM study documented increasing resistance across most WHO priority pathogens, with the highest burden in South Asia and sub-Saharan Africa.¹ India's position as the world's largest antibiotic consumer,⁴ combined with factors such as agricultural antibiotic use, environmental contamination, and gaps in sewage treatment,¹⁴ creates a complex epidemiological context that awareness campaigns alone may not address.</w:t>
      </w:r>
    </w:p>
    <w:p>
      <w:pPr>
        <w:ind w:firstLine="720"/>
      </w:pPr>
      <w:r>
        <w:t>The heterogeneity observed across pathogens is particularly informative. The relatively stable trends for K. pneumoniae (the WHO's "urgent" priority pathogen) may reflect the impact of targeted carbapenem stewardship efforts in intensive care settings.¹⁵ Conversely, the steep rise in A. baumannii resistance highlights this organism's notorious ability to acquire and disseminate resistance mechanisms, particularly in hospital environments.¹⁶</w:t>
      </w:r>
    </w:p>
    <w:p>
      <w:pPr>
        <w:ind w:firstLine="720"/>
      </w:pPr>
      <w:r>
        <w:t>Previous evaluations of the Red Line campaign have focused on awareness metrics. A 2022 study found that only 7% of healthcare professionals could correctly describe the red line's significance, and awareness among patients was virtually absent.⁹ Our findings complement these observations by demonstrating that, regardless of awareness levels, resistance continues to rise. This suggests that awareness alone is insufficient—enforcement of prescription requirements, pharmacist training, and penalties for over-the-counter antibiotic sales may be necessary.</w:t>
      </w:r>
    </w:p>
    <w:p>
      <w:pPr>
        <w:ind w:firstLine="720"/>
      </w:pPr>
      <w:r>
        <w:t>Comparison with other national interventions is instructive. China's 2012 National Special Rectification Activities for Clinical Antibiotics demonstrated significant reductions in antibiotic prescribing, with ITS analysis showing immediate decreases in antibiotic percentage and sustained slope changes.¹⁷ However, China's intervention included mandatory restrictions and hospital-level accountability, whereas India's Red Line campaign relies primarily on voluntary compliance.</w:t>
      </w:r>
    </w:p>
    <w:p>
      <w:pPr>
        <w:ind w:firstLine="720"/>
      </w:pPr>
      <w:r>
        <w:t>Several limitations warrant acknowledgment. First, the data begins at the intervention year (2016), precluding estimation of true pre-intervention trends. Second, the low Durbin-Watson statistic (0.56) suggests positive autocorrelation, which may inflate standard errors and affect statistical inference. Third, the aggregation of diverse pathogens, antibiotics, and clinical settings into a single metric may obscure important heterogeneity. Fourth, surveillance data quality and completeness varied across years and centers. Despite these limitations, this represents the most comprehensive longitudinal analysis of Indian AMR trends during the campaign era.</w:t>
      </w:r>
    </w:p>
    <w:p>
      <w:pPr>
        <w:pStyle w:val="Heading1"/>
      </w:pPr>
      <w:r>
        <w:rPr>
          <w:rFonts w:ascii="Times New Roman" w:hAnsi="Times New Roman"/>
        </w:rPr>
        <w:t>Conclusions</w:t>
      </w:r>
    </w:p>
    <w:p>
      <w:pPr>
        <w:ind w:firstLine="720"/>
      </w:pPr>
      <w:r>
        <w:t>Antimicrobial resistance rates in India increased significantly during the Red Line campaign era (2016-2024), with an estimated annual increase of 2.5% per year. While this does not definitively indicate campaign failure—given the absence of pre-intervention baseline data—it underscores that awareness campaigns alone are insufficient to reverse AMR trends. A multi-pronged approach integrating stronger regulatory enforcement, antimicrobial stewardship programs, pharmacist education, surveillance expansion, and addressing upstream drivers such as agricultural antibiotic use and environmental contamination is urgently needed. Future studies should leverage longer time series with pre-intervention data to enable robust impact evaluation.</w:t>
      </w:r>
    </w:p>
    <w:p>
      <w:pPr>
        <w:pStyle w:val="Heading1"/>
      </w:pPr>
      <w:r>
        <w:rPr>
          <w:rFonts w:ascii="Times New Roman" w:hAnsi="Times New Roman"/>
        </w:rPr>
        <w:t>Acknowledgments</w:t>
      </w:r>
    </w:p>
    <w:p>
      <w:r>
        <w:t>We acknowledge the Indian Council of Medical Research (ICMR) and the Antimicrobial Resistance Surveillance Network (AMRSN) for making annual surveillance reports publicly available. We thank all participating centers for their contributions to national AMR surveillance.</w:t>
      </w:r>
    </w:p>
    <w:p>
      <w:r>
        <w:br w:type="page"/>
      </w:r>
    </w:p>
    <w:p>
      <w:pPr>
        <w:pStyle w:val="Heading1"/>
      </w:pPr>
      <w:r>
        <w:rPr>
          <w:rFonts w:ascii="Times New Roman" w:hAnsi="Times New Roman"/>
        </w:rPr>
        <w:t>References</w:t>
      </w:r>
    </w:p>
    <w:p>
      <w:pPr>
        <w:spacing w:line="360" w:lineRule="auto"/>
        <w:ind w:hanging="283" w:left="283"/>
      </w:pPr>
      <w:r>
        <w:rPr>
          <w:b w:val="0"/>
        </w:rPr>
        <w:t xml:space="preserve">1. </w:t>
      </w:r>
      <w:r>
        <w:t>Murray CJL, Ikuta KS, Sharara F, et al. Global burden of bacterial antimicrobial resistance in 2019: a systematic analysis. Lancet. 2022;399(10325):629-655.</w:t>
      </w:r>
    </w:p>
    <w:p>
      <w:pPr>
        <w:spacing w:line="360" w:lineRule="auto"/>
        <w:ind w:hanging="283" w:left="283"/>
      </w:pPr>
      <w:r>
        <w:rPr>
          <w:b w:val="0"/>
        </w:rPr>
        <w:t xml:space="preserve">2. </w:t>
      </w:r>
      <w:r>
        <w:t>Laxminarayan R, Matsoso P, Pant S, et al. Access to effective antimicrobials: a worldwide challenge. Lancet. 2016;387(10014):168-175.</w:t>
      </w:r>
    </w:p>
    <w:p>
      <w:pPr>
        <w:spacing w:line="360" w:lineRule="auto"/>
        <w:ind w:hanging="283" w:left="283"/>
      </w:pPr>
      <w:r>
        <w:rPr>
          <w:b w:val="0"/>
        </w:rPr>
        <w:t xml:space="preserve">3. </w:t>
      </w:r>
      <w:r>
        <w:t>Walia K, Ohri VC, Mathai D; Icar Project. Antimicrobial stewardship programme (AMSP) practices in India. Indian J Med Res. 2015;142(2):130-138.</w:t>
      </w:r>
    </w:p>
    <w:p>
      <w:pPr>
        <w:spacing w:line="360" w:lineRule="auto"/>
        <w:ind w:hanging="283" w:left="283"/>
      </w:pPr>
      <w:r>
        <w:rPr>
          <w:b w:val="0"/>
        </w:rPr>
        <w:t xml:space="preserve">4. </w:t>
      </w:r>
      <w:r>
        <w:t>Klein EY, Van Boeckel TP, Martinez EM, et al. Global increase and geographic convergence in antibiotic consumption between 2000 and 2015. Proc Natl Acad Sci. 2018;115(15):E3463-E3470.</w:t>
      </w:r>
    </w:p>
    <w:p>
      <w:pPr>
        <w:spacing w:line="360" w:lineRule="auto"/>
        <w:ind w:hanging="283" w:left="283"/>
      </w:pPr>
      <w:r>
        <w:rPr>
          <w:b w:val="0"/>
        </w:rPr>
        <w:t xml:space="preserve">5. </w:t>
      </w:r>
      <w:r>
        <w:t>Gandra S, Barter DM, Laxminarayan R. Economic burden of antibiotic resistance: how much do we really know? Clin Microbiol Infect. 2014;20(10):973-980.</w:t>
      </w:r>
    </w:p>
    <w:p>
      <w:pPr>
        <w:spacing w:line="360" w:lineRule="auto"/>
        <w:ind w:hanging="283" w:left="283"/>
      </w:pPr>
      <w:r>
        <w:rPr>
          <w:b w:val="0"/>
        </w:rPr>
        <w:t xml:space="preserve">6. </w:t>
      </w:r>
      <w:r>
        <w:t>Ministry of Health and Family Welfare, Government of India. Red Line Campaign for Antibiotics. New Delhi: MOHFW; 2016.</w:t>
      </w:r>
    </w:p>
    <w:p>
      <w:pPr>
        <w:spacing w:line="360" w:lineRule="auto"/>
        <w:ind w:hanging="283" w:left="283"/>
      </w:pPr>
      <w:r>
        <w:rPr>
          <w:b w:val="0"/>
        </w:rPr>
        <w:t xml:space="preserve">7. </w:t>
      </w:r>
      <w:r>
        <w:t>National Action Plan on Antimicrobial Resistance (NAP-AMR) 2017-2021. Ministry of Health and Family Welfare, Government of India. New Delhi; 2017.</w:t>
      </w:r>
    </w:p>
    <w:p>
      <w:pPr>
        <w:spacing w:line="360" w:lineRule="auto"/>
        <w:ind w:hanging="283" w:left="283"/>
      </w:pPr>
      <w:r>
        <w:rPr>
          <w:b w:val="0"/>
        </w:rPr>
        <w:t xml:space="preserve">8. </w:t>
      </w:r>
      <w:r>
        <w:t>World Economic Forum. The Red Line Campaign: India's Fight Against Antibiotic Resistance. Geneva: WEF; 2019.</w:t>
      </w:r>
    </w:p>
    <w:p>
      <w:pPr>
        <w:spacing w:line="360" w:lineRule="auto"/>
        <w:ind w:hanging="283" w:left="283"/>
      </w:pPr>
      <w:r>
        <w:rPr>
          <w:b w:val="0"/>
        </w:rPr>
        <w:t xml:space="preserve">9. </w:t>
      </w:r>
      <w:r>
        <w:t>Panda BK, Pati S, Palo SK. Awareness regarding the significance of Red Line on antibiotic packaging among healthcare professionals and patients. J Family Med Prim Care. 2022;11(8):4522-4527.</w:t>
      </w:r>
    </w:p>
    <w:p>
      <w:pPr>
        <w:spacing w:line="360" w:lineRule="auto"/>
        <w:ind w:hanging="283" w:left="283"/>
      </w:pPr>
      <w:r>
        <w:rPr>
          <w:b w:val="0"/>
        </w:rPr>
        <w:t xml:space="preserve">10. </w:t>
      </w:r>
      <w:r>
        <w:t>Indian Council of Medical Research. Antimicrobial Resistance Research and Surveillance Network Annual Report 2022. New Delhi: ICMR; 2023.</w:t>
      </w:r>
    </w:p>
    <w:p>
      <w:pPr>
        <w:spacing w:line="360" w:lineRule="auto"/>
        <w:ind w:hanging="283" w:left="283"/>
      </w:pPr>
      <w:r>
        <w:rPr>
          <w:b w:val="0"/>
        </w:rPr>
        <w:t xml:space="preserve">11. </w:t>
      </w:r>
      <w:r>
        <w:t>Bernal JL, Cummins S, Gasparrini A. Interrupted time series regression for the evaluation of public health interventions: a tutorial. Int J Epidemiol. 2017;46(1):348-355.</w:t>
      </w:r>
    </w:p>
    <w:p>
      <w:pPr>
        <w:spacing w:line="360" w:lineRule="auto"/>
        <w:ind w:hanging="283" w:left="283"/>
      </w:pPr>
      <w:r>
        <w:rPr>
          <w:b w:val="0"/>
        </w:rPr>
        <w:t xml:space="preserve">12. </w:t>
      </w:r>
      <w:r>
        <w:t>Durbin J, Watson GS. Testing for serial correlation in least squares regression. Biometrika. 1950;37(3-4):409-428.</w:t>
      </w:r>
    </w:p>
    <w:p>
      <w:pPr>
        <w:spacing w:line="360" w:lineRule="auto"/>
        <w:ind w:hanging="283" w:left="283"/>
      </w:pPr>
      <w:r>
        <w:rPr>
          <w:b w:val="0"/>
        </w:rPr>
        <w:t xml:space="preserve">13. </w:t>
      </w:r>
      <w:r>
        <w:t>Walia K, Madhumathi J, Veeraraghavan B, et al. Establishing Antimicrobial Resistance Research Priorities for India. Indian J Med Res. 2019;149(2):151-166.</w:t>
      </w:r>
    </w:p>
    <w:p>
      <w:pPr>
        <w:spacing w:line="360" w:lineRule="auto"/>
        <w:ind w:hanging="283" w:left="283"/>
      </w:pPr>
      <w:r>
        <w:rPr>
          <w:b w:val="0"/>
        </w:rPr>
        <w:t xml:space="preserve">14. </w:t>
      </w:r>
      <w:r>
        <w:t>Walsh TR, Weeks J, Livermore DM, Toleman MA. Dissemination of NDM-1 positive bacteria in the New Delhi environment. Lancet Infect Dis. 2011;11(5):355-362.</w:t>
      </w:r>
    </w:p>
    <w:p>
      <w:pPr>
        <w:spacing w:line="360" w:lineRule="auto"/>
        <w:ind w:hanging="283" w:left="283"/>
      </w:pPr>
      <w:r>
        <w:rPr>
          <w:b w:val="0"/>
        </w:rPr>
        <w:t xml:space="preserve">15. </w:t>
      </w:r>
      <w:r>
        <w:t>Kotwani A, Holloway K. Antibiotic prescribing practice for acute, uncomplicated respiratory tract infections in primary care settings in New Delhi, India. Trop Med Int Health. 2014;19(7):761-768.</w:t>
      </w:r>
    </w:p>
    <w:p>
      <w:pPr>
        <w:spacing w:line="360" w:lineRule="auto"/>
        <w:ind w:hanging="283" w:left="283"/>
      </w:pPr>
      <w:r>
        <w:rPr>
          <w:b w:val="0"/>
        </w:rPr>
        <w:t xml:space="preserve">16. </w:t>
      </w:r>
      <w:r>
        <w:t>Peleg AY, Seifert H, Paterson DL. Acinetobacter baumannii: emergence of a successful pathogen. Clin Microbiol Rev. 2008;21(3):538-582.</w:t>
      </w:r>
    </w:p>
    <w:p>
      <w:pPr>
        <w:spacing w:line="360" w:lineRule="auto"/>
        <w:ind w:hanging="283" w:left="283"/>
      </w:pPr>
      <w:r>
        <w:rPr>
          <w:b w:val="0"/>
        </w:rPr>
        <w:t xml:space="preserve">17. </w:t>
      </w:r>
      <w:r>
        <w:t>Zhang D, Cui K, Lu W, et al. Evaluation of China's National Antibiotic Stewardship Campaign: an interrupted time-series analysis. BMC Med. 2021;19:63.</w:t>
      </w:r>
    </w:p>
    <w:p>
      <w:pPr>
        <w:spacing w:line="360" w:lineRule="auto"/>
        <w:ind w:hanging="283" w:left="283"/>
      </w:pPr>
      <w:r>
        <w:rPr>
          <w:b w:val="0"/>
        </w:rPr>
        <w:t xml:space="preserve">18. </w:t>
      </w:r>
      <w:r>
        <w:t>Laxminarayan R, Duse A, Wattal C, et al. Antibiotic resistance—the need for global solutions. Lancet Infect Dis. 2013;13(12):1057-1098.</w:t>
      </w:r>
    </w:p>
    <w:p>
      <w:pPr>
        <w:spacing w:line="360" w:lineRule="auto"/>
        <w:ind w:hanging="283" w:left="283"/>
      </w:pPr>
      <w:r>
        <w:rPr>
          <w:b w:val="0"/>
        </w:rPr>
        <w:t xml:space="preserve">19. </w:t>
      </w:r>
      <w:r>
        <w:t>O'Neill J. Tackling Drug-Resistant Infections Globally: Final Report and Recommendations. Review on Antimicrobial Resistance. London; 2016.</w:t>
      </w:r>
    </w:p>
    <w:p>
      <w:pPr>
        <w:spacing w:line="360" w:lineRule="auto"/>
        <w:ind w:hanging="283" w:left="283"/>
      </w:pPr>
      <w:r>
        <w:rPr>
          <w:b w:val="0"/>
        </w:rPr>
        <w:t xml:space="preserve">20. </w:t>
      </w:r>
      <w:r>
        <w:t>Holmes AH, Moore LSP, Sundsfjord A, et al. Understanding the mechanisms and drivers of antimicrobial resistance. Lancet. 2016;387(10014):176-187.</w:t>
      </w:r>
    </w:p>
    <w:p>
      <w:pPr>
        <w:spacing w:line="360" w:lineRule="auto"/>
        <w:ind w:hanging="283" w:left="283"/>
      </w:pPr>
      <w:r>
        <w:rPr>
          <w:b w:val="0"/>
        </w:rPr>
        <w:t xml:space="preserve">21. </w:t>
      </w:r>
      <w:r>
        <w:t>Chandy SJ, Naik GS, Charles R, et al. The impact of policy guidelines on hospital antibiotic use over a decade: a segmented time series analysis. PLoS One. 2014;9(3):e92206.</w:t>
      </w:r>
    </w:p>
    <w:p>
      <w:pPr>
        <w:spacing w:line="360" w:lineRule="auto"/>
        <w:ind w:hanging="283" w:left="283"/>
      </w:pPr>
      <w:r>
        <w:rPr>
          <w:b w:val="0"/>
        </w:rPr>
        <w:t xml:space="preserve">22. </w:t>
      </w:r>
      <w:r>
        <w:t>Ganguly NK, Arora NK, Chandy SJ, et al. Rationalizing antibiotic use to limit antibiotic resistance in India. Indian J Med Res. 2011;134(3):281-294.</w:t>
      </w:r>
    </w:p>
    <w:p>
      <w:pPr>
        <w:spacing w:line="360" w:lineRule="auto"/>
        <w:ind w:hanging="283" w:left="283"/>
      </w:pPr>
      <w:r>
        <w:rPr>
          <w:b w:val="0"/>
        </w:rPr>
        <w:t xml:space="preserve">23. </w:t>
      </w:r>
      <w:r>
        <w:t>World Health Organization. Global Action Plan on Antimicrobial Resistance. Geneva: WHO; 2015.</w:t>
      </w:r>
    </w:p>
    <w:p>
      <w:pPr>
        <w:spacing w:line="360" w:lineRule="auto"/>
        <w:ind w:hanging="283" w:left="283"/>
      </w:pPr>
      <w:r>
        <w:rPr>
          <w:b w:val="0"/>
        </w:rPr>
        <w:t xml:space="preserve">24. </w:t>
      </w:r>
      <w:r>
        <w:t>Davey P, Marwick CA, Scott CL, et al. Interventions to improve antibiotic prescribing practices for hospital inpatients. Cochrane Database Syst Rev. 2017;2(2):CD003543.</w:t>
      </w:r>
    </w:p>
    <w:p>
      <w:pPr>
        <w:spacing w:line="360" w:lineRule="auto"/>
        <w:ind w:hanging="283" w:left="283"/>
      </w:pPr>
      <w:r>
        <w:rPr>
          <w:b w:val="0"/>
        </w:rPr>
        <w:t xml:space="preserve">25. </w:t>
      </w:r>
      <w:r>
        <w:t>Veeraraghavan B, Walia K. Antimicrobial susceptibility profile &amp; resistance mechanisms of global antimicrobial resistance surveillance system (GLASS) priority pathogens from India. Indian J Med Res. 2019;149(2):87-96.</w:t>
      </w:r>
    </w:p>
    <w:p>
      <w:pPr>
        <w:spacing w:line="360" w:lineRule="auto"/>
        <w:ind w:hanging="283" w:left="283"/>
      </w:pPr>
      <w:r>
        <w:rPr>
          <w:b w:val="0"/>
        </w:rPr>
        <w:t xml:space="preserve">26. </w:t>
      </w:r>
      <w:r>
        <w:t>Gandra S, Joshi J, Trett A, et al. Scoping Report on Antimicrobial Resistance in India. Washington, DC: Center for Disease Dynamics, Economics &amp; Policy; 2017.</w:t>
      </w:r>
    </w:p>
    <w:p>
      <w:pPr>
        <w:spacing w:line="360" w:lineRule="auto"/>
        <w:ind w:hanging="283" w:left="283"/>
      </w:pPr>
      <w:r>
        <w:rPr>
          <w:b w:val="0"/>
        </w:rPr>
        <w:t xml:space="preserve">27. </w:t>
      </w:r>
      <w:r>
        <w:t>Kakkar M, Walia K, Vong S, et al. Antibiotic resistance and its containment in India. BMJ. 2017;358:j2687.</w:t>
      </w:r>
    </w:p>
    <w:p>
      <w:pPr>
        <w:spacing w:line="360" w:lineRule="auto"/>
        <w:ind w:hanging="283" w:left="283"/>
      </w:pPr>
      <w:r>
        <w:rPr>
          <w:b w:val="0"/>
        </w:rPr>
        <w:t xml:space="preserve">28. </w:t>
      </w:r>
      <w:r>
        <w:t>Sanchez GV, Fleming-Dutra KE, Roberts RM, Hicks LA. Core Elements of Outpatient Antibiotic Stewardship. MMWR Recomm Rep. 2016;65(6):1-12.</w:t>
      </w:r>
    </w:p>
    <w:p>
      <w:r>
        <w:br w:type="page"/>
      </w:r>
    </w:p>
    <w:p>
      <w:pPr>
        <w:pStyle w:val="Heading1"/>
      </w:pPr>
      <w:r>
        <w:rPr>
          <w:rFonts w:ascii="Times New Roman" w:hAnsi="Times New Roman"/>
        </w:rPr>
        <w:t>Figure Legends</w:t>
      </w:r>
    </w:p>
    <w:p>
      <w:r>
        <w:rPr>
          <w:b/>
        </w:rPr>
        <w:t>Figure 1:</w:t>
      </w:r>
      <w:r>
        <w:t xml:space="preserve"> Study design and data flow diagram. Data were consolidated from three ICMR-AMRSN datasets spanning 2016-2024, processed for standardization, and analyzed using interrupted time series methodology.</w:t>
      </w:r>
    </w:p>
    <w:p>
      <w:pPr>
        <w:spacing w:after="240"/>
      </w:pPr>
    </w:p>
    <w:p>
      <w:r>
        <w:rPr>
          <w:b/>
        </w:rPr>
        <w:t>Figure 2:</w:t>
      </w:r>
      <w:r>
        <w:t xml:space="preserve"> Interrupted time series analysis of antimicrobial resistance trends during the Red Line Campaign era (2016-2024). Black circles represent observed annual mean resistance percentages. The red line shows the fitted trend, and the dashed gray line represents the counterfactual scenario assuming no change from 2016 baseline.</w:t>
      </w:r>
    </w:p>
    <w:p>
      <w:pPr>
        <w:spacing w:after="240"/>
      </w:pPr>
    </w:p>
    <w:p>
      <w:r>
        <w:rPr>
          <w:b/>
        </w:rPr>
        <w:t>Figure 3:</w:t>
      </w:r>
      <w:r>
        <w:t xml:space="preserve"> Pathogen-specific antimicrobial resistance trends (2016-2024). Subgroup analyses for (A) Klebsiella pneumoniae, (B) Escherichia coli, (C) Acinetobacter baumannii, and (D) Staphylococcus aureus (MRSA). Error bars represent standard error of the mean.</w:t>
      </w:r>
    </w:p>
    <w:p>
      <w:pPr>
        <w:spacing w:after="240"/>
      </w:pPr>
    </w:p>
    <w:p>
      <w:r>
        <w:rPr>
          <w:b/>
        </w:rPr>
        <w:t>Figure 4:</w:t>
      </w:r>
      <w:r>
        <w:t xml:space="preserve"> Forest plot of sensitivity analyses showing slope change (%/year) by pathogen subgroup and COVID-19 exclusion analysis. Green bars indicate negative (decreasing) trends; red bars indicate positive (increasing) trends. Asterisks denote statistical significance at p&lt;0.05.</w:t>
      </w:r>
    </w:p>
    <w:p>
      <w:pPr>
        <w:spacing w:after="2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