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</w:t>
      </w:r>
    </w:p>
    <w:p/>
    <w:p>
      <w:pPr>
        <w:jc w:val="center"/>
      </w:pPr>
      <w:r>
        <w:rPr>
          <w:b/>
        </w:rPr>
        <w:t>Antimicrobial Resistance Trends in India During the Red Line Campaign Era (2016-2024): An Interrupted Time Series Analysis</w:t>
      </w:r>
    </w:p>
    <w:p/>
    <w:p>
      <w:pPr>
        <w:pStyle w:val="Heading1"/>
      </w:pPr>
      <w:r>
        <w:t>S1. Data Sources and Processing</w:t>
      </w:r>
    </w:p>
    <w:p>
      <w:r>
        <w:t>This study consolidated data from three ICMR-AMRSN datasets:</w:t>
      </w:r>
    </w:p>
    <w:p>
      <w:r>
        <w:t>1. Epidemiology Dataset: 52 records containing regional resistance patterns, antimicrobial agent-specific data, and molecular resistance gene prevalence (2017-2024)</w:t>
      </w:r>
    </w:p>
    <w:p>
      <w:r>
        <w:t>2. Molecular Dataset: 46 records with detailed resistance mechanism data</w:t>
      </w:r>
    </w:p>
    <w:p>
      <w:r>
        <w:t>3. Granular Dataset: 38 records with center-specific mortality and clinical outcome data (2016-2024)</w:t>
      </w:r>
    </w:p>
    <w:p/>
    <w:p>
      <w:r>
        <w:t>Data extraction from annual ICMR-AMRSN reports was performed using systematic digitization protocols. Resistance percentages were parsed from text strings using natural language processing techniques.</w:t>
      </w:r>
    </w:p>
    <w:p>
      <w:pPr>
        <w:pStyle w:val="Heading1"/>
      </w:pPr>
      <w:r>
        <w:t>S2. Detailed Statistical Methods</w:t>
      </w:r>
    </w:p>
    <w:p>
      <w:r>
        <w:t>The interrupted time series model was specified as:</w:t>
      </w:r>
    </w:p>
    <w:p>
      <w:r>
        <w:t>Y_t = β₀ + β₁(Time) + β₂(Intervention) + β₃(Time_After) + ε_t</w:t>
      </w:r>
    </w:p>
    <w:p/>
    <w:p>
      <w:r>
        <w:t>Where:</w:t>
      </w:r>
    </w:p>
    <w:p>
      <w:r>
        <w:t>• Y_t = Mean resistance percentage at time t</w:t>
      </w:r>
    </w:p>
    <w:p>
      <w:r>
        <w:t>• β₀ = Intercept (baseline level)</w:t>
      </w:r>
    </w:p>
    <w:p>
      <w:r>
        <w:t>• β₁ = Pre-intervention slope (rate of change before intervention)</w:t>
      </w:r>
    </w:p>
    <w:p>
      <w:r>
        <w:t>• β₂ = Level change at intervention (immediate effect)</w:t>
      </w:r>
    </w:p>
    <w:p>
      <w:r>
        <w:t>• β₃ = Slope change (difference in slopes pre vs post)</w:t>
      </w:r>
    </w:p>
    <w:p>
      <w:r>
        <w:t>• ε_t = Error term</w:t>
      </w:r>
    </w:p>
    <w:p/>
    <w:p>
      <w:r>
        <w:t>Since data begins at the intervention year (2016), δ = 45 × β₁ and β₃ estimates represent the trend during the campaign period rather than pre-post comparison. The Durbin-Watson test was used to assess autocorrelation in residuals.</w:t>
      </w:r>
    </w:p>
    <w:p>
      <w:pPr>
        <w:pStyle w:val="Heading1"/>
      </w:pPr>
      <w:r>
        <w:t>S3. Analysis Code</w:t>
      </w:r>
    </w:p>
    <w:p>
      <w:r>
        <w:t>Complete analysis code is available in the supplementary repository:</w:t>
      </w:r>
    </w:p>
    <w:p>
      <w:r>
        <w:t>• 50_its_analysis_pipeline.py - Main ITS analysis pipeline</w:t>
      </w:r>
    </w:p>
    <w:p>
      <w:r>
        <w:t>• 52_generate_ms3_manuscript.py - Manuscript generation</w:t>
      </w:r>
    </w:p>
    <w:p>
      <w:pPr>
        <w:pStyle w:val="Heading1"/>
      </w:pPr>
      <w:r>
        <w:t>S4. Durbin-Watson Autocorrelation Assessment</w:t>
      </w:r>
    </w:p>
    <w:p>
      <w:r>
        <w:t>The Durbin-Watson statistic for the primary analysis was 0.56, suggesting positive autocorrelation. Values near 2.0 indicate no autocorrelation, while values &lt;1.5 suggest positive autocorrelation. This warrants cautious interpretation of confidence intervals and p-values, as they may be biased. Future analyses with longer time series may benefit from ARIMA modeling or Newey-West robust standard errors.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