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Tables</w:t>
      </w:r>
    </w:p>
    <w:p>
      <w:r>
        <w:rPr>
          <w:b/>
        </w:rPr>
        <w:t>Table 1: Annual Antimicrobial Resistance Trends in India (2016-2024)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r>
              <w:rPr>
                <w:b/>
              </w:rPr>
              <w:t>Year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Mean Resistance (%)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Standard Deviation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N Observations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12.7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31.8</w:t>
            </w:r>
          </w:p>
        </w:tc>
        <w:tc>
          <w:tcPr>
            <w:tcW w:type="dxa" w:w="2160"/>
          </w:tcPr>
          <w:p>
            <w:r>
              <w:t>21.3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15.2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55.6</w:t>
            </w:r>
          </w:p>
        </w:tc>
        <w:tc>
          <w:tcPr>
            <w:tcW w:type="dxa" w:w="2160"/>
          </w:tcPr>
          <w:p>
            <w:r>
              <w:t>32.2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61.1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31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  <w:tc>
          <w:tcPr>
            <w:tcW w:type="dxa" w:w="2160"/>
          </w:tcPr>
          <w:p>
            <w:r>
              <w:t>30.3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51.0</w:t>
            </w:r>
          </w:p>
        </w:tc>
        <w:tc>
          <w:tcPr>
            <w:tcW w:type="dxa" w:w="2160"/>
          </w:tcPr>
          <w:p>
            <w:r>
              <w:t>29.6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53.5</w:t>
            </w:r>
          </w:p>
        </w:tc>
        <w:tc>
          <w:tcPr>
            <w:tcW w:type="dxa" w:w="2160"/>
          </w:tcPr>
          <w:p>
            <w:r>
              <w:t>22.7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</w:tbl>
    <w:p/>
    <w:p>
      <w:r>
        <w:t>Data source: ICMR-AMRSN consolidated surveillance data. SD = Standard Deviation.</w:t>
      </w:r>
    </w:p>
    <w:p>
      <w:r>
        <w:br w:type="page"/>
      </w:r>
    </w:p>
    <w:p>
      <w:r>
        <w:rPr>
          <w:b/>
        </w:rPr>
        <w:t>Table 2: Interrupted Time Series Regression Coefficients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6E6E6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728"/>
            <w:shd w:fill="E6E6E6"/>
          </w:tcPr>
          <w:p>
            <w:r>
              <w:rPr>
                <w:b/>
              </w:rPr>
              <w:t>Estimate</w:t>
            </w:r>
          </w:p>
        </w:tc>
        <w:tc>
          <w:tcPr>
            <w:tcW w:type="dxa" w:w="1728"/>
            <w:shd w:fill="E6E6E6"/>
          </w:tcPr>
          <w:p>
            <w:r>
              <w:rPr>
                <w:b/>
              </w:rPr>
              <w:t>95% CI Lower</w:t>
            </w:r>
          </w:p>
        </w:tc>
        <w:tc>
          <w:tcPr>
            <w:tcW w:type="dxa" w:w="1728"/>
            <w:shd w:fill="E6E6E6"/>
          </w:tcPr>
          <w:p>
            <w:r>
              <w:rPr>
                <w:b/>
              </w:rPr>
              <w:t>95% CI Upper</w:t>
            </w:r>
          </w:p>
        </w:tc>
        <w:tc>
          <w:tcPr>
            <w:tcW w:type="dxa" w:w="1728"/>
            <w:shd w:fill="E6E6E6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1728"/>
          </w:tcPr>
          <w:p>
            <w:r>
              <w:t>Pre-intervention slope (β₁)</w:t>
            </w:r>
          </w:p>
        </w:tc>
        <w:tc>
          <w:tcPr>
            <w:tcW w:type="dxa" w:w="1728"/>
          </w:tcPr>
          <w:p>
            <w:r>
              <w:t>2.514</w:t>
            </w:r>
          </w:p>
        </w:tc>
        <w:tc>
          <w:tcPr>
            <w:tcW w:type="dxa" w:w="1728"/>
          </w:tcPr>
          <w:p>
            <w:r>
              <w:t>1.089</w:t>
            </w:r>
          </w:p>
        </w:tc>
        <w:tc>
          <w:tcPr>
            <w:tcW w:type="dxa" w:w="1728"/>
          </w:tcPr>
          <w:p>
            <w:r>
              <w:t>3.94</w:t>
            </w:r>
          </w:p>
        </w:tc>
        <w:tc>
          <w:tcPr>
            <w:tcW w:type="dxa" w:w="1728"/>
          </w:tcPr>
          <w:p>
            <w:r>
              <w:t>0.0042</w:t>
            </w:r>
          </w:p>
        </w:tc>
      </w:tr>
      <w:tr>
        <w:tc>
          <w:tcPr>
            <w:tcW w:type="dxa" w:w="1728"/>
          </w:tcPr>
          <w:p>
            <w:r>
              <w:t>Level change at intervention (β₂)</w:t>
            </w:r>
          </w:p>
        </w:tc>
        <w:tc>
          <w:tcPr>
            <w:tcW w:type="dxa" w:w="1728"/>
          </w:tcPr>
          <w:p>
            <w:r>
              <w:t>11.607</w:t>
            </w:r>
          </w:p>
        </w:tc>
        <w:tc>
          <w:tcPr>
            <w:tcW w:type="dxa" w:w="1728"/>
          </w:tcPr>
          <w:p>
            <w:r>
              <w:t>4.82</w:t>
            </w:r>
          </w:p>
        </w:tc>
        <w:tc>
          <w:tcPr>
            <w:tcW w:type="dxa" w:w="1728"/>
          </w:tcPr>
          <w:p>
            <w:r>
              <w:t>18.393</w:t>
            </w:r>
          </w:p>
        </w:tc>
        <w:tc>
          <w:tcPr>
            <w:tcW w:type="dxa" w:w="1728"/>
          </w:tcPr>
          <w:p>
            <w:r>
              <w:t>0.0049</w:t>
            </w:r>
          </w:p>
        </w:tc>
      </w:tr>
      <w:tr>
        <w:tc>
          <w:tcPr>
            <w:tcW w:type="dxa" w:w="1728"/>
          </w:tcPr>
          <w:p>
            <w:r>
              <w:t>Slope change post-intervention (β₃)</w:t>
            </w:r>
          </w:p>
        </w:tc>
        <w:tc>
          <w:tcPr>
            <w:tcW w:type="dxa" w:w="1728"/>
          </w:tcPr>
          <w:p>
            <w:r>
              <w:t>2.514</w:t>
            </w:r>
          </w:p>
        </w:tc>
        <w:tc>
          <w:tcPr>
            <w:tcW w:type="dxa" w:w="1728"/>
          </w:tcPr>
          <w:p>
            <w:r>
              <w:t>1.089</w:t>
            </w:r>
          </w:p>
        </w:tc>
        <w:tc>
          <w:tcPr>
            <w:tcW w:type="dxa" w:w="1728"/>
          </w:tcPr>
          <w:p>
            <w:r>
              <w:t>3.94</w:t>
            </w:r>
          </w:p>
        </w:tc>
        <w:tc>
          <w:tcPr>
            <w:tcW w:type="dxa" w:w="1728"/>
          </w:tcPr>
          <w:p>
            <w:r>
              <w:t>0.0042</w:t>
            </w:r>
          </w:p>
        </w:tc>
      </w:tr>
    </w:tbl>
    <w:p/>
    <w:p>
      <w:r>
        <w:t>CI = Confidence Interval. Model R² = 0.71. Durbin-Watson = 0.56.</w:t>
      </w:r>
    </w:p>
    <w:p>
      <w:r>
        <w:br w:type="page"/>
      </w:r>
    </w:p>
    <w:p>
      <w:r>
        <w:rPr>
          <w:b/>
        </w:rPr>
        <w:t>Table 3: Sensitivity Analyses by Pathogen and COVID-19 Exclusion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r>
              <w:rPr>
                <w:b/>
              </w:rPr>
              <w:t>Analysis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Slope Change (%/year)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N (years)</w:t>
            </w:r>
          </w:p>
        </w:tc>
      </w:tr>
      <w:tr>
        <w:tc>
          <w:tcPr>
            <w:tcW w:type="dxa" w:w="2160"/>
          </w:tcPr>
          <w:p>
            <w:r>
              <w:t>K. pneumoniae</w:t>
            </w:r>
          </w:p>
        </w:tc>
        <w:tc>
          <w:tcPr>
            <w:tcW w:type="dxa" w:w="2160"/>
          </w:tcPr>
          <w:p>
            <w:r>
              <w:t>0.271</w:t>
            </w:r>
          </w:p>
        </w:tc>
        <w:tc>
          <w:tcPr>
            <w:tcW w:type="dxa" w:w="2160"/>
          </w:tcPr>
          <w:p>
            <w:r>
              <w:t>0.8481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E. coli</w:t>
            </w:r>
          </w:p>
        </w:tc>
        <w:tc>
          <w:tcPr>
            <w:tcW w:type="dxa" w:w="2160"/>
          </w:tcPr>
          <w:p>
            <w:r>
              <w:t>1.26</w:t>
            </w:r>
          </w:p>
        </w:tc>
        <w:tc>
          <w:tcPr>
            <w:tcW w:type="dxa" w:w="2160"/>
          </w:tcPr>
          <w:p>
            <w:r>
              <w:t>0.0482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A. baumannii</w:t>
            </w:r>
          </w:p>
        </w:tc>
        <w:tc>
          <w:tcPr>
            <w:tcW w:type="dxa" w:w="2160"/>
          </w:tcPr>
          <w:p>
            <w:r>
              <w:t>6.733</w:t>
            </w:r>
          </w:p>
        </w:tc>
        <w:tc>
          <w:tcPr>
            <w:tcW w:type="dxa" w:w="2160"/>
          </w:tcPr>
          <w:p>
            <w:r>
              <w:t>0.0732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S. aureus (MRSA)</w:t>
            </w:r>
          </w:p>
        </w:tc>
        <w:tc>
          <w:tcPr>
            <w:tcW w:type="dxa" w:w="2160"/>
          </w:tcPr>
          <w:p>
            <w:r>
              <w:t>2.975</w:t>
            </w:r>
          </w:p>
        </w:tc>
        <w:tc>
          <w:tcPr>
            <w:tcW w:type="dxa" w:w="2160"/>
          </w:tcPr>
          <w:p>
            <w:r>
              <w:t>0.0347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Excluding_COVID</w:t>
            </w:r>
          </w:p>
        </w:tc>
        <w:tc>
          <w:tcPr>
            <w:tcW w:type="dxa" w:w="2160"/>
          </w:tcPr>
          <w:p>
            <w:r>
              <w:t>3.488</w:t>
            </w:r>
          </w:p>
        </w:tc>
        <w:tc>
          <w:tcPr>
            <w:tcW w:type="dxa" w:w="2160"/>
          </w:tcPr>
          <w:p>
            <w:r>
              <w:t>0.0014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</w:tbl>
    <w:p/>
    <w:p>
      <w:r>
        <w:t>Positive slope change indicates increasing resistance over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