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January 07, 2026</w:t>
      </w:r>
    </w:p>
    <w:p/>
    <w:p>
      <w:r>
        <w:t>To,</w:t>
      </w:r>
    </w:p>
    <w:p>
      <w:r>
        <w:t>The Editor-in-Chief</w:t>
      </w:r>
    </w:p>
    <w:p>
      <w:r>
        <w:t>Indian Journal of Community Medicine (IJCM)</w:t>
      </w:r>
    </w:p>
    <w:p>
      <w:r>
        <w:t>Official Publication of the Indian Association of Preventive &amp; Social Medicine</w:t>
      </w:r>
    </w:p>
    <w:p/>
    <w:p>
      <w:r>
        <w:rPr>
          <w:b/>
        </w:rPr>
        <w:t xml:space="preserve">Subject: </w:t>
      </w:r>
      <w:r>
        <w:t>Submission of Original Article – "Spatiotemporal Modeling of Antimicrobial Resistance Hotspots in India (2017-2024)"</w:t>
      </w:r>
    </w:p>
    <w:p/>
    <w:p>
      <w:r>
        <w:t>Dear Editor,</w:t>
      </w:r>
    </w:p>
    <w:p/>
    <w:p>
      <w:r>
        <w:t xml:space="preserve">We are pleased to submit our original research article titled </w:t>
      </w:r>
      <w:r>
        <w:rPr>
          <w:b/>
        </w:rPr>
        <w:t>"Spatiotemporal Modeling of Antimicrobial Resistance Hotspots in India (2017-2024): Integrating Genomic Surveillance with Longitudinal Predictive Analytics"</w:t>
      </w:r>
      <w:r>
        <w:t xml:space="preserve"> for consideration for publication in the Indian Journal of Community Medicine.</w:t>
      </w:r>
    </w:p>
    <w:p/>
    <w:p>
      <w:r>
        <w:rPr>
          <w:b/>
        </w:rPr>
        <w:t>Relevance to IJCM Readership</w:t>
      </w:r>
    </w:p>
    <w:p>
      <w:r>
        <w:t>Antimicrobial resistance (AMR) represents a critical public health crisis with profound implications for community medicine practice in India. Our study directly addresses the intersection of infectious disease epidemiology, health systems strengthening, and preventive medicine—core areas of interest to the IJCM readership. The findings have immediate translational value for:</w:t>
      </w:r>
    </w:p>
    <w:p>
      <w:pPr>
        <w:pStyle w:val="ListBullet"/>
      </w:pPr>
      <w:r>
        <w:t>District-level health planning: Identification of regional AMR hotspots enables targeted resource allocation.</w:t>
      </w:r>
    </w:p>
    <w:p>
      <w:pPr>
        <w:pStyle w:val="ListBullet"/>
      </w:pPr>
      <w:r>
        <w:t>Antimicrobial stewardship programs: The predictive model can guide State-level stewardship initiatives under NAP-AMR.</w:t>
      </w:r>
    </w:p>
    <w:p>
      <w:pPr>
        <w:pStyle w:val="ListBullet"/>
      </w:pPr>
      <w:r>
        <w:t>Public health policy: Evidence for transitioning from reactive to proactive surveillance, aligning with India's G-20 commitments.</w:t>
      </w:r>
    </w:p>
    <w:p/>
    <w:p>
      <w:r>
        <w:rPr>
          <w:b/>
        </w:rPr>
        <w:t>Summary of Key Findings</w:t>
      </w:r>
    </w:p>
    <w:p>
      <w:r>
        <w:t>By integrating data from 21 ICMR-AMRSN Regional Centers (2017-2024), we developed a machine learning model that predicts carbapenem resistance trajectories with an R² of 0.87. We identified distinct "resistance eco-zones"—the NDM-dominated Northern belt and the OXA-23-dominated Southern cluster—demonstrating that AMR in India is hyper-local and requires decentralized, data-driven interventions.</w:t>
      </w:r>
    </w:p>
    <w:p/>
    <w:p>
      <w:r>
        <w:rPr>
          <w:b/>
        </w:rPr>
        <w:t>Manuscript Details</w:t>
      </w:r>
    </w:p>
    <w:p>
      <w:pPr>
        <w:pStyle w:val="ListBullet"/>
      </w:pPr>
      <w:r>
        <w:t>Word Count: ~3,500 words (Main Text)</w:t>
      </w:r>
    </w:p>
    <w:p>
      <w:pPr>
        <w:pStyle w:val="ListBullet"/>
      </w:pPr>
      <w:r>
        <w:t>Tables: 2</w:t>
      </w:r>
    </w:p>
    <w:p>
      <w:pPr>
        <w:pStyle w:val="ListBullet"/>
      </w:pPr>
      <w:r>
        <w:t>Figures: 5</w:t>
      </w:r>
    </w:p>
    <w:p>
      <w:pPr>
        <w:pStyle w:val="ListBullet"/>
      </w:pPr>
      <w:r>
        <w:t>References: 30</w:t>
      </w:r>
    </w:p>
    <w:p/>
    <w:p>
      <w:r>
        <w:rPr>
          <w:b/>
        </w:rPr>
        <w:t>Declarations</w:t>
      </w:r>
    </w:p>
    <w:p>
      <w:pPr>
        <w:pStyle w:val="ListBullet"/>
      </w:pPr>
      <w:r>
        <w:t>This manuscript is original and has not been published previously nor is under consideration elsewhere.</w:t>
      </w:r>
    </w:p>
    <w:p>
      <w:pPr>
        <w:pStyle w:val="ListBullet"/>
      </w:pPr>
      <w:r>
        <w:t>All authors have read and approved the final manuscript.</w:t>
      </w:r>
    </w:p>
    <w:p>
      <w:pPr>
        <w:pStyle w:val="ListBullet"/>
      </w:pPr>
      <w:r>
        <w:t>Ethical approval was waived as only anonymized, aggregated secondary data from public domain ICMR reports was used.</w:t>
      </w:r>
    </w:p>
    <w:p>
      <w:pPr>
        <w:pStyle w:val="ListBullet"/>
      </w:pPr>
      <w:r>
        <w:t>The authors declare no conflicts of interest.</w:t>
      </w:r>
    </w:p>
    <w:p>
      <w:pPr>
        <w:pStyle w:val="ListBullet"/>
      </w:pPr>
      <w:r>
        <w:t>This research was self-funded.</w:t>
      </w:r>
    </w:p>
    <w:p>
      <w:pPr>
        <w:pStyle w:val="ListBullet"/>
      </w:pPr>
      <w:r>
        <w:t>AI tools (Gemini Labs) were used for data extraction and drafting assistance, disclosed per ICMJE guidelines.</w:t>
      </w:r>
    </w:p>
    <w:p/>
    <w:p>
      <w:r>
        <w:t>We believe this work makes a significant contribution to the understanding and management of AMR in the Indian context and is well-suited for the multidisciplinary readership of IJCM.</w:t>
      </w:r>
    </w:p>
    <w:p/>
    <w:p>
      <w:r>
        <w:t>Thank you for considering our submission. We look forward to your favorable response.</w:t>
      </w:r>
    </w:p>
    <w:p/>
    <w:p>
      <w:r>
        <w:t>Sincerely,</w:t>
      </w:r>
    </w:p>
    <w:p/>
    <w:p>
      <w:r>
        <w:rPr>
          <w:b/>
        </w:rPr>
        <w:t>Dr. Siddalingaiah H S</w:t>
      </w:r>
    </w:p>
    <w:p>
      <w:r>
        <w:t>Professor, Department of Community Medicine</w:t>
      </w:r>
    </w:p>
    <w:p>
      <w:r>
        <w:t>Shridevi Institute of Medical Sciences and Research Hospital</w:t>
      </w:r>
    </w:p>
    <w:p>
      <w:r>
        <w:t>Tumkur, Karnataka, India – 572106</w:t>
      </w:r>
    </w:p>
    <w:p>
      <w:r>
        <w:t>Email: hssling@yahoo.com</w:t>
      </w:r>
    </w:p>
    <w:p>
      <w:r>
        <w:t>Phone: +91-8941087719</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