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Spatiotemporal Modeling of Antimicrobial Resistance Hotspots in India (2017-2024): Integrating Genomic Surveillance with Longitudinal Predictive Analytics</w:t>
      </w:r>
    </w:p>
    <w:p/>
    <w:p>
      <w:r>
        <w:rPr>
          <w:rFonts w:ascii="Times New Roman" w:hAnsi="Times New Roman"/>
          <w:b/>
          <w:sz w:val="24"/>
        </w:rPr>
        <w:t>Type of Article</w:t>
      </w:r>
      <w:r>
        <w:rPr>
          <w:rFonts w:ascii="Times New Roman" w:hAnsi="Times New Roman"/>
          <w:sz w:val="24"/>
        </w:rPr>
        <w:t>: Original Article</w:t>
      </w:r>
    </w:p>
    <w:p/>
    <w:p>
      <w:r>
        <w:rPr>
          <w:rFonts w:ascii="Times New Roman" w:hAnsi="Times New Roman"/>
          <w:b/>
          <w:sz w:val="24"/>
        </w:rPr>
        <w:t>Running Title</w:t>
      </w:r>
      <w:r>
        <w:rPr>
          <w:rFonts w:ascii="Times New Roman" w:hAnsi="Times New Roman"/>
          <w:sz w:val="24"/>
        </w:rPr>
        <w:t>: Spatiotemporal AMR Prediction in India</w:t>
      </w:r>
    </w:p>
    <w:p/>
    <w:p>
      <w:r>
        <w:rPr>
          <w:rFonts w:ascii="Times New Roman" w:hAnsi="Times New Roman"/>
          <w:b/>
          <w:sz w:val="24"/>
        </w:rPr>
        <w:t>Authors</w:t>
      </w:r>
      <w:r>
        <w:rPr>
          <w:rFonts w:ascii="Times New Roman" w:hAnsi="Times New Roman"/>
          <w:sz w:val="24"/>
        </w:rPr>
        <w:t>:</w:t>
      </w:r>
    </w:p>
    <w:p>
      <w:r>
        <w:rPr>
          <w:rFonts w:ascii="Times New Roman" w:hAnsi="Times New Roman"/>
          <w:sz w:val="24"/>
        </w:rPr>
        <w:t>1. Dr. Siddalingaiah H S, Professor, Community Medicine, Shridevi Institute of Medical Sciences and Research Hospital, Tumkur, India.</w:t>
      </w:r>
    </w:p>
    <w:p/>
    <w:p>
      <w:r>
        <w:rPr>
          <w:rFonts w:ascii="Times New Roman" w:hAnsi="Times New Roman"/>
          <w:b/>
          <w:sz w:val="24"/>
        </w:rPr>
        <w:t>Corresponding Author</w:t>
      </w:r>
      <w:r>
        <w:rPr>
          <w:rFonts w:ascii="Times New Roman" w:hAnsi="Times New Roman"/>
          <w:sz w:val="24"/>
        </w:rPr>
        <w:t>:</w:t>
      </w:r>
    </w:p>
    <w:p>
      <w:r>
        <w:rPr>
          <w:rFonts w:ascii="Times New Roman" w:hAnsi="Times New Roman"/>
          <w:sz w:val="24"/>
        </w:rPr>
        <w:t>Dr. Siddalingaiah H S, Professor, Community Medicine, Shridevi Institute of Medical Sciences and Research Hospital, Tumkur, Karnataka, India. Email: hssling@yahoo.com. Phone: +91-8941087719. ORCID: 0000-0002-4771-8285.</w:t>
      </w:r>
    </w:p>
    <w:p/>
    <w:p>
      <w:r>
        <w:rPr>
          <w:rFonts w:ascii="Times New Roman" w:hAnsi="Times New Roman"/>
          <w:b/>
          <w:sz w:val="24"/>
        </w:rPr>
        <w:t>Word Count</w:t>
      </w:r>
      <w:r>
        <w:rPr>
          <w:rFonts w:ascii="Times New Roman" w:hAnsi="Times New Roman"/>
          <w:sz w:val="24"/>
        </w:rPr>
        <w:t>: Abstract: 248 words; Main Text: 3,500 words; Tables: 2; Figures: 5.</w:t>
      </w:r>
    </w:p>
    <w:p/>
    <w:p>
      <w:r>
        <w:rPr>
          <w:rFonts w:ascii="Times New Roman" w:hAnsi="Times New Roman"/>
          <w:b/>
          <w:sz w:val="24"/>
        </w:rPr>
        <w:t>Conflicts of Interest</w:t>
      </w:r>
      <w:r>
        <w:rPr>
          <w:rFonts w:ascii="Times New Roman" w:hAnsi="Times New Roman"/>
          <w:sz w:val="24"/>
        </w:rPr>
        <w:t>: None declared.</w:t>
      </w:r>
    </w:p>
    <w:p/>
    <w:p>
      <w:r>
        <w:rPr>
          <w:rFonts w:ascii="Times New Roman" w:hAnsi="Times New Roman"/>
          <w:b/>
          <w:sz w:val="24"/>
        </w:rPr>
        <w:t>Source of Support</w:t>
      </w:r>
      <w:r>
        <w:rPr>
          <w:rFonts w:ascii="Times New Roman" w:hAnsi="Times New Roman"/>
          <w:sz w:val="24"/>
        </w:rPr>
        <w:t>: Self-Funded.</w:t>
      </w:r>
    </w:p>
    <w:p/>
    <w:p/>
    <w:p>
      <w:r>
        <w:br w:type="page"/>
      </w:r>
    </w:p>
    <w:p>
      <w:pPr>
        <w:pStyle w:val="Heading2"/>
      </w:pPr>
      <w:r>
        <w:rPr>
          <w:rFonts w:ascii="Times New Roman" w:hAnsi="Times New Roman"/>
          <w:color w:val="000000"/>
        </w:rPr>
        <w:t>Abstract</w:t>
      </w:r>
    </w:p>
    <w:p/>
    <w:p>
      <w:r>
        <w:rPr>
          <w:rFonts w:ascii="Times New Roman" w:hAnsi="Times New Roman"/>
          <w:b/>
          <w:sz w:val="24"/>
        </w:rPr>
        <w:t>Background and Objectives</w:t>
      </w:r>
      <w:r>
        <w:rPr>
          <w:rFonts w:ascii="Times New Roman" w:hAnsi="Times New Roman"/>
          <w:sz w:val="24"/>
        </w:rPr>
        <w:t xml:space="preserve">: Antimicrobial Resistance (AMR) is a silent pandemic disproportionately affecting India, driven by high infectious disease burden and antibiotic overuse. Current surveillance provided by the ICMR-AMRSN is robust but retrospective. This study aimed to bridge the gap in real-time predictive capabilities by developing a machine learning framework that forecasts resistance hotspots for critical pathogens including </w:t>
      </w:r>
      <w:r>
        <w:rPr>
          <w:rFonts w:ascii="Times New Roman" w:hAnsi="Times New Roman"/>
          <w:i/>
          <w:sz w:val="24"/>
        </w:rPr>
        <w:t>Klebsiella pneumoniae</w:t>
      </w:r>
      <w:r>
        <w:rPr>
          <w:rFonts w:ascii="Times New Roman" w:hAnsi="Times New Roman"/>
          <w:sz w:val="24"/>
        </w:rPr>
        <w:t xml:space="preserve">, </w:t>
      </w:r>
      <w:r>
        <w:rPr>
          <w:rFonts w:ascii="Times New Roman" w:hAnsi="Times New Roman"/>
          <w:i/>
          <w:sz w:val="24"/>
        </w:rPr>
        <w:t>Escherichia coli</w:t>
      </w:r>
      <w:r>
        <w:rPr>
          <w:rFonts w:ascii="Times New Roman" w:hAnsi="Times New Roman"/>
          <w:sz w:val="24"/>
        </w:rPr>
        <w:t xml:space="preserve">, and </w:t>
      </w:r>
      <w:r>
        <w:rPr>
          <w:rFonts w:ascii="Times New Roman" w:hAnsi="Times New Roman"/>
          <w:i/>
          <w:sz w:val="24"/>
        </w:rPr>
        <w:t>Staphylococcus aureus</w:t>
      </w:r>
      <w:r>
        <w:rPr>
          <w:rFonts w:ascii="Times New Roman" w:hAnsi="Times New Roman"/>
          <w:sz w:val="24"/>
        </w:rPr>
        <w:t>.</w:t>
      </w:r>
    </w:p>
    <w:p/>
    <w:p>
      <w:r>
        <w:rPr>
          <w:rFonts w:ascii="Times New Roman" w:hAnsi="Times New Roman"/>
          <w:b/>
          <w:sz w:val="24"/>
        </w:rPr>
        <w:t>Methods</w:t>
      </w:r>
      <w:r>
        <w:rPr>
          <w:rFonts w:ascii="Times New Roman" w:hAnsi="Times New Roman"/>
          <w:sz w:val="24"/>
        </w:rPr>
        <w:t>: We conducted a multi-center retrospective study integrating three data tiers: digitized annual reports from the Indian Council of Medical Research (2017-2022); geospatial coordinates of 21 Regional Centers; and a granular longitudinal dataset (N=38 center-years) incorporating antibiotic consumption metrics. We trained a Random Forest Regressor to predict resistance percentages based on location, time, and pathogen genotype.</w:t>
      </w:r>
    </w:p>
    <w:p/>
    <w:p>
      <w:r>
        <w:rPr>
          <w:rFonts w:ascii="Times New Roman" w:hAnsi="Times New Roman"/>
          <w:b/>
          <w:sz w:val="24"/>
        </w:rPr>
        <w:t>Results</w:t>
      </w:r>
      <w:r>
        <w:rPr>
          <w:rFonts w:ascii="Times New Roman" w:hAnsi="Times New Roman"/>
          <w:sz w:val="24"/>
        </w:rPr>
        <w:t xml:space="preserve">: The analysis revealed a significant temporal increase in carbapenem resistance among </w:t>
      </w:r>
      <w:r>
        <w:rPr>
          <w:rFonts w:ascii="Times New Roman" w:hAnsi="Times New Roman"/>
          <w:i/>
          <w:sz w:val="24"/>
        </w:rPr>
        <w:t>K. pneumoniae</w:t>
      </w:r>
      <w:r>
        <w:rPr>
          <w:rFonts w:ascii="Times New Roman" w:hAnsi="Times New Roman"/>
          <w:sz w:val="24"/>
        </w:rPr>
        <w:t xml:space="preserve"> (CRKP), rising from 41.5% in 2017 to greater than 57% in 2021. Geospatial clustering identified high-risk zones in Northern India fueled by </w:t>
      </w:r>
      <w:r>
        <w:rPr>
          <w:rFonts w:ascii="Times New Roman" w:hAnsi="Times New Roman"/>
          <w:i/>
          <w:sz w:val="24"/>
        </w:rPr>
        <w:t>bla</w:t>
      </w:r>
      <w:r>
        <w:rPr>
          <w:rFonts w:ascii="Times New Roman" w:hAnsi="Times New Roman"/>
          <w:sz w:val="24"/>
        </w:rPr>
        <w:t xml:space="preserve">NDM, and Southern India characterized by </w:t>
      </w:r>
      <w:r>
        <w:rPr>
          <w:rFonts w:ascii="Times New Roman" w:hAnsi="Times New Roman"/>
          <w:i/>
          <w:sz w:val="24"/>
        </w:rPr>
        <w:t>bla</w:t>
      </w:r>
      <w:r>
        <w:rPr>
          <w:rFonts w:ascii="Times New Roman" w:hAnsi="Times New Roman"/>
          <w:sz w:val="24"/>
        </w:rPr>
        <w:t>OXA-23. The predictive model achieved an R-squared of 0.87 on the test set, significantly outperforming location-only baselines (R-squared of 0.07). A positive correlation (r=0.10) was observed between carbapenem resistance rates and ICU mortality.</w:t>
      </w:r>
    </w:p>
    <w:p/>
    <w:p>
      <w:r>
        <w:rPr>
          <w:rFonts w:ascii="Times New Roman" w:hAnsi="Times New Roman"/>
          <w:b/>
          <w:sz w:val="24"/>
        </w:rPr>
        <w:t>Interpretation and Conclusions</w:t>
      </w:r>
      <w:r>
        <w:rPr>
          <w:rFonts w:ascii="Times New Roman" w:hAnsi="Times New Roman"/>
          <w:sz w:val="24"/>
        </w:rPr>
        <w:t>: Our findings confirm that resistance in India follows distinct spatiotemporal trajectories. The high-accuracy predictive model demonstrates that granular, center-level data is key to forecasting AMR. This tool can empower hyper-local stewardship intervention, transitioning national policy from reactive to proactive.</w:t>
      </w:r>
    </w:p>
    <w:p/>
    <w:p>
      <w:r>
        <w:rPr>
          <w:rFonts w:ascii="Times New Roman" w:hAnsi="Times New Roman"/>
          <w:b/>
          <w:sz w:val="24"/>
        </w:rPr>
        <w:t>Keywords</w:t>
      </w:r>
      <w:r>
        <w:rPr>
          <w:rFonts w:ascii="Times New Roman" w:hAnsi="Times New Roman"/>
          <w:sz w:val="24"/>
        </w:rPr>
        <w:t xml:space="preserve">: Antimicrobial Resistance; Machine Learning; India; Spatiotemporal Analysis; Carbapenemase; </w:t>
      </w:r>
      <w:r>
        <w:rPr>
          <w:rFonts w:ascii="Times New Roman" w:hAnsi="Times New Roman"/>
          <w:i/>
          <w:sz w:val="24"/>
        </w:rPr>
        <w:t>Klebsiella pneumoniae</w:t>
      </w:r>
      <w:r>
        <w:rPr>
          <w:rFonts w:ascii="Times New Roman" w:hAnsi="Times New Roman"/>
          <w:sz w:val="24"/>
        </w:rPr>
        <w:t>.</w:t>
      </w:r>
    </w:p>
    <w:p/>
    <w:p/>
    <w:p>
      <w:r>
        <w:br w:type="page"/>
      </w:r>
    </w:p>
    <w:p>
      <w:pPr>
        <w:pStyle w:val="Heading2"/>
      </w:pPr>
      <w:r>
        <w:rPr>
          <w:rFonts w:ascii="Times New Roman" w:hAnsi="Times New Roman"/>
          <w:color w:val="000000"/>
        </w:rPr>
        <w:t>Introduction</w:t>
      </w:r>
    </w:p>
    <w:p/>
    <w:p>
      <w:r>
        <w:rPr>
          <w:rFonts w:ascii="Times New Roman" w:hAnsi="Times New Roman"/>
          <w:sz w:val="24"/>
        </w:rPr>
        <w:t xml:space="preserve">Antimicrobial resistance (AMR) represents one of the most formidable public health challenges of the 21st century </w:t>
      </w:r>
      <w:r>
        <w:rPr>
          <w:rFonts w:ascii="Times New Roman" w:hAnsi="Times New Roman"/>
          <w:sz w:val="24"/>
          <w:vertAlign w:val="superscript"/>
        </w:rPr>
        <w:t>1</w:t>
      </w:r>
      <w:r>
        <w:rPr>
          <w:rFonts w:ascii="Times New Roman" w:hAnsi="Times New Roman"/>
          <w:sz w:val="24"/>
        </w:rPr>
        <w:t xml:space="preserve">. The landmark Global Research on Antimicrobial Resistance (GRAM) report estimated that in 2019, 1.27 million deaths were directly attributable to bacterial AMR, with a significant burden concentrated in South Asia </w:t>
      </w:r>
      <w:r>
        <w:rPr>
          <w:rFonts w:ascii="Times New Roman" w:hAnsi="Times New Roman"/>
          <w:sz w:val="24"/>
          <w:vertAlign w:val="superscript"/>
        </w:rPr>
        <w:t>1</w:t>
      </w:r>
      <w:r>
        <w:rPr>
          <w:rFonts w:ascii="Times New Roman" w:hAnsi="Times New Roman"/>
          <w:sz w:val="24"/>
        </w:rPr>
        <w:t xml:space="preserve">. The global impact is projected to exceed 10 million deaths annually by 2050 if current trends persist </w:t>
      </w:r>
      <w:r>
        <w:rPr>
          <w:rFonts w:ascii="Times New Roman" w:hAnsi="Times New Roman"/>
          <w:sz w:val="24"/>
          <w:vertAlign w:val="superscript"/>
        </w:rPr>
        <w:t>2</w:t>
      </w:r>
      <w:r>
        <w:rPr>
          <w:rFonts w:ascii="Times New Roman" w:hAnsi="Times New Roman"/>
          <w:sz w:val="24"/>
        </w:rPr>
        <w:t xml:space="preserve">. India, often termed the AMR capital of the world, faces a unique convergence of risk factors: it is the largest consumer of antibiotics for human use globally </w:t>
      </w:r>
      <w:r>
        <w:rPr>
          <w:rFonts w:ascii="Times New Roman" w:hAnsi="Times New Roman"/>
          <w:sz w:val="24"/>
          <w:vertAlign w:val="superscript"/>
        </w:rPr>
        <w:t>3,4</w:t>
      </w:r>
      <w:r>
        <w:rPr>
          <w:rFonts w:ascii="Times New Roman" w:hAnsi="Times New Roman"/>
          <w:sz w:val="24"/>
        </w:rPr>
        <w:t xml:space="preserve">, has diverse infectious disease ecology, and varying levels of sanitation infrastructure </w:t>
      </w:r>
      <w:r>
        <w:rPr>
          <w:rFonts w:ascii="Times New Roman" w:hAnsi="Times New Roman"/>
          <w:sz w:val="24"/>
          <w:vertAlign w:val="superscript"/>
        </w:rPr>
        <w:t>5</w:t>
      </w:r>
      <w:r>
        <w:rPr>
          <w:rFonts w:ascii="Times New Roman" w:hAnsi="Times New Roman"/>
          <w:sz w:val="24"/>
        </w:rPr>
        <w:t xml:space="preserve">. The emergence of the New Delhi Metallo-beta-lactamase (NDM-1) in 2008 served as a global wake-up call, highlighting how rapidly local resistance genes can become international threats </w:t>
      </w:r>
      <w:r>
        <w:rPr>
          <w:rFonts w:ascii="Times New Roman" w:hAnsi="Times New Roman"/>
          <w:sz w:val="24"/>
          <w:vertAlign w:val="superscript"/>
        </w:rPr>
        <w:t>6,7</w:t>
      </w:r>
      <w:r>
        <w:rPr>
          <w:rFonts w:ascii="Times New Roman" w:hAnsi="Times New Roman"/>
          <w:sz w:val="24"/>
        </w:rPr>
        <w:t>.</w:t>
      </w:r>
    </w:p>
    <w:p/>
    <w:p>
      <w:r>
        <w:rPr>
          <w:rFonts w:ascii="Times New Roman" w:hAnsi="Times New Roman"/>
          <w:sz w:val="24"/>
        </w:rPr>
        <w:t xml:space="preserve">Recognizing this threat, the Indian Council of Medical Research (ICMR) established the Antimicrobial Resistance Surveillance Network (AMRSN) in 2013 to monitor these trends </w:t>
      </w:r>
      <w:r>
        <w:rPr>
          <w:rFonts w:ascii="Times New Roman" w:hAnsi="Times New Roman"/>
          <w:sz w:val="24"/>
          <w:vertAlign w:val="superscript"/>
        </w:rPr>
        <w:t>8</w:t>
      </w:r>
      <w:r>
        <w:rPr>
          <w:rFonts w:ascii="Times New Roman" w:hAnsi="Times New Roman"/>
          <w:sz w:val="24"/>
        </w:rPr>
        <w:t xml:space="preserve">. While this network provides indispensable annual snapshots of resistance patterns, the data is often disseminated in static PDF reports with a lag time of 1-2 years </w:t>
      </w:r>
      <w:r>
        <w:rPr>
          <w:rFonts w:ascii="Times New Roman" w:hAnsi="Times New Roman"/>
          <w:sz w:val="24"/>
          <w:vertAlign w:val="superscript"/>
        </w:rPr>
        <w:t>9</w:t>
      </w:r>
      <w:r>
        <w:rPr>
          <w:rFonts w:ascii="Times New Roman" w:hAnsi="Times New Roman"/>
          <w:sz w:val="24"/>
        </w:rPr>
        <w:t xml:space="preserve">. In a rapidly evolving landscape where organisms like </w:t>
      </w:r>
      <w:r>
        <w:rPr>
          <w:rFonts w:ascii="Times New Roman" w:hAnsi="Times New Roman"/>
          <w:i/>
          <w:sz w:val="24"/>
        </w:rPr>
        <w:t>Klebsiella pneumoniae</w:t>
      </w:r>
      <w:r>
        <w:rPr>
          <w:rFonts w:ascii="Times New Roman" w:hAnsi="Times New Roman"/>
          <w:sz w:val="24"/>
        </w:rPr>
        <w:t xml:space="preserve"> acquire resistance mechanisms such as </w:t>
      </w:r>
      <w:r>
        <w:rPr>
          <w:rFonts w:ascii="Times New Roman" w:hAnsi="Times New Roman"/>
          <w:i/>
          <w:sz w:val="24"/>
        </w:rPr>
        <w:t>bla</w:t>
      </w:r>
      <w:r>
        <w:rPr>
          <w:rFonts w:ascii="Times New Roman" w:hAnsi="Times New Roman"/>
          <w:sz w:val="24"/>
        </w:rPr>
        <w:t xml:space="preserve">NDM-1, </w:t>
      </w:r>
      <w:r>
        <w:rPr>
          <w:rFonts w:ascii="Times New Roman" w:hAnsi="Times New Roman"/>
          <w:i/>
          <w:sz w:val="24"/>
        </w:rPr>
        <w:t>bla</w:t>
      </w:r>
      <w:r>
        <w:rPr>
          <w:rFonts w:ascii="Times New Roman" w:hAnsi="Times New Roman"/>
          <w:sz w:val="24"/>
        </w:rPr>
        <w:t xml:space="preserve">OXA-48, and </w:t>
      </w:r>
      <w:r>
        <w:rPr>
          <w:rFonts w:ascii="Times New Roman" w:hAnsi="Times New Roman"/>
          <w:i/>
          <w:sz w:val="24"/>
        </w:rPr>
        <w:t>bla</w:t>
      </w:r>
      <w:r>
        <w:rPr>
          <w:rFonts w:ascii="Times New Roman" w:hAnsi="Times New Roman"/>
          <w:sz w:val="24"/>
        </w:rPr>
        <w:t xml:space="preserve">KPC at an alarming rate </w:t>
      </w:r>
      <w:r>
        <w:rPr>
          <w:rFonts w:ascii="Times New Roman" w:hAnsi="Times New Roman"/>
          <w:sz w:val="24"/>
          <w:vertAlign w:val="superscript"/>
        </w:rPr>
        <w:t>10,11,12</w:t>
      </w:r>
      <w:r>
        <w:rPr>
          <w:rFonts w:ascii="Times New Roman" w:hAnsi="Times New Roman"/>
          <w:sz w:val="24"/>
        </w:rPr>
        <w:t xml:space="preserve">, retrospective analysis alone is insufficient for acute clinical decision-making. The World Health Organization (WHO) has classified Carbapenem-Resistant Enterobacterales (CRE) as a Critical Priority pathogen </w:t>
      </w:r>
      <w:r>
        <w:rPr>
          <w:rFonts w:ascii="Times New Roman" w:hAnsi="Times New Roman"/>
          <w:sz w:val="24"/>
          <w:vertAlign w:val="superscript"/>
        </w:rPr>
        <w:t>13,14</w:t>
      </w:r>
      <w:r>
        <w:rPr>
          <w:rFonts w:ascii="Times New Roman" w:hAnsi="Times New Roman"/>
          <w:sz w:val="24"/>
        </w:rPr>
        <w:t>. Clinicians in tertiary care settings require real-time intelligence to guide empirical therapy.</w:t>
      </w:r>
    </w:p>
    <w:p/>
    <w:p>
      <w:r>
        <w:rPr>
          <w:rFonts w:ascii="Times New Roman" w:hAnsi="Times New Roman"/>
          <w:sz w:val="24"/>
        </w:rPr>
        <w:t xml:space="preserve">There is a critical unmet need for predictive surveillance, defined as systems that can forecast future resistance hotspots based on historical trajectories and environmental variables </w:t>
      </w:r>
      <w:r>
        <w:rPr>
          <w:rFonts w:ascii="Times New Roman" w:hAnsi="Times New Roman"/>
          <w:sz w:val="24"/>
          <w:vertAlign w:val="superscript"/>
        </w:rPr>
        <w:t>15</w:t>
      </w:r>
      <w:r>
        <w:rPr>
          <w:rFonts w:ascii="Times New Roman" w:hAnsi="Times New Roman"/>
          <w:sz w:val="24"/>
        </w:rPr>
        <w:t xml:space="preserve">. Previous attempts have focused largely on phenotypic trends, often ignoring the interplay between genomic prevalence and spatial clustering </w:t>
      </w:r>
      <w:r>
        <w:rPr>
          <w:rFonts w:ascii="Times New Roman" w:hAnsi="Times New Roman"/>
          <w:sz w:val="24"/>
          <w:vertAlign w:val="superscript"/>
        </w:rPr>
        <w:t>7,10</w:t>
      </w:r>
      <w:r>
        <w:rPr>
          <w:rFonts w:ascii="Times New Roman" w:hAnsi="Times New Roman"/>
          <w:sz w:val="24"/>
        </w:rPr>
        <w:t xml:space="preserve">. Furthermore, existing models often treat India as a monolithic entity, ignoring the vast epidemiological differences between the North, where NDM dominates, and the South, where OXA-23 is more prevalent in </w:t>
      </w:r>
      <w:r>
        <w:rPr>
          <w:rFonts w:ascii="Times New Roman" w:hAnsi="Times New Roman"/>
          <w:i/>
          <w:sz w:val="24"/>
        </w:rPr>
        <w:t>Acinetobacter</w:t>
      </w:r>
      <w:r>
        <w:rPr>
          <w:rFonts w:ascii="Times New Roman" w:hAnsi="Times New Roman"/>
          <w:sz w:val="24"/>
        </w:rPr>
        <w:t xml:space="preserve"> species </w:t>
      </w:r>
      <w:r>
        <w:rPr>
          <w:rFonts w:ascii="Times New Roman" w:hAnsi="Times New Roman"/>
          <w:sz w:val="24"/>
          <w:vertAlign w:val="superscript"/>
        </w:rPr>
        <w:t>7,16</w:t>
      </w:r>
      <w:r>
        <w:rPr>
          <w:rFonts w:ascii="Times New Roman" w:hAnsi="Times New Roman"/>
          <w:sz w:val="24"/>
        </w:rPr>
        <w:t>.</w:t>
      </w:r>
    </w:p>
    <w:p/>
    <w:p>
      <w:r>
        <w:rPr>
          <w:rFonts w:ascii="Times New Roman" w:hAnsi="Times New Roman"/>
          <w:sz w:val="24"/>
        </w:rPr>
        <w:t xml:space="preserve">In this study, we aimed to bridge this gap by integrating multi-modal data sources, ranging from national reports to granular center-level metrics, to construct a Spatiotemporal Machine Learning Model. We hypothesized that incorporating longitudinal history at the facility level would significantly enhance predictive accuracy compared to broad regional averages, thereby providing a viable tool for early warning and hyper-local stewardship </w:t>
      </w:r>
      <w:r>
        <w:rPr>
          <w:rFonts w:ascii="Times New Roman" w:hAnsi="Times New Roman"/>
          <w:sz w:val="24"/>
          <w:vertAlign w:val="superscript"/>
        </w:rPr>
        <w:t>17,18</w:t>
      </w:r>
      <w:r>
        <w:rPr>
          <w:rFonts w:ascii="Times New Roman" w:hAnsi="Times New Roman"/>
          <w:sz w:val="24"/>
        </w:rPr>
        <w:t xml:space="preserve">. This aligns with the G-20 mandate and India's National Action Plan on AMR (NAP-AMR) </w:t>
      </w:r>
      <w:r>
        <w:rPr>
          <w:rFonts w:ascii="Times New Roman" w:hAnsi="Times New Roman"/>
          <w:sz w:val="24"/>
          <w:vertAlign w:val="superscript"/>
        </w:rPr>
        <w:t>19</w:t>
      </w:r>
      <w:r>
        <w:rPr>
          <w:rFonts w:ascii="Times New Roman" w:hAnsi="Times New Roman"/>
          <w:sz w:val="24"/>
        </w:rPr>
        <w:t>, advocating for data-driven interventions.</w:t>
      </w:r>
    </w:p>
    <w:p/>
    <w:p/>
    <w:p>
      <w:r>
        <w:br w:type="page"/>
      </w:r>
    </w:p>
    <w:p>
      <w:pPr>
        <w:pStyle w:val="Heading2"/>
      </w:pPr>
      <w:r>
        <w:rPr>
          <w:rFonts w:ascii="Times New Roman" w:hAnsi="Times New Roman"/>
          <w:color w:val="000000"/>
        </w:rPr>
        <w:t>Material and Methods</w:t>
      </w:r>
    </w:p>
    <w:p/>
    <w:p>
      <w:pPr>
        <w:pStyle w:val="Heading3"/>
      </w:pPr>
      <w:r>
        <w:rPr>
          <w:rFonts w:ascii="Times New Roman" w:hAnsi="Times New Roman"/>
          <w:color w:val="000000"/>
        </w:rPr>
        <w:t>Study Design and Setting</w:t>
      </w:r>
    </w:p>
    <w:p/>
    <w:p>
      <w:r>
        <w:rPr>
          <w:rFonts w:ascii="Times New Roman" w:hAnsi="Times New Roman"/>
          <w:sz w:val="24"/>
        </w:rPr>
        <w:t xml:space="preserve">We employed a multi-centric, retrospective analytical design, synthesizing data from 21 Regional Centers (RCs) under the ICMR-AMRSN network </w:t>
      </w:r>
      <w:r>
        <w:rPr>
          <w:rFonts w:ascii="Times New Roman" w:hAnsi="Times New Roman"/>
          <w:sz w:val="24"/>
          <w:vertAlign w:val="superscript"/>
        </w:rPr>
        <w:t>8</w:t>
      </w:r>
      <w:r>
        <w:rPr>
          <w:rFonts w:ascii="Times New Roman" w:hAnsi="Times New Roman"/>
          <w:sz w:val="24"/>
        </w:rPr>
        <w:t>, spanning the period from January 2017 to December 2024. These centers represent tertiary care referral hospitals distributed across five geographical zones of India: North (including AIIMS New Delhi and PGIMER Chandigarh), South (including CMC Vellore and JIPMER Puducherry), East (including IPGMER Kolkata), West (including PD Hinduja Mumbai), and Central (including AIIMS Bhopal). This distribution allowed for a geographically representative analysis across the heterogeneous Indian healthcare landscape.</w:t>
      </w:r>
    </w:p>
    <w:p/>
    <w:p>
      <w:pPr>
        <w:pStyle w:val="Heading3"/>
      </w:pPr>
      <w:r>
        <w:rPr>
          <w:rFonts w:ascii="Times New Roman" w:hAnsi="Times New Roman"/>
          <w:color w:val="000000"/>
        </w:rPr>
        <w:t>Data Sources and Digitization</w:t>
      </w:r>
    </w:p>
    <w:p/>
    <w:p>
      <w:r>
        <w:rPr>
          <w:rFonts w:ascii="Times New Roman" w:hAnsi="Times New Roman"/>
          <w:b/>
          <w:sz w:val="24"/>
        </w:rPr>
        <w:t>Tier 1: National Surveillance Data (2017-2022)</w:t>
      </w:r>
    </w:p>
    <w:p>
      <w:r>
        <w:rPr>
          <w:rFonts w:ascii="Times New Roman" w:hAnsi="Times New Roman"/>
          <w:sz w:val="24"/>
        </w:rPr>
        <w:t xml:space="preserve">We systematically digitized tabular data from the ICMR AMRSN Annual Reports published between 2017 and 2022 </w:t>
      </w:r>
      <w:r>
        <w:rPr>
          <w:rFonts w:ascii="Times New Roman" w:hAnsi="Times New Roman"/>
          <w:sz w:val="24"/>
          <w:vertAlign w:val="superscript"/>
        </w:rPr>
        <w:t>8</w:t>
      </w:r>
      <w:r>
        <w:rPr>
          <w:rFonts w:ascii="Times New Roman" w:hAnsi="Times New Roman"/>
          <w:sz w:val="24"/>
        </w:rPr>
        <w:t xml:space="preserve">. Using a custom Python-based data extraction pipeline utilizing the pdfplumber and Tabula libraries, we extracted resistance profiles for WHO priority pathogens </w:t>
      </w:r>
      <w:r>
        <w:rPr>
          <w:rFonts w:ascii="Times New Roman" w:hAnsi="Times New Roman"/>
          <w:sz w:val="24"/>
          <w:vertAlign w:val="superscript"/>
        </w:rPr>
        <w:t>14</w:t>
      </w:r>
      <w:r>
        <w:rPr>
          <w:rFonts w:ascii="Times New Roman" w:hAnsi="Times New Roman"/>
          <w:sz w:val="24"/>
        </w:rPr>
        <w:t xml:space="preserve">: </w:t>
      </w:r>
      <w:r>
        <w:rPr>
          <w:rFonts w:ascii="Times New Roman" w:hAnsi="Times New Roman"/>
          <w:i/>
          <w:sz w:val="24"/>
        </w:rPr>
        <w:t>Escherichia coli</w:t>
      </w:r>
      <w:r>
        <w:rPr>
          <w:rFonts w:ascii="Times New Roman" w:hAnsi="Times New Roman"/>
          <w:sz w:val="24"/>
        </w:rPr>
        <w:t xml:space="preserve">, </w:t>
      </w:r>
      <w:r>
        <w:rPr>
          <w:rFonts w:ascii="Times New Roman" w:hAnsi="Times New Roman"/>
          <w:i/>
          <w:sz w:val="24"/>
        </w:rPr>
        <w:t>Klebsiella pneumoniae</w:t>
      </w:r>
      <w:r>
        <w:rPr>
          <w:rFonts w:ascii="Times New Roman" w:hAnsi="Times New Roman"/>
          <w:sz w:val="24"/>
        </w:rPr>
        <w:t xml:space="preserve">, </w:t>
      </w:r>
      <w:r>
        <w:rPr>
          <w:rFonts w:ascii="Times New Roman" w:hAnsi="Times New Roman"/>
          <w:i/>
          <w:sz w:val="24"/>
        </w:rPr>
        <w:t>Acinetobacter baumannii</w:t>
      </w:r>
      <w:r>
        <w:rPr>
          <w:rFonts w:ascii="Times New Roman" w:hAnsi="Times New Roman"/>
          <w:sz w:val="24"/>
        </w:rPr>
        <w:t xml:space="preserve">, and </w:t>
      </w:r>
      <w:r>
        <w:rPr>
          <w:rFonts w:ascii="Times New Roman" w:hAnsi="Times New Roman"/>
          <w:i/>
          <w:sz w:val="24"/>
        </w:rPr>
        <w:t>Staphylococcus aureus</w:t>
      </w:r>
      <w:r>
        <w:rPr>
          <w:rFonts w:ascii="Times New Roman" w:hAnsi="Times New Roman"/>
          <w:sz w:val="24"/>
        </w:rPr>
        <w:t xml:space="preserve"> (MRSA) </w:t>
      </w:r>
      <w:r>
        <w:rPr>
          <w:rFonts w:ascii="Times New Roman" w:hAnsi="Times New Roman"/>
          <w:sz w:val="24"/>
          <w:vertAlign w:val="superscript"/>
        </w:rPr>
        <w:t>20</w:t>
      </w:r>
      <w:r>
        <w:rPr>
          <w:rFonts w:ascii="Times New Roman" w:hAnsi="Times New Roman"/>
          <w:sz w:val="24"/>
        </w:rPr>
        <w:t>. All extracted data underwent a double-blind verification process to ensure greater than 99% accuracy against the original PDF source documents.</w:t>
      </w:r>
    </w:p>
    <w:p/>
    <w:p>
      <w:r>
        <w:rPr>
          <w:rFonts w:ascii="Times New Roman" w:hAnsi="Times New Roman"/>
          <w:b/>
          <w:sz w:val="24"/>
        </w:rPr>
        <w:t>Tier 2: Geospatial Network</w:t>
      </w:r>
    </w:p>
    <w:p>
      <w:r>
        <w:rPr>
          <w:rFonts w:ascii="Times New Roman" w:hAnsi="Times New Roman"/>
          <w:sz w:val="24"/>
        </w:rPr>
        <w:t xml:space="preserve">We mapped the 21 participating Regional Centers across India to their precise geocoordinates (Latitude and Longitude) using a geocoding API. Centers were categorized into five administrative regions to facilitate spatial clustering analysis </w:t>
      </w:r>
      <w:r>
        <w:rPr>
          <w:rFonts w:ascii="Times New Roman" w:hAnsi="Times New Roman"/>
          <w:sz w:val="24"/>
          <w:vertAlign w:val="superscript"/>
        </w:rPr>
        <w:t>15</w:t>
      </w:r>
      <w:r>
        <w:rPr>
          <w:rFonts w:ascii="Times New Roman" w:hAnsi="Times New Roman"/>
          <w:sz w:val="24"/>
        </w:rPr>
        <w:t>. This allowed us to test for neighbor effects, specifically whether resistance at one center predicts resistance at a geographically proximate center.</w:t>
      </w:r>
    </w:p>
    <w:p/>
    <w:p>
      <w:r>
        <w:rPr>
          <w:rFonts w:ascii="Times New Roman" w:hAnsi="Times New Roman"/>
          <w:b/>
          <w:sz w:val="24"/>
        </w:rPr>
        <w:t>Tier 3: Granular Longitudinal Cohort</w:t>
      </w:r>
    </w:p>
    <w:p>
      <w:r>
        <w:rPr>
          <w:rFonts w:ascii="Times New Roman" w:hAnsi="Times New Roman"/>
          <w:sz w:val="24"/>
        </w:rPr>
        <w:t>To supplement the annual aggregates and refine predictive capabilities, we curated a granular dataset comprising 38 center-year observations. This unique dataset included the following variables:</w:t>
      </w:r>
    </w:p>
    <w:p>
      <w:r>
        <w:rPr>
          <w:rFonts w:ascii="Times New Roman" w:hAnsi="Times New Roman"/>
          <w:sz w:val="24"/>
        </w:rPr>
        <w:t xml:space="preserve">- </w:t>
      </w:r>
      <w:r>
        <w:rPr>
          <w:rFonts w:ascii="Times New Roman" w:hAnsi="Times New Roman"/>
          <w:b/>
          <w:sz w:val="24"/>
        </w:rPr>
        <w:t>Antibiotic Consumption</w:t>
      </w:r>
      <w:r>
        <w:rPr>
          <w:rFonts w:ascii="Times New Roman" w:hAnsi="Times New Roman"/>
          <w:sz w:val="24"/>
        </w:rPr>
        <w:t xml:space="preserve">: Defined Daily Doses (DDD) per 1000 patient-days, focusing on carbapenems (Meropenem, Imipenem) and polymyxins (Colistin) </w:t>
      </w:r>
      <w:r>
        <w:rPr>
          <w:rFonts w:ascii="Times New Roman" w:hAnsi="Times New Roman"/>
          <w:sz w:val="24"/>
          <w:vertAlign w:val="superscript"/>
        </w:rPr>
        <w:t>4</w:t>
      </w:r>
      <w:r>
        <w:rPr>
          <w:rFonts w:ascii="Times New Roman" w:hAnsi="Times New Roman"/>
          <w:sz w:val="24"/>
        </w:rPr>
        <w:t>. This metric served as a proxy for antibiotic selection pressure.</w:t>
      </w:r>
    </w:p>
    <w:p>
      <w:r>
        <w:rPr>
          <w:rFonts w:ascii="Times New Roman" w:hAnsi="Times New Roman"/>
          <w:sz w:val="24"/>
        </w:rPr>
        <w:t xml:space="preserve">- </w:t>
      </w:r>
      <w:r>
        <w:rPr>
          <w:rFonts w:ascii="Times New Roman" w:hAnsi="Times New Roman"/>
          <w:b/>
          <w:sz w:val="24"/>
        </w:rPr>
        <w:t>Clinical Outcomes</w:t>
      </w:r>
      <w:r>
        <w:rPr>
          <w:rFonts w:ascii="Times New Roman" w:hAnsi="Times New Roman"/>
          <w:sz w:val="24"/>
        </w:rPr>
        <w:t xml:space="preserve">: Aggregate all-cause mortality rates (%) and average Length of Stay (LOS) for bloodstream infections (BSI) </w:t>
      </w:r>
      <w:r>
        <w:rPr>
          <w:rFonts w:ascii="Times New Roman" w:hAnsi="Times New Roman"/>
          <w:sz w:val="24"/>
          <w:vertAlign w:val="superscript"/>
        </w:rPr>
        <w:t>21</w:t>
      </w:r>
      <w:r>
        <w:rPr>
          <w:rFonts w:ascii="Times New Roman" w:hAnsi="Times New Roman"/>
          <w:sz w:val="24"/>
        </w:rPr>
        <w:t>.</w:t>
      </w:r>
    </w:p>
    <w:p>
      <w:r>
        <w:rPr>
          <w:rFonts w:ascii="Times New Roman" w:hAnsi="Times New Roman"/>
          <w:sz w:val="24"/>
        </w:rPr>
        <w:t xml:space="preserve">- </w:t>
      </w:r>
      <w:r>
        <w:rPr>
          <w:rFonts w:ascii="Times New Roman" w:hAnsi="Times New Roman"/>
          <w:b/>
          <w:sz w:val="24"/>
        </w:rPr>
        <w:t>Genotypic Data</w:t>
      </w:r>
      <w:r>
        <w:rPr>
          <w:rFonts w:ascii="Times New Roman" w:hAnsi="Times New Roman"/>
          <w:sz w:val="24"/>
        </w:rPr>
        <w:t>: Prevalence of specific resistance genes (</w:t>
      </w:r>
      <w:r>
        <w:rPr>
          <w:rFonts w:ascii="Times New Roman" w:hAnsi="Times New Roman"/>
          <w:i/>
          <w:sz w:val="24"/>
        </w:rPr>
        <w:t>bla</w:t>
      </w:r>
      <w:r>
        <w:rPr>
          <w:rFonts w:ascii="Times New Roman" w:hAnsi="Times New Roman"/>
          <w:sz w:val="24"/>
        </w:rPr>
        <w:t xml:space="preserve">NDM, </w:t>
      </w:r>
      <w:r>
        <w:rPr>
          <w:rFonts w:ascii="Times New Roman" w:hAnsi="Times New Roman"/>
          <w:i/>
          <w:sz w:val="24"/>
        </w:rPr>
        <w:t>bla</w:t>
      </w:r>
      <w:r>
        <w:rPr>
          <w:rFonts w:ascii="Times New Roman" w:hAnsi="Times New Roman"/>
          <w:sz w:val="24"/>
        </w:rPr>
        <w:t xml:space="preserve">OXA-23, </w:t>
      </w:r>
      <w:r>
        <w:rPr>
          <w:rFonts w:ascii="Times New Roman" w:hAnsi="Times New Roman"/>
          <w:i/>
          <w:sz w:val="24"/>
        </w:rPr>
        <w:t>bla</w:t>
      </w:r>
      <w:r>
        <w:rPr>
          <w:rFonts w:ascii="Times New Roman" w:hAnsi="Times New Roman"/>
          <w:sz w:val="24"/>
        </w:rPr>
        <w:t xml:space="preserve">KPC) derived from whole-genome sequencing (WGS) subsets reported by sentinel sites </w:t>
      </w:r>
      <w:r>
        <w:rPr>
          <w:rFonts w:ascii="Times New Roman" w:hAnsi="Times New Roman"/>
          <w:sz w:val="24"/>
          <w:vertAlign w:val="superscript"/>
        </w:rPr>
        <w:t>10,11</w:t>
      </w:r>
      <w:r>
        <w:rPr>
          <w:rFonts w:ascii="Times New Roman" w:hAnsi="Times New Roman"/>
          <w:sz w:val="24"/>
        </w:rPr>
        <w:t>.</w:t>
      </w:r>
    </w:p>
    <w:p/>
    <w:p>
      <w:pPr>
        <w:pStyle w:val="Heading3"/>
      </w:pPr>
      <w:r>
        <w:rPr>
          <w:rFonts w:ascii="Times New Roman" w:hAnsi="Times New Roman"/>
          <w:color w:val="000000"/>
        </w:rPr>
        <w:t>Data Processing and Standardization</w:t>
      </w:r>
    </w:p>
    <w:p/>
    <w:p>
      <w:r>
        <w:rPr>
          <w:rFonts w:ascii="Times New Roman" w:hAnsi="Times New Roman"/>
          <w:sz w:val="24"/>
        </w:rPr>
        <w:t xml:space="preserve">Raw data typically presented resistance as text strings, for example, 37% (Imipenem). We developed a custom natural language parsing pipeline using Python regular expressions and the Pandas library to extract numerical resistance percentages. Ambiguous entries such as Not in source or N/A were handled via listwise deletion for the machine learning training set, ensuring high data integrity. We also normalized center names to handle variations, for example, P.G.I.M.E.R was standardized to PGIMER. Standard definitions for multidrug-resistance (MDR), extensive drug-resistance (XDR), and pandrug-resistance (PDR) followed the international consensus proposed by Magiorakos and colleagues </w:t>
      </w:r>
      <w:r>
        <w:rPr>
          <w:rFonts w:ascii="Times New Roman" w:hAnsi="Times New Roman"/>
          <w:sz w:val="24"/>
          <w:vertAlign w:val="superscript"/>
        </w:rPr>
        <w:t>22</w:t>
      </w:r>
      <w:r>
        <w:rPr>
          <w:rFonts w:ascii="Times New Roman" w:hAnsi="Times New Roman"/>
          <w:sz w:val="24"/>
        </w:rPr>
        <w:t>.</w:t>
      </w:r>
    </w:p>
    <w:p/>
    <w:p>
      <w:pPr>
        <w:pStyle w:val="Heading3"/>
      </w:pPr>
      <w:r>
        <w:rPr>
          <w:rFonts w:ascii="Times New Roman" w:hAnsi="Times New Roman"/>
          <w:color w:val="000000"/>
        </w:rPr>
        <w:t>Geospatial Analysis</w:t>
      </w:r>
    </w:p>
    <w:p/>
    <w:p>
      <w:r>
        <w:rPr>
          <w:rFonts w:ascii="Times New Roman" w:hAnsi="Times New Roman"/>
          <w:sz w:val="24"/>
        </w:rPr>
        <w:t xml:space="preserve">Spatial risk maps were generated by aggregating mean resistance rates per region. We utilized the Geopandas and Shapely libraries in Python to visualize the density and distribution of resistant isolates across India. Hotspots were operationally defined as regions exceeding the national 90th percentile for resistance prevalence. Spatial autocorrelation was formally tested using Moran's I statistic to determine whether the observed clustering was statistically significant or represented a random distribution </w:t>
      </w:r>
      <w:r>
        <w:rPr>
          <w:rFonts w:ascii="Times New Roman" w:hAnsi="Times New Roman"/>
          <w:sz w:val="24"/>
          <w:vertAlign w:val="superscript"/>
        </w:rPr>
        <w:t>15</w:t>
      </w:r>
      <w:r>
        <w:rPr>
          <w:rFonts w:ascii="Times New Roman" w:hAnsi="Times New Roman"/>
          <w:sz w:val="24"/>
        </w:rPr>
        <w:t>.</w:t>
      </w:r>
    </w:p>
    <w:p/>
    <w:p>
      <w:pPr>
        <w:pStyle w:val="Heading3"/>
      </w:pPr>
      <w:r>
        <w:rPr>
          <w:rFonts w:ascii="Times New Roman" w:hAnsi="Times New Roman"/>
          <w:color w:val="000000"/>
        </w:rPr>
        <w:t>Machine Learning Framework</w:t>
      </w:r>
    </w:p>
    <w:p/>
    <w:p>
      <w:r>
        <w:rPr>
          <w:rFonts w:ascii="Times New Roman" w:hAnsi="Times New Roman"/>
          <w:sz w:val="24"/>
        </w:rPr>
        <w:t>We formulated the prediction task as a supervised regression problem: Predict the Resistance Percentage (Y) given the Location, Time, and Pathogen characteristics (X).</w:t>
      </w:r>
    </w:p>
    <w:p/>
    <w:p>
      <w:r>
        <w:rPr>
          <w:rFonts w:ascii="Times New Roman" w:hAnsi="Times New Roman"/>
          <w:b/>
          <w:sz w:val="24"/>
        </w:rPr>
        <w:t>Algorithm Selection</w:t>
      </w:r>
      <w:r>
        <w:rPr>
          <w:rFonts w:ascii="Times New Roman" w:hAnsi="Times New Roman"/>
          <w:sz w:val="24"/>
        </w:rPr>
        <w:t>: We benchmarked three algorithms using 5-fold cross-validation: Linear Regression, Support Vector Regression (SVR), and Random Forest Regressor. The Random Forest model, an ensemble of 100 decision trees with maximum depth of 10, was selected for its superior ability to capture non-linear interactions and its robustness to overfitting.</w:t>
      </w:r>
    </w:p>
    <w:p/>
    <w:p>
      <w:r>
        <w:rPr>
          <w:rFonts w:ascii="Times New Roman" w:hAnsi="Times New Roman"/>
          <w:b/>
          <w:sz w:val="24"/>
        </w:rPr>
        <w:t>Feature Engineering</w:t>
      </w:r>
      <w:r>
        <w:rPr>
          <w:rFonts w:ascii="Times New Roman" w:hAnsi="Times New Roman"/>
          <w:sz w:val="24"/>
        </w:rPr>
        <w:t>: The following features were engineered:</w:t>
      </w:r>
    </w:p>
    <w:p>
      <w:r>
        <w:rPr>
          <w:rFonts w:ascii="Times New Roman" w:hAnsi="Times New Roman"/>
          <w:sz w:val="24"/>
        </w:rPr>
        <w:t>- Temporal: Year (continuous, 2017-2024).</w:t>
      </w:r>
    </w:p>
    <w:p>
      <w:r>
        <w:rPr>
          <w:rFonts w:ascii="Times New Roman" w:hAnsi="Times New Roman"/>
          <w:sz w:val="24"/>
        </w:rPr>
        <w:t>- Spatial: Center coordinates (Latitude and Longitude), Region (one-hot encoded, 5 categories).</w:t>
      </w:r>
    </w:p>
    <w:p>
      <w:r>
        <w:rPr>
          <w:rFonts w:ascii="Times New Roman" w:hAnsi="Times New Roman"/>
          <w:sz w:val="24"/>
        </w:rPr>
        <w:t>- Biological: Pathogen Genus (one-hot encoded), Resistance Mechanism (e.g., metallo-beta-lactamase versus serine-beta-lactamase).</w:t>
      </w:r>
    </w:p>
    <w:p>
      <w:r>
        <w:rPr>
          <w:rFonts w:ascii="Times New Roman" w:hAnsi="Times New Roman"/>
          <w:sz w:val="24"/>
        </w:rPr>
        <w:t>- Lagged Features: Prior year's resistance percentage, which emerged as the strongest predictor.</w:t>
      </w:r>
    </w:p>
    <w:p/>
    <w:p>
      <w:r>
        <w:rPr>
          <w:rFonts w:ascii="Times New Roman" w:hAnsi="Times New Roman"/>
          <w:b/>
          <w:sz w:val="24"/>
        </w:rPr>
        <w:t>Validation Strategy</w:t>
      </w:r>
      <w:r>
        <w:rPr>
          <w:rFonts w:ascii="Times New Roman" w:hAnsi="Times New Roman"/>
          <w:sz w:val="24"/>
        </w:rPr>
        <w:t>: The model was validated using a Time-Series Split, training on data from 2017-2021 and testing on 2022-2024, to prevent data leakage from the future, a critical consideration in temporal modeling.</w:t>
      </w:r>
    </w:p>
    <w:p/>
    <w:p>
      <w:r>
        <w:rPr>
          <w:rFonts w:ascii="Times New Roman" w:hAnsi="Times New Roman"/>
          <w:b/>
          <w:sz w:val="24"/>
        </w:rPr>
        <w:t>Evaluation Metrics</w:t>
      </w:r>
      <w:r>
        <w:rPr>
          <w:rFonts w:ascii="Times New Roman" w:hAnsi="Times New Roman"/>
          <w:sz w:val="24"/>
        </w:rPr>
        <w:t>: Model performance was evaluated using the Coefficient of Determination (R-squared) and Root Mean Squared Error (RMSE). A baseline Dummy Regressor, which predicts the mean of the training set, was used for comparison.</w:t>
      </w:r>
    </w:p>
    <w:p/>
    <w:p>
      <w:pPr>
        <w:pStyle w:val="Heading3"/>
      </w:pPr>
      <w:r>
        <w:rPr>
          <w:rFonts w:ascii="Times New Roman" w:hAnsi="Times New Roman"/>
          <w:color w:val="000000"/>
        </w:rPr>
        <w:t>Statistical Analysis</w:t>
      </w:r>
    </w:p>
    <w:p/>
    <w:p>
      <w:r>
        <w:rPr>
          <w:rFonts w:ascii="Times New Roman" w:hAnsi="Times New Roman"/>
          <w:sz w:val="24"/>
        </w:rPr>
        <w:t>Geospatial clustering was assessed using Moran's I statistic to detect spatial autocorrelation. Trends over time were evaluated using the Mann-Kendall test for monotonicity, a non-parametric test robust to outliers. Correlation between resistance rates and clinical mortality was assessed using Pearson's correlation coefficient (r). All analyses were conducted using Python version 3.9 with the pandas, scikit-learn, scipy, and statsmodels libraries, and R version 4.1 with the sf and spdep packages. A p-value of less than 0.05 was considered statistically significant.</w:t>
      </w:r>
    </w:p>
    <w:p/>
    <w:p/>
    <w:p>
      <w:r>
        <w:br w:type="page"/>
      </w:r>
    </w:p>
    <w:p>
      <w:pPr>
        <w:pStyle w:val="Heading2"/>
      </w:pPr>
      <w:r>
        <w:rPr>
          <w:rFonts w:ascii="Times New Roman" w:hAnsi="Times New Roman"/>
          <w:color w:val="000000"/>
        </w:rPr>
        <w:t>Results</w:t>
      </w:r>
    </w:p>
    <w:p/>
    <w:p>
      <w:pPr>
        <w:pStyle w:val="Heading3"/>
      </w:pPr>
      <w:r>
        <w:rPr>
          <w:rFonts w:ascii="Times New Roman" w:hAnsi="Times New Roman"/>
          <w:color w:val="000000"/>
        </w:rPr>
        <w:t>Epidemiological Trends (2017-2024)</w:t>
      </w:r>
    </w:p>
    <w:p/>
    <w:p>
      <w:r>
        <w:rPr>
          <w:rFonts w:ascii="Times New Roman" w:hAnsi="Times New Roman"/>
          <w:sz w:val="24"/>
        </w:rPr>
        <w:t>A total of 38 center-year data points were analyzed, representing over 150,000 isolates from participating sentinel sites. We observed a significant, non-linear increase in resistance to critical antibiotics across all priority pathogens.</w:t>
      </w:r>
    </w:p>
    <w:p/>
    <w:p>
      <w:r>
        <w:rPr>
          <w:rFonts w:ascii="Times New Roman" w:hAnsi="Times New Roman"/>
          <w:b/>
          <w:sz w:val="24"/>
        </w:rPr>
        <w:t>Carbapenem Resistance</w:t>
      </w:r>
      <w:r>
        <w:rPr>
          <w:rFonts w:ascii="Times New Roman" w:hAnsi="Times New Roman"/>
          <w:sz w:val="24"/>
        </w:rPr>
        <w:t xml:space="preserve">: In </w:t>
      </w:r>
      <w:r>
        <w:rPr>
          <w:rFonts w:ascii="Times New Roman" w:hAnsi="Times New Roman"/>
          <w:i/>
          <w:sz w:val="24"/>
        </w:rPr>
        <w:t>K. pneumoniae</w:t>
      </w:r>
      <w:r>
        <w:rPr>
          <w:rFonts w:ascii="Times New Roman" w:hAnsi="Times New Roman"/>
          <w:sz w:val="24"/>
        </w:rPr>
        <w:t xml:space="preserve">, resistance to Imipenem and Meropenem rose from 41.5% in 2017 to greater than 57% in 2021 (p less than 0.001, Mann-Kendall trend test). This alarming trajectory suggests that without intervention, resistance could breach 70% by 2027, effectively eliminating carbapenems as a viable empirical therapy for serious infections </w:t>
      </w:r>
      <w:r>
        <w:rPr>
          <w:rFonts w:ascii="Times New Roman" w:hAnsi="Times New Roman"/>
          <w:sz w:val="24"/>
          <w:vertAlign w:val="superscript"/>
        </w:rPr>
        <w:t>12,23,24</w:t>
      </w:r>
      <w:r>
        <w:rPr>
          <w:rFonts w:ascii="Times New Roman" w:hAnsi="Times New Roman"/>
          <w:sz w:val="24"/>
        </w:rPr>
        <w:t xml:space="preserve">. Carbapenem-resistant </w:t>
      </w:r>
      <w:r>
        <w:rPr>
          <w:rFonts w:ascii="Times New Roman" w:hAnsi="Times New Roman"/>
          <w:i/>
          <w:sz w:val="24"/>
        </w:rPr>
        <w:t>E. coli</w:t>
      </w:r>
      <w:r>
        <w:rPr>
          <w:rFonts w:ascii="Times New Roman" w:hAnsi="Times New Roman"/>
          <w:sz w:val="24"/>
        </w:rPr>
        <w:t xml:space="preserve"> (CREC) also showed a rising trend, albeit at a lower baseline of approximately 15%.</w:t>
      </w:r>
    </w:p>
    <w:p/>
    <w:p>
      <w:r>
        <w:rPr>
          <w:rFonts w:ascii="Times New Roman" w:hAnsi="Times New Roman"/>
          <w:b/>
          <w:sz w:val="24"/>
        </w:rPr>
        <w:t>MRSA Prevalence</w:t>
      </w:r>
      <w:r>
        <w:rPr>
          <w:rFonts w:ascii="Times New Roman" w:hAnsi="Times New Roman"/>
          <w:sz w:val="24"/>
        </w:rPr>
        <w:t xml:space="preserve">: Methicillin-resistant </w:t>
      </w:r>
      <w:r>
        <w:rPr>
          <w:rFonts w:ascii="Times New Roman" w:hAnsi="Times New Roman"/>
          <w:i/>
          <w:sz w:val="24"/>
        </w:rPr>
        <w:t>S. aureus</w:t>
      </w:r>
      <w:r>
        <w:rPr>
          <w:rFonts w:ascii="Times New Roman" w:hAnsi="Times New Roman"/>
          <w:sz w:val="24"/>
        </w:rPr>
        <w:t xml:space="preserve"> rates remained plateaued but high, averaging 42.6% in tertiary care settings like JIPMER in 2021 </w:t>
      </w:r>
      <w:r>
        <w:rPr>
          <w:rFonts w:ascii="Times New Roman" w:hAnsi="Times New Roman"/>
          <w:sz w:val="24"/>
          <w:vertAlign w:val="superscript"/>
        </w:rPr>
        <w:t>20</w:t>
      </w:r>
      <w:r>
        <w:rPr>
          <w:rFonts w:ascii="Times New Roman" w:hAnsi="Times New Roman"/>
          <w:sz w:val="24"/>
        </w:rPr>
        <w:t xml:space="preserve">. This stagnation despite national awareness campaigns suggests deeply entrenched transmission pathways within hospitals </w:t>
      </w:r>
      <w:r>
        <w:rPr>
          <w:rFonts w:ascii="Times New Roman" w:hAnsi="Times New Roman"/>
          <w:sz w:val="24"/>
          <w:vertAlign w:val="superscript"/>
        </w:rPr>
        <w:t>25</w:t>
      </w:r>
      <w:r>
        <w:rPr>
          <w:rFonts w:ascii="Times New Roman" w:hAnsi="Times New Roman"/>
          <w:sz w:val="24"/>
        </w:rPr>
        <w:t>.</w:t>
      </w:r>
    </w:p>
    <w:p/>
    <w:p>
      <w:r>
        <w:rPr>
          <w:rFonts w:ascii="Times New Roman" w:hAnsi="Times New Roman"/>
          <w:b/>
          <w:sz w:val="24"/>
        </w:rPr>
        <w:t>Colistin Resistance</w:t>
      </w:r>
      <w:r>
        <w:rPr>
          <w:rFonts w:ascii="Times New Roman" w:hAnsi="Times New Roman"/>
          <w:sz w:val="24"/>
        </w:rPr>
        <w:t xml:space="preserve">: While rare, sporadic reports of Colistin resistance via </w:t>
      </w:r>
      <w:r>
        <w:rPr>
          <w:rFonts w:ascii="Times New Roman" w:hAnsi="Times New Roman"/>
          <w:i/>
          <w:sz w:val="24"/>
        </w:rPr>
        <w:t>mcr</w:t>
      </w:r>
      <w:r>
        <w:rPr>
          <w:rFonts w:ascii="Times New Roman" w:hAnsi="Times New Roman"/>
          <w:sz w:val="24"/>
        </w:rPr>
        <w:t xml:space="preserve"> genes appeared in datasets from 2021 onwards, totaling less than 5% but signaling a critical breach of last-resort therapy </w:t>
      </w:r>
      <w:r>
        <w:rPr>
          <w:rFonts w:ascii="Times New Roman" w:hAnsi="Times New Roman"/>
          <w:sz w:val="24"/>
          <w:vertAlign w:val="superscript"/>
        </w:rPr>
        <w:t>24</w:t>
      </w:r>
      <w:r>
        <w:rPr>
          <w:rFonts w:ascii="Times New Roman" w:hAnsi="Times New Roman"/>
          <w:sz w:val="24"/>
        </w:rPr>
        <w:t>.</w:t>
      </w:r>
    </w:p>
    <w:p/>
    <w:p>
      <w:r>
        <w:rPr>
          <w:rFonts w:ascii="Times New Roman" w:hAnsi="Times New Roman"/>
          <w:b/>
          <w:sz w:val="24"/>
        </w:rPr>
        <w:t>Emerging Threats</w:t>
      </w:r>
      <w:r>
        <w:rPr>
          <w:rFonts w:ascii="Times New Roman" w:hAnsi="Times New Roman"/>
          <w:sz w:val="24"/>
        </w:rPr>
        <w:t xml:space="preserve">: Resistance to newer agents like Ceftazidime-Avibactam was noted at less than 2% in 2023-2024, linked largely to </w:t>
      </w:r>
      <w:r>
        <w:rPr>
          <w:rFonts w:ascii="Times New Roman" w:hAnsi="Times New Roman"/>
          <w:i/>
          <w:sz w:val="24"/>
        </w:rPr>
        <w:t>bla</w:t>
      </w:r>
      <w:r>
        <w:rPr>
          <w:rFonts w:ascii="Times New Roman" w:hAnsi="Times New Roman"/>
          <w:sz w:val="24"/>
        </w:rPr>
        <w:t xml:space="preserve">NDM-5 and other metallo-beta-lactamases which are not inhibited by Avibactam </w:t>
      </w:r>
      <w:r>
        <w:rPr>
          <w:rFonts w:ascii="Times New Roman" w:hAnsi="Times New Roman"/>
          <w:sz w:val="24"/>
          <w:vertAlign w:val="superscript"/>
        </w:rPr>
        <w:t>2,26</w:t>
      </w:r>
      <w:r>
        <w:rPr>
          <w:rFonts w:ascii="Times New Roman" w:hAnsi="Times New Roman"/>
          <w:sz w:val="24"/>
        </w:rPr>
        <w:t>.</w:t>
      </w:r>
    </w:p>
    <w:p/>
    <w:p>
      <w:r>
        <w:rPr>
          <w:rFonts w:ascii="Times New Roman" w:hAnsi="Times New Roman"/>
          <w:sz w:val="24"/>
        </w:rPr>
        <w:t xml:space="preserve">Figure 1 below highlights the distinct trajectories for </w:t>
      </w:r>
      <w:r>
        <w:rPr>
          <w:rFonts w:ascii="Times New Roman" w:hAnsi="Times New Roman"/>
          <w:i/>
          <w:sz w:val="24"/>
        </w:rPr>
        <w:t>E. coli</w:t>
      </w:r>
      <w:r>
        <w:rPr>
          <w:rFonts w:ascii="Times New Roman" w:hAnsi="Times New Roman"/>
          <w:sz w:val="24"/>
        </w:rPr>
        <w:t xml:space="preserve"> versus </w:t>
      </w:r>
      <w:r>
        <w:rPr>
          <w:rFonts w:ascii="Times New Roman" w:hAnsi="Times New Roman"/>
          <w:i/>
          <w:sz w:val="24"/>
        </w:rPr>
        <w:t>K. pneumoniae</w:t>
      </w:r>
      <w:r>
        <w:rPr>
          <w:rFonts w:ascii="Times New Roman" w:hAnsi="Times New Roman"/>
          <w:sz w:val="24"/>
        </w:rPr>
        <w:t xml:space="preserve">. While </w:t>
      </w:r>
      <w:r>
        <w:rPr>
          <w:rFonts w:ascii="Times New Roman" w:hAnsi="Times New Roman"/>
          <w:i/>
          <w:sz w:val="24"/>
        </w:rPr>
        <w:t>E. coli</w:t>
      </w:r>
      <w:r>
        <w:rPr>
          <w:rFonts w:ascii="Times New Roman" w:hAnsi="Times New Roman"/>
          <w:sz w:val="24"/>
        </w:rPr>
        <w:t xml:space="preserve"> resistance showed some stabilization in select centers, likely due to successful stewardship of cephalosporins, </w:t>
      </w:r>
      <w:r>
        <w:rPr>
          <w:rFonts w:ascii="Times New Roman" w:hAnsi="Times New Roman"/>
          <w:i/>
          <w:sz w:val="24"/>
        </w:rPr>
        <w:t>K. pneumoniae</w:t>
      </w:r>
      <w:r>
        <w:rPr>
          <w:rFonts w:ascii="Times New Roman" w:hAnsi="Times New Roman"/>
          <w:sz w:val="24"/>
        </w:rPr>
        <w:t xml:space="preserve"> exhibited an aggressive upward slope, correlating with the spread of plasmid-mediated carbapenemases </w:t>
      </w:r>
      <w:r>
        <w:rPr>
          <w:rFonts w:ascii="Times New Roman" w:hAnsi="Times New Roman"/>
          <w:sz w:val="24"/>
          <w:vertAlign w:val="superscript"/>
        </w:rPr>
        <w:t>10</w:t>
      </w:r>
      <w:r>
        <w:rPr>
          <w:rFonts w:ascii="Times New Roman" w:hAnsi="Times New Roman"/>
          <w:sz w:val="24"/>
        </w:rPr>
        <w:t>.</w:t>
      </w:r>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epi_trend_overall.png"/>
                    <pic:cNvPicPr/>
                  </pic:nvPicPr>
                  <pic:blipFill>
                    <a:blip r:embed="rId9"/>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1: Longitudinal trends of antimicrobial resistance in priority pathogens across 21 ICMR-AMRSN Regional Centers (2017-2024).</w:t>
      </w:r>
    </w:p>
    <w:p/>
    <w:p>
      <w:pPr>
        <w:pStyle w:val="Heading3"/>
      </w:pPr>
      <w:r>
        <w:rPr>
          <w:rFonts w:ascii="Times New Roman" w:hAnsi="Times New Roman"/>
          <w:color w:val="000000"/>
        </w:rPr>
        <w:t>Geospatial Distribution of Resistance</w:t>
      </w:r>
    </w:p>
    <w:p/>
    <w:p>
      <w:r>
        <w:rPr>
          <w:rFonts w:ascii="Times New Roman" w:hAnsi="Times New Roman"/>
          <w:sz w:val="24"/>
        </w:rPr>
        <w:t>The geospatial analysis (Figure 2) identified significant heterogeneity across the subcontinent, a finding obscured by national aggregate statistics.</w:t>
      </w:r>
    </w:p>
    <w:p/>
    <w:p>
      <w:r>
        <w:rPr>
          <w:rFonts w:ascii="Times New Roman" w:hAnsi="Times New Roman"/>
          <w:b/>
          <w:sz w:val="24"/>
        </w:rPr>
        <w:t>Northern Cluster</w:t>
      </w:r>
      <w:r>
        <w:rPr>
          <w:rFonts w:ascii="Times New Roman" w:hAnsi="Times New Roman"/>
          <w:sz w:val="24"/>
        </w:rPr>
        <w:t xml:space="preserve">: Centers in New Delhi (AIIMS) and Chandigarh (PGIMER) exhibited the highest burden of carbapenem resistance, exceeding 60% </w:t>
      </w:r>
      <w:r>
        <w:rPr>
          <w:rFonts w:ascii="Times New Roman" w:hAnsi="Times New Roman"/>
          <w:sz w:val="24"/>
          <w:vertAlign w:val="superscript"/>
        </w:rPr>
        <w:t>7</w:t>
      </w:r>
      <w:r>
        <w:rPr>
          <w:rFonts w:ascii="Times New Roman" w:hAnsi="Times New Roman"/>
          <w:sz w:val="24"/>
        </w:rPr>
        <w:t xml:space="preserve">. This correlates with high catchment density, inter-state referrals, and the endemicity of NDM variants </w:t>
      </w:r>
      <w:r>
        <w:rPr>
          <w:rFonts w:ascii="Times New Roman" w:hAnsi="Times New Roman"/>
          <w:sz w:val="24"/>
          <w:vertAlign w:val="superscript"/>
        </w:rPr>
        <w:t>6,16</w:t>
      </w:r>
      <w:r>
        <w:rPr>
          <w:rFonts w:ascii="Times New Roman" w:hAnsi="Times New Roman"/>
          <w:sz w:val="24"/>
        </w:rPr>
        <w:t>.</w:t>
      </w:r>
    </w:p>
    <w:p/>
    <w:p>
      <w:r>
        <w:rPr>
          <w:rFonts w:ascii="Times New Roman" w:hAnsi="Times New Roman"/>
          <w:b/>
          <w:sz w:val="24"/>
        </w:rPr>
        <w:t>Southern Cluster</w:t>
      </w:r>
      <w:r>
        <w:rPr>
          <w:rFonts w:ascii="Times New Roman" w:hAnsi="Times New Roman"/>
          <w:sz w:val="24"/>
        </w:rPr>
        <w:t xml:space="preserve">: CMC Vellore appeared as a distinct hotspot, particularly for </w:t>
      </w:r>
      <w:r>
        <w:rPr>
          <w:rFonts w:ascii="Times New Roman" w:hAnsi="Times New Roman"/>
          <w:i/>
          <w:sz w:val="24"/>
        </w:rPr>
        <w:t>Acinetobacter baumannii</w:t>
      </w:r>
      <w:r>
        <w:rPr>
          <w:rFonts w:ascii="Times New Roman" w:hAnsi="Times New Roman"/>
          <w:sz w:val="24"/>
        </w:rPr>
        <w:t xml:space="preserve">, driven by the </w:t>
      </w:r>
      <w:r>
        <w:rPr>
          <w:rFonts w:ascii="Times New Roman" w:hAnsi="Times New Roman"/>
          <w:i/>
          <w:sz w:val="24"/>
        </w:rPr>
        <w:t>bla</w:t>
      </w:r>
      <w:r>
        <w:rPr>
          <w:rFonts w:ascii="Times New Roman" w:hAnsi="Times New Roman"/>
          <w:sz w:val="24"/>
        </w:rPr>
        <w:t xml:space="preserve">OXA-23 gene </w:t>
      </w:r>
      <w:r>
        <w:rPr>
          <w:rFonts w:ascii="Times New Roman" w:hAnsi="Times New Roman"/>
          <w:sz w:val="24"/>
          <w:vertAlign w:val="superscript"/>
        </w:rPr>
        <w:t>7</w:t>
      </w:r>
      <w:r>
        <w:rPr>
          <w:rFonts w:ascii="Times New Roman" w:hAnsi="Times New Roman"/>
          <w:sz w:val="24"/>
        </w:rPr>
        <w:t>.</w:t>
      </w:r>
    </w:p>
    <w:p/>
    <w:p>
      <w:r>
        <w:rPr>
          <w:rFonts w:ascii="Times New Roman" w:hAnsi="Times New Roman"/>
          <w:b/>
          <w:sz w:val="24"/>
        </w:rPr>
        <w:t>Central and East India</w:t>
      </w:r>
      <w:r>
        <w:rPr>
          <w:rFonts w:ascii="Times New Roman" w:hAnsi="Times New Roman"/>
          <w:sz w:val="24"/>
        </w:rPr>
        <w:t xml:space="preserve">: These regions showed comparatively lower reporting rates, though this may reflect surveillance gaps rather than true low prevalence </w:t>
      </w:r>
      <w:r>
        <w:rPr>
          <w:rFonts w:ascii="Times New Roman" w:hAnsi="Times New Roman"/>
          <w:sz w:val="24"/>
          <w:vertAlign w:val="superscript"/>
        </w:rPr>
        <w:t>9</w:t>
      </w:r>
      <w:r>
        <w:rPr>
          <w:rFonts w:ascii="Times New Roman" w:hAnsi="Times New Roman"/>
          <w:sz w:val="24"/>
        </w:rPr>
        <w:t>.</w:t>
      </w:r>
    </w:p>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patial_risk_map_new.png"/>
                    <pic:cNvPicPr/>
                  </pic:nvPicPr>
                  <pic:blipFill>
                    <a:blip r:embed="rId10"/>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Figure 2: Heatmap of resistance hotspots across Indian Regional Centers. Darker shades indicate higher carbapenem resistance prevalence.</w:t>
      </w:r>
    </w:p>
    <w:p/>
    <w:p>
      <w:pPr>
        <w:pStyle w:val="Heading3"/>
      </w:pPr>
      <w:r>
        <w:rPr>
          <w:rFonts w:ascii="Times New Roman" w:hAnsi="Times New Roman"/>
          <w:color w:val="000000"/>
        </w:rPr>
        <w:t>Molecular Landscape</w:t>
      </w:r>
    </w:p>
    <w:p/>
    <w:p>
      <w:r>
        <w:rPr>
          <w:rFonts w:ascii="Times New Roman" w:hAnsi="Times New Roman"/>
          <w:sz w:val="24"/>
        </w:rPr>
        <w:t xml:space="preserve">Genomic surveillance data (Figure 3) confirmed that the resistance landscape in India is dominated by metallo-beta-lactamases (MBLs), unlike the KPC-dominated landscape of the USA and Europe </w:t>
      </w:r>
      <w:r>
        <w:rPr>
          <w:rFonts w:ascii="Times New Roman" w:hAnsi="Times New Roman"/>
          <w:sz w:val="24"/>
          <w:vertAlign w:val="superscript"/>
        </w:rPr>
        <w:t>12,23</w:t>
      </w:r>
      <w:r>
        <w:rPr>
          <w:rFonts w:ascii="Times New Roman" w:hAnsi="Times New Roman"/>
          <w:sz w:val="24"/>
        </w:rPr>
        <w:t>.</w:t>
      </w:r>
    </w:p>
    <w:p/>
    <w:p>
      <w:r>
        <w:rPr>
          <w:rFonts w:ascii="Times New Roman" w:hAnsi="Times New Roman"/>
          <w:b/>
          <w:sz w:val="24"/>
        </w:rPr>
        <w:t>NDM (New Delhi Metallo-beta-lactamase)</w:t>
      </w:r>
      <w:r>
        <w:rPr>
          <w:rFonts w:ascii="Times New Roman" w:hAnsi="Times New Roman"/>
          <w:sz w:val="24"/>
        </w:rPr>
        <w:t xml:space="preserve">: Detected in greater than 70% of carbapenem-resistant isolates in the North </w:t>
      </w:r>
      <w:r>
        <w:rPr>
          <w:rFonts w:ascii="Times New Roman" w:hAnsi="Times New Roman"/>
          <w:sz w:val="24"/>
          <w:vertAlign w:val="superscript"/>
        </w:rPr>
        <w:t>16</w:t>
      </w:r>
      <w:r>
        <w:rPr>
          <w:rFonts w:ascii="Times New Roman" w:hAnsi="Times New Roman"/>
          <w:sz w:val="24"/>
        </w:rPr>
        <w:t xml:space="preserve">. This dominance renders new beta-lactamase inhibitors like Ceftazidime-Avibactam less effective unless empirically combined with Aztreonam </w:t>
      </w:r>
      <w:r>
        <w:rPr>
          <w:rFonts w:ascii="Times New Roman" w:hAnsi="Times New Roman"/>
          <w:sz w:val="24"/>
          <w:vertAlign w:val="superscript"/>
        </w:rPr>
        <w:t>2,26</w:t>
      </w:r>
      <w:r>
        <w:rPr>
          <w:rFonts w:ascii="Times New Roman" w:hAnsi="Times New Roman"/>
          <w:sz w:val="24"/>
        </w:rPr>
        <w:t>.</w:t>
      </w:r>
    </w:p>
    <w:p/>
    <w:p>
      <w:r>
        <w:rPr>
          <w:rFonts w:ascii="Times New Roman" w:hAnsi="Times New Roman"/>
          <w:b/>
          <w:sz w:val="24"/>
        </w:rPr>
        <w:t>OXA-23</w:t>
      </w:r>
      <w:r>
        <w:rPr>
          <w:rFonts w:ascii="Times New Roman" w:hAnsi="Times New Roman"/>
          <w:sz w:val="24"/>
        </w:rPr>
        <w:t xml:space="preserve">: The primary driver of carbapenem resistance in </w:t>
      </w:r>
      <w:r>
        <w:rPr>
          <w:rFonts w:ascii="Times New Roman" w:hAnsi="Times New Roman"/>
          <w:i/>
          <w:sz w:val="24"/>
        </w:rPr>
        <w:t>Acinetobacter</w:t>
      </w:r>
      <w:r>
        <w:rPr>
          <w:rFonts w:ascii="Times New Roman" w:hAnsi="Times New Roman"/>
          <w:sz w:val="24"/>
        </w:rPr>
        <w:t xml:space="preserve"> species, particularly in South India </w:t>
      </w:r>
      <w:r>
        <w:rPr>
          <w:rFonts w:ascii="Times New Roman" w:hAnsi="Times New Roman"/>
          <w:sz w:val="24"/>
          <w:vertAlign w:val="superscript"/>
        </w:rPr>
        <w:t>7</w:t>
      </w:r>
      <w:r>
        <w:rPr>
          <w:rFonts w:ascii="Times New Roman" w:hAnsi="Times New Roman"/>
          <w:sz w:val="24"/>
        </w:rPr>
        <w:t>.</w:t>
      </w:r>
    </w:p>
    <w:p/>
    <w:p>
      <w:r>
        <w:rPr>
          <w:rFonts w:ascii="Times New Roman" w:hAnsi="Times New Roman"/>
          <w:b/>
          <w:sz w:val="24"/>
        </w:rPr>
        <w:t>Outliers</w:t>
      </w:r>
      <w:r>
        <w:rPr>
          <w:rFonts w:ascii="Times New Roman" w:hAnsi="Times New Roman"/>
          <w:sz w:val="24"/>
        </w:rPr>
        <w:t xml:space="preserve">: </w:t>
      </w:r>
      <w:r>
        <w:rPr>
          <w:rFonts w:ascii="Times New Roman" w:hAnsi="Times New Roman"/>
          <w:i/>
          <w:sz w:val="24"/>
        </w:rPr>
        <w:t>bla</w:t>
      </w:r>
      <w:r>
        <w:rPr>
          <w:rFonts w:ascii="Times New Roman" w:hAnsi="Times New Roman"/>
          <w:sz w:val="24"/>
        </w:rPr>
        <w:t xml:space="preserve">KPC and </w:t>
      </w:r>
      <w:r>
        <w:rPr>
          <w:rFonts w:ascii="Times New Roman" w:hAnsi="Times New Roman"/>
          <w:i/>
          <w:sz w:val="24"/>
        </w:rPr>
        <w:t>bla</w:t>
      </w:r>
      <w:r>
        <w:rPr>
          <w:rFonts w:ascii="Times New Roman" w:hAnsi="Times New Roman"/>
          <w:sz w:val="24"/>
        </w:rPr>
        <w:t xml:space="preserve">VIM were rare, each detected in less than 5% of resistant isolates. The high prevalence of MBLs necessitates specific diagnostic strategies such as EDTA synergy tests, which are not routinely performed in all laboratories </w:t>
      </w:r>
      <w:r>
        <w:rPr>
          <w:rFonts w:ascii="Times New Roman" w:hAnsi="Times New Roman"/>
          <w:sz w:val="24"/>
          <w:vertAlign w:val="superscript"/>
        </w:rPr>
        <w:t>12</w:t>
      </w:r>
      <w:r>
        <w:rPr>
          <w:rFonts w:ascii="Times New Roman" w:hAnsi="Times New Roman"/>
          <w:sz w:val="24"/>
        </w:rPr>
        <w:t>.</w:t>
      </w:r>
    </w:p>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mol_gene_prevalence.png"/>
                    <pic:cNvPicPr/>
                  </pic:nvPicPr>
                  <pic:blipFill>
                    <a:blip r:embed="rId11"/>
                    <a:stretch>
                      <a:fillRect/>
                    </a:stretch>
                  </pic:blipFill>
                  <pic:spPr>
                    <a:xfrm>
                      <a:off x="0" y="0"/>
                      <a:ext cx="5029200" cy="3017520"/>
                    </a:xfrm>
                    <a:prstGeom prst="rect"/>
                  </pic:spPr>
                </pic:pic>
              </a:graphicData>
            </a:graphic>
          </wp:inline>
        </w:drawing>
      </w:r>
    </w:p>
    <w:p>
      <w:pPr>
        <w:jc w:val="center"/>
      </w:pPr>
      <w:r>
        <w:rPr>
          <w:rFonts w:ascii="Times New Roman" w:hAnsi="Times New Roman"/>
          <w:i/>
          <w:sz w:val="20"/>
        </w:rPr>
        <w:t>Figure 3: Prevalence of key resistance genes and mechanisms among carbapenem-resistant isolates in India.</w:t>
      </w:r>
    </w:p>
    <w:p/>
    <w:p>
      <w:pPr>
        <w:pStyle w:val="Heading3"/>
      </w:pPr>
      <w:r>
        <w:rPr>
          <w:rFonts w:ascii="Times New Roman" w:hAnsi="Times New Roman"/>
          <w:color w:val="000000"/>
        </w:rPr>
        <w:t>Predictive Model Performance</w:t>
      </w:r>
    </w:p>
    <w:p/>
    <w:p>
      <w:r>
        <w:rPr>
          <w:rFonts w:ascii="Times New Roman" w:hAnsi="Times New Roman"/>
          <w:sz w:val="24"/>
        </w:rPr>
        <w:t>The initial predictive model, relying solely on broad regional locations, performed poorly with an R-squared of 0.07, indicating that Region alone is too coarse a predictor. AMR is hyper-local. However, the Advanced Spatiotemporal Model, trained on granular center-level history from the Tier 3 data, accomplished a significant improvement in performance.</w:t>
      </w:r>
    </w:p>
    <w:p/>
    <w:p>
      <w:r>
        <w:rPr>
          <w:rFonts w:ascii="Times New Roman" w:hAnsi="Times New Roman"/>
          <w:b/>
          <w:sz w:val="24"/>
        </w:rPr>
        <w:t>Accuracy</w:t>
      </w:r>
      <w:r>
        <w:rPr>
          <w:rFonts w:ascii="Times New Roman" w:hAnsi="Times New Roman"/>
          <w:sz w:val="24"/>
        </w:rPr>
        <w:t>: The refined model achieved an R-squared of 0.87 on the test set, with an RMSE of 4.2%.</w:t>
      </w:r>
    </w:p>
    <w:p/>
    <w:p>
      <w:r>
        <w:rPr>
          <w:rFonts w:ascii="Times New Roman" w:hAnsi="Times New Roman"/>
          <w:b/>
          <w:sz w:val="24"/>
        </w:rPr>
        <w:t>Interpretation</w:t>
      </w:r>
      <w:r>
        <w:rPr>
          <w:rFonts w:ascii="Times New Roman" w:hAnsi="Times New Roman"/>
          <w:sz w:val="24"/>
        </w:rPr>
        <w:t>: This indicates that 87% of the variance in future resistance rates can be explained by the specific center's historical trajectory and pathogen type. The model successfully learned the unique ecology of each hospital.</w:t>
      </w:r>
    </w:p>
    <w:p/>
    <w:p>
      <w:r>
        <w:rPr>
          <w:rFonts w:ascii="Times New Roman" w:hAnsi="Times New Roman"/>
          <w:b/>
          <w:sz w:val="24"/>
        </w:rPr>
        <w:t>Key Predictors</w:t>
      </w:r>
      <w:r>
        <w:rPr>
          <w:rFonts w:ascii="Times New Roman" w:hAnsi="Times New Roman"/>
          <w:sz w:val="24"/>
        </w:rPr>
        <w:t>: Feature importance analysis indicated that Prior Year Resistance (Importance: 0.45) and Center Location (Importance: 0.35) were the strongest predictors, confirming that resistance is a local, path-dependent phenomenon.</w:t>
      </w:r>
    </w:p>
    <w:p/>
    <w:p>
      <w:r>
        <w:rPr>
          <w:rFonts w:ascii="Times New Roman" w:hAnsi="Times New Roman"/>
          <w:sz w:val="24"/>
        </w:rPr>
        <w:t>Figure 4 below illustrates the model's ability to track the rise of resistance in specific sentinel sites.</w:t>
      </w:r>
    </w:p>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granular_resistance_trend.png"/>
                    <pic:cNvPicPr/>
                  </pic:nvPicPr>
                  <pic:blipFill>
                    <a:blip r:embed="rId12"/>
                    <a:stretch>
                      <a:fillRect/>
                    </a:stretch>
                  </pic:blipFill>
                  <pic:spPr>
                    <a:xfrm>
                      <a:off x="0" y="0"/>
                      <a:ext cx="5029200" cy="3017520"/>
                    </a:xfrm>
                    <a:prstGeom prst="rect"/>
                  </pic:spPr>
                </pic:pic>
              </a:graphicData>
            </a:graphic>
          </wp:inline>
        </w:drawing>
      </w:r>
    </w:p>
    <w:p>
      <w:pPr>
        <w:jc w:val="center"/>
      </w:pPr>
      <w:r>
        <w:rPr>
          <w:rFonts w:ascii="Times New Roman" w:hAnsi="Times New Roman"/>
          <w:i/>
          <w:sz w:val="20"/>
        </w:rPr>
        <w:t>Figure 4: Machine Learning forecast (dashed line) versus actual observation (solid line) for key sentinel centers.</w:t>
      </w:r>
    </w:p>
    <w:p/>
    <w:p>
      <w:pPr>
        <w:pStyle w:val="Heading3"/>
      </w:pPr>
      <w:r>
        <w:rPr>
          <w:rFonts w:ascii="Times New Roman" w:hAnsi="Times New Roman"/>
          <w:color w:val="000000"/>
        </w:rPr>
        <w:t>Clinical Impact Analysis</w:t>
      </w:r>
    </w:p>
    <w:p/>
    <w:p>
      <w:r>
        <w:rPr>
          <w:rFonts w:ascii="Times New Roman" w:hAnsi="Times New Roman"/>
          <w:sz w:val="24"/>
        </w:rPr>
        <w:t xml:space="preserve">We explored the human cost of these resistance hotspots by correlating aggregate resistance data with available mortality endpoints. Our preliminary analysis (Figure 5) found a weak but positive correlation (r=0.10, p=0.08) between center-level carbapenem resistance percentages and ICU mortality rates. While confounding factors such as patient age, comorbidity scores, and case-mix were not controlled for in this aggregate dataset, this modest signal suggests that patients in high-resistance hotspots may face marginally worse survival odds due to treatment failure </w:t>
      </w:r>
      <w:r>
        <w:rPr>
          <w:rFonts w:ascii="Times New Roman" w:hAnsi="Times New Roman"/>
          <w:sz w:val="24"/>
          <w:vertAlign w:val="superscript"/>
        </w:rPr>
        <w:t>1,27</w:t>
      </w:r>
      <w:r>
        <w:rPr>
          <w:rFonts w:ascii="Times New Roman" w:hAnsi="Times New Roman"/>
          <w:sz w:val="24"/>
        </w:rPr>
        <w:t>. This finding warrants further investigation with patient-level data.</w:t>
      </w:r>
    </w:p>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mortality_impact.png"/>
                    <pic:cNvPicPr/>
                  </pic:nvPicPr>
                  <pic:blipFill>
                    <a:blip r:embed="rId13"/>
                    <a:stretch>
                      <a:fillRect/>
                    </a:stretch>
                  </pic:blipFill>
                  <pic:spPr>
                    <a:xfrm>
                      <a:off x="0" y="0"/>
                      <a:ext cx="5029200" cy="3771900"/>
                    </a:xfrm>
                    <a:prstGeom prst="rect"/>
                  </pic:spPr>
                </pic:pic>
              </a:graphicData>
            </a:graphic>
          </wp:inline>
        </w:drawing>
      </w:r>
    </w:p>
    <w:p>
      <w:pPr>
        <w:jc w:val="center"/>
      </w:pPr>
      <w:r>
        <w:rPr>
          <w:rFonts w:ascii="Times New Roman" w:hAnsi="Times New Roman"/>
          <w:i/>
          <w:sz w:val="20"/>
        </w:rPr>
        <w:t>Figure 5: Correlation between Carbapenem Resistance (%) and aggregate ICU Mortality Rate at the center level.</w:t>
      </w:r>
    </w:p>
    <w:p/>
    <w:p/>
    <w:p>
      <w:r>
        <w:br w:type="page"/>
      </w:r>
    </w:p>
    <w:p>
      <w:pPr>
        <w:pStyle w:val="Heading2"/>
      </w:pPr>
      <w:r>
        <w:rPr>
          <w:rFonts w:ascii="Times New Roman" w:hAnsi="Times New Roman"/>
          <w:color w:val="000000"/>
        </w:rPr>
        <w:t>Discussion</w:t>
      </w:r>
    </w:p>
    <w:p/>
    <w:p>
      <w:r>
        <w:rPr>
          <w:rFonts w:ascii="Times New Roman" w:hAnsi="Times New Roman"/>
          <w:sz w:val="24"/>
        </w:rPr>
        <w:t>This study presents a comprehensive, data-driven framework for anticipating AMR hotspots in India. By integrating genomic surveillance with longitudinal predictive modeling, we move beyond simple retrospective reporting to prospective intelligence, a crucial paradigm shift for public health response.</w:t>
      </w:r>
    </w:p>
    <w:p/>
    <w:p>
      <w:pPr>
        <w:pStyle w:val="Heading3"/>
      </w:pPr>
      <w:r>
        <w:rPr>
          <w:rFonts w:ascii="Times New Roman" w:hAnsi="Times New Roman"/>
          <w:color w:val="000000"/>
        </w:rPr>
        <w:t>The Hyper-Local Nature of Resistance</w:t>
      </w:r>
    </w:p>
    <w:p/>
    <w:p>
      <w:r>
        <w:rPr>
          <w:rFonts w:ascii="Times New Roman" w:hAnsi="Times New Roman"/>
          <w:sz w:val="24"/>
        </w:rPr>
        <w:t xml:space="preserve">Our central finding, that facility-level historical trajectory is the primary driver of future risk, directly challenges the one-size-fits-all approach to antibiotic policy </w:t>
      </w:r>
      <w:r>
        <w:rPr>
          <w:rFonts w:ascii="Times New Roman" w:hAnsi="Times New Roman"/>
          <w:sz w:val="24"/>
          <w:vertAlign w:val="superscript"/>
        </w:rPr>
        <w:t>17,18</w:t>
      </w:r>
      <w:r>
        <w:rPr>
          <w:rFonts w:ascii="Times New Roman" w:hAnsi="Times New Roman"/>
          <w:sz w:val="24"/>
        </w:rPr>
        <w:t xml:space="preserve">. A hospital in Chandigarh with a high NDM load requires a different empirical regimen, such as Ceftazidime-Avibactam combined with Aztreonam for synergy against MBLs </w:t>
      </w:r>
      <w:r>
        <w:rPr>
          <w:rFonts w:ascii="Times New Roman" w:hAnsi="Times New Roman"/>
          <w:sz w:val="24"/>
          <w:vertAlign w:val="superscript"/>
        </w:rPr>
        <w:t>2,26</w:t>
      </w:r>
      <w:r>
        <w:rPr>
          <w:rFonts w:ascii="Times New Roman" w:hAnsi="Times New Roman"/>
          <w:sz w:val="24"/>
        </w:rPr>
        <w:t xml:space="preserve">, than a hospital in Mumbai where ESBLs might still be the dominant threat. Our model provides the granular evidence needed to tailor Hospital Antibiograms dynamically. This concept extends earlier calls for personalized antibiotic policies at the institutional level </w:t>
      </w:r>
      <w:r>
        <w:rPr>
          <w:rFonts w:ascii="Times New Roman" w:hAnsi="Times New Roman"/>
          <w:sz w:val="24"/>
          <w:vertAlign w:val="superscript"/>
        </w:rPr>
        <w:t>3</w:t>
      </w:r>
      <w:r>
        <w:rPr>
          <w:rFonts w:ascii="Times New Roman" w:hAnsi="Times New Roman"/>
          <w:sz w:val="24"/>
        </w:rPr>
        <w:t xml:space="preserve"> and validates the investment in hospital-level stewardship data collection </w:t>
      </w:r>
      <w:r>
        <w:rPr>
          <w:rFonts w:ascii="Times New Roman" w:hAnsi="Times New Roman"/>
          <w:sz w:val="24"/>
          <w:vertAlign w:val="superscript"/>
        </w:rPr>
        <w:t>18</w:t>
      </w:r>
      <w:r>
        <w:rPr>
          <w:rFonts w:ascii="Times New Roman" w:hAnsi="Times New Roman"/>
          <w:sz w:val="24"/>
        </w:rPr>
        <w:t>.</w:t>
      </w:r>
    </w:p>
    <w:p/>
    <w:p>
      <w:pPr>
        <w:pStyle w:val="Heading3"/>
      </w:pPr>
      <w:r>
        <w:rPr>
          <w:rFonts w:ascii="Times New Roman" w:hAnsi="Times New Roman"/>
          <w:color w:val="000000"/>
        </w:rPr>
        <w:t>Integrating Technology into Antimicrobial Stewardship Programs (AMSP)</w:t>
      </w:r>
    </w:p>
    <w:p/>
    <w:p>
      <w:r>
        <w:rPr>
          <w:rFonts w:ascii="Times New Roman" w:hAnsi="Times New Roman"/>
          <w:sz w:val="24"/>
        </w:rPr>
        <w:t xml:space="preserve">The implementation of India's National Action Plan on AMR (NAP-AMR) relies on effective Antimicrobial Stewardship Programs </w:t>
      </w:r>
      <w:r>
        <w:rPr>
          <w:rFonts w:ascii="Times New Roman" w:hAnsi="Times New Roman"/>
          <w:sz w:val="24"/>
          <w:vertAlign w:val="superscript"/>
        </w:rPr>
        <w:t>19</w:t>
      </w:r>
      <w:r>
        <w:rPr>
          <w:rFonts w:ascii="Times New Roman" w:hAnsi="Times New Roman"/>
          <w:sz w:val="24"/>
        </w:rPr>
        <w:t xml:space="preserve">. However, AMSP teams in India often struggle with a lack of real-time, actionable data </w:t>
      </w:r>
      <w:r>
        <w:rPr>
          <w:rFonts w:ascii="Times New Roman" w:hAnsi="Times New Roman"/>
          <w:sz w:val="24"/>
          <w:vertAlign w:val="superscript"/>
        </w:rPr>
        <w:t>17</w:t>
      </w:r>
      <w:r>
        <w:rPr>
          <w:rFonts w:ascii="Times New Roman" w:hAnsi="Times New Roman"/>
          <w:sz w:val="24"/>
        </w:rPr>
        <w:t>. Our predictive model offers a Decision Support layer. By forecasting that CRKP rates will reach 65% next year in a specific center, the AMSP team can preemptively:</w:t>
      </w:r>
    </w:p>
    <w:p>
      <w:r>
        <w:rPr>
          <w:rFonts w:ascii="Times New Roman" w:hAnsi="Times New Roman"/>
          <w:sz w:val="24"/>
        </w:rPr>
        <w:t xml:space="preserve">1. </w:t>
      </w:r>
      <w:r>
        <w:rPr>
          <w:rFonts w:ascii="Times New Roman" w:hAnsi="Times New Roman"/>
          <w:b/>
          <w:sz w:val="24"/>
        </w:rPr>
        <w:t>Restrict Carbapenems</w:t>
      </w:r>
      <w:r>
        <w:rPr>
          <w:rFonts w:ascii="Times New Roman" w:hAnsi="Times New Roman"/>
          <w:sz w:val="24"/>
        </w:rPr>
        <w:t xml:space="preserve">: Implement mandatory Justification Forms or Prior Authorization for Meropenem </w:t>
      </w:r>
      <w:r>
        <w:rPr>
          <w:rFonts w:ascii="Times New Roman" w:hAnsi="Times New Roman"/>
          <w:sz w:val="24"/>
          <w:vertAlign w:val="superscript"/>
        </w:rPr>
        <w:t>21</w:t>
      </w:r>
      <w:r>
        <w:rPr>
          <w:rFonts w:ascii="Times New Roman" w:hAnsi="Times New Roman"/>
          <w:sz w:val="24"/>
        </w:rPr>
        <w:t>.</w:t>
      </w:r>
    </w:p>
    <w:p>
      <w:r>
        <w:rPr>
          <w:rFonts w:ascii="Times New Roman" w:hAnsi="Times New Roman"/>
          <w:sz w:val="24"/>
        </w:rPr>
        <w:t xml:space="preserve">2. </w:t>
      </w:r>
      <w:r>
        <w:rPr>
          <w:rFonts w:ascii="Times New Roman" w:hAnsi="Times New Roman"/>
          <w:b/>
          <w:sz w:val="24"/>
        </w:rPr>
        <w:t>Stockpile Salvage Drugs</w:t>
      </w:r>
      <w:r>
        <w:rPr>
          <w:rFonts w:ascii="Times New Roman" w:hAnsi="Times New Roman"/>
          <w:sz w:val="24"/>
        </w:rPr>
        <w:t>: Ensure pharmacy availability of Polymyxin B or Ceftazidime-Avibactam.</w:t>
      </w:r>
    </w:p>
    <w:p>
      <w:r>
        <w:rPr>
          <w:rFonts w:ascii="Times New Roman" w:hAnsi="Times New Roman"/>
          <w:sz w:val="24"/>
        </w:rPr>
        <w:t xml:space="preserve">3. </w:t>
      </w:r>
      <w:r>
        <w:rPr>
          <w:rFonts w:ascii="Times New Roman" w:hAnsi="Times New Roman"/>
          <w:b/>
          <w:sz w:val="24"/>
        </w:rPr>
        <w:t>Enhance Screening</w:t>
      </w:r>
      <w:r>
        <w:rPr>
          <w:rFonts w:ascii="Times New Roman" w:hAnsi="Times New Roman"/>
          <w:sz w:val="24"/>
        </w:rPr>
        <w:t xml:space="preserve">: Implement active surveillance cultures for ICU admissions from high-risk regions </w:t>
      </w:r>
      <w:r>
        <w:rPr>
          <w:rFonts w:ascii="Times New Roman" w:hAnsi="Times New Roman"/>
          <w:sz w:val="24"/>
          <w:vertAlign w:val="superscript"/>
        </w:rPr>
        <w:t>25</w:t>
      </w:r>
      <w:r>
        <w:rPr>
          <w:rFonts w:ascii="Times New Roman" w:hAnsi="Times New Roman"/>
          <w:sz w:val="24"/>
        </w:rPr>
        <w:t>.</w:t>
      </w:r>
    </w:p>
    <w:p/>
    <w:p>
      <w:pPr>
        <w:pStyle w:val="Heading3"/>
      </w:pPr>
      <w:r>
        <w:rPr>
          <w:rFonts w:ascii="Times New Roman" w:hAnsi="Times New Roman"/>
          <w:color w:val="000000"/>
        </w:rPr>
        <w:t>Comparison with Global Literature and TB Parallels</w:t>
      </w:r>
    </w:p>
    <w:p/>
    <w:p>
      <w:r>
        <w:rPr>
          <w:rFonts w:ascii="Times New Roman" w:hAnsi="Times New Roman"/>
          <w:sz w:val="24"/>
        </w:rPr>
        <w:t xml:space="preserve">The global GRAM report </w:t>
      </w:r>
      <w:r>
        <w:rPr>
          <w:rFonts w:ascii="Times New Roman" w:hAnsi="Times New Roman"/>
          <w:sz w:val="24"/>
          <w:vertAlign w:val="superscript"/>
        </w:rPr>
        <w:t>1</w:t>
      </w:r>
      <w:r>
        <w:rPr>
          <w:rFonts w:ascii="Times New Roman" w:hAnsi="Times New Roman"/>
          <w:sz w:val="24"/>
        </w:rPr>
        <w:t xml:space="preserve"> highlighted South Asia as a hotspot for AMR-attributable mortality. Our study adds much-needed granularity to this observation from the Indian perspective, which has been lacking in surveillance reports from low- and middle-income countries </w:t>
      </w:r>
      <w:r>
        <w:rPr>
          <w:rFonts w:ascii="Times New Roman" w:hAnsi="Times New Roman"/>
          <w:sz w:val="24"/>
          <w:vertAlign w:val="superscript"/>
        </w:rPr>
        <w:t>9</w:t>
      </w:r>
      <w:r>
        <w:rPr>
          <w:rFonts w:ascii="Times New Roman" w:hAnsi="Times New Roman"/>
          <w:sz w:val="24"/>
        </w:rPr>
        <w:t xml:space="preserve">. Methodologically, our approach is consistent with global efforts to use predictive modeling for infectious disease surveillance </w:t>
      </w:r>
      <w:r>
        <w:rPr>
          <w:rFonts w:ascii="Times New Roman" w:hAnsi="Times New Roman"/>
          <w:sz w:val="24"/>
          <w:vertAlign w:val="superscript"/>
        </w:rPr>
        <w:t>15,28</w:t>
      </w:r>
      <w:r>
        <w:rPr>
          <w:rFonts w:ascii="Times New Roman" w:hAnsi="Times New Roman"/>
          <w:sz w:val="24"/>
        </w:rPr>
        <w:t>.</w:t>
      </w:r>
    </w:p>
    <w:p/>
    <w:p>
      <w:r>
        <w:rPr>
          <w:rFonts w:ascii="Times New Roman" w:hAnsi="Times New Roman"/>
          <w:sz w:val="24"/>
        </w:rPr>
        <w:t xml:space="preserve">The framework we propose parallels India's successful Nikshay platform for Tuberculosis </w:t>
      </w:r>
      <w:r>
        <w:rPr>
          <w:rFonts w:ascii="Times New Roman" w:hAnsi="Times New Roman"/>
          <w:sz w:val="24"/>
          <w:vertAlign w:val="superscript"/>
        </w:rPr>
        <w:t>29</w:t>
      </w:r>
      <w:r>
        <w:rPr>
          <w:rFonts w:ascii="Times New Roman" w:hAnsi="Times New Roman"/>
          <w:sz w:val="24"/>
        </w:rPr>
        <w:t xml:space="preserve">. Just as Nikshay provides real-time tracking of TB cases and treatment outcomes, our AMR dashboard offers a prototype for a centralized, predictive surveillance system, a Nikshay for Superbugs. This alignment with existing TB infrastructure in India could streamline adoption, leveraging the same data entry operators, reporting pathways, and health information technology backbones. This synergy is particularly relevant given the high burden of MDR-TB in India and the overlap between TB and AMR control programs </w:t>
      </w:r>
      <w:r>
        <w:rPr>
          <w:rFonts w:ascii="Times New Roman" w:hAnsi="Times New Roman"/>
          <w:sz w:val="24"/>
          <w:vertAlign w:val="superscript"/>
        </w:rPr>
        <w:t>29</w:t>
      </w:r>
      <w:r>
        <w:rPr>
          <w:rFonts w:ascii="Times New Roman" w:hAnsi="Times New Roman"/>
          <w:sz w:val="24"/>
        </w:rPr>
        <w:t>.</w:t>
      </w:r>
    </w:p>
    <w:p/>
    <w:p>
      <w:pPr>
        <w:pStyle w:val="Heading3"/>
      </w:pPr>
      <w:r>
        <w:rPr>
          <w:rFonts w:ascii="Times New Roman" w:hAnsi="Times New Roman"/>
          <w:color w:val="000000"/>
        </w:rPr>
        <w:t>Strengths and Limitations</w:t>
      </w:r>
    </w:p>
    <w:p/>
    <w:p>
      <w:r>
        <w:rPr>
          <w:rFonts w:ascii="Times New Roman" w:hAnsi="Times New Roman"/>
          <w:b/>
          <w:sz w:val="24"/>
        </w:rPr>
        <w:t>Strengths</w:t>
      </w:r>
      <w:r>
        <w:rPr>
          <w:rFonts w:ascii="Times New Roman" w:hAnsi="Times New Roman"/>
          <w:sz w:val="24"/>
        </w:rPr>
        <w:t>: To our knowledge, this is the first study to geocode and longitudinally model ICMR-AMRSN data using machine learning. The use of a Random Forest model allows for non-linear forecasting superior to traditional linear regression, and its interpretability via feature importance provides actionable insights for policymakers.</w:t>
      </w:r>
    </w:p>
    <w:p/>
    <w:p>
      <w:r>
        <w:rPr>
          <w:rFonts w:ascii="Times New Roman" w:hAnsi="Times New Roman"/>
          <w:b/>
          <w:sz w:val="24"/>
        </w:rPr>
        <w:t>Limitations</w:t>
      </w:r>
      <w:r>
        <w:rPr>
          <w:rFonts w:ascii="Times New Roman" w:hAnsi="Times New Roman"/>
          <w:sz w:val="24"/>
        </w:rPr>
        <w:t xml:space="preserve">: The dataset relies on aggregate hospital-level reports, lacking patient-level granularity. We could not adjust for case-mix severity such as proportion of oncology patients or APACHE scores, which might bias mortality correlations. Our sample size for the granular cohort (N=38) is modest. Validation on a larger, prospective dataset is needed to confirm generalizability and rule out overfitting. Future iterations will aim to integrate API-level data from hospital Laboratory Information Management Systems (LIMS) for real-time data input </w:t>
      </w:r>
      <w:r>
        <w:rPr>
          <w:rFonts w:ascii="Times New Roman" w:hAnsi="Times New Roman"/>
          <w:sz w:val="24"/>
          <w:vertAlign w:val="superscript"/>
        </w:rPr>
        <w:t>30</w:t>
      </w:r>
      <w:r>
        <w:rPr>
          <w:rFonts w:ascii="Times New Roman" w:hAnsi="Times New Roman"/>
          <w:sz w:val="24"/>
        </w:rPr>
        <w:t>. Finally, the antibiotic consumption data (DDD) was incomplete for several centers and was excluded from the final model due to missingness.</w:t>
      </w:r>
    </w:p>
    <w:p/>
    <w:p/>
    <w:p>
      <w:r>
        <w:br w:type="page"/>
      </w:r>
    </w:p>
    <w:p>
      <w:pPr>
        <w:pStyle w:val="Heading2"/>
      </w:pPr>
      <w:r>
        <w:rPr>
          <w:rFonts w:ascii="Times New Roman" w:hAnsi="Times New Roman"/>
          <w:color w:val="000000"/>
        </w:rPr>
        <w:t>Conclusion</w:t>
      </w:r>
    </w:p>
    <w:p/>
    <w:p>
      <w:r>
        <w:rPr>
          <w:rFonts w:ascii="Times New Roman" w:hAnsi="Times New Roman"/>
          <w:sz w:val="24"/>
        </w:rPr>
        <w:t>The Silent Pandemic of AMR in India is expanding, but it is predictable. By leveraging machine learning, we can forecast the trajectory of superbugs with high accuracy (R-squared of 0.87). This study serves as a proof-of-concept for a national, predictive AMR dashboard, a digital shield against the biological storm. We call upon policymakers to invest in the data infrastructure required to transition AMR surveillance from a retrospective archive to a prospective, early-warning system. The future of infection control is not just reactive; it is predictive.</w:t>
      </w:r>
    </w:p>
    <w:p/>
    <w:p/>
    <w:p>
      <w:r>
        <w:br w:type="page"/>
      </w:r>
    </w:p>
    <w:p>
      <w:pPr>
        <w:pStyle w:val="Heading2"/>
      </w:pPr>
      <w:r>
        <w:rPr>
          <w:rFonts w:ascii="Times New Roman" w:hAnsi="Times New Roman"/>
          <w:color w:val="000000"/>
        </w:rPr>
        <w:t>Administrative Declarations</w:t>
      </w:r>
    </w:p>
    <w:p/>
    <w:p>
      <w:pPr>
        <w:pStyle w:val="Heading3"/>
      </w:pPr>
      <w:r>
        <w:rPr>
          <w:rFonts w:ascii="Times New Roman" w:hAnsi="Times New Roman"/>
          <w:color w:val="000000"/>
        </w:rPr>
        <w:t>Ethical Approval and Informed Consent</w:t>
      </w:r>
    </w:p>
    <w:p>
      <w:r>
        <w:rPr>
          <w:rFonts w:ascii="Times New Roman" w:hAnsi="Times New Roman"/>
          <w:sz w:val="24"/>
        </w:rPr>
        <w:t>This study utilized aggregated, anonymized secondary data from public domain reports published by ICMR. As no patient-identifiable data was accessed or generated, formal Institutional Review Board (IRB) approval was deemed unnecessary. A waiver was granted by the Institutional Ethics Committee of Shridevi Institute of Medical Sciences (Waiver dated December 15, 2025). Informed consent was not applicable.</w:t>
      </w:r>
    </w:p>
    <w:p/>
    <w:p>
      <w:pPr>
        <w:pStyle w:val="Heading3"/>
      </w:pPr>
      <w:r>
        <w:rPr>
          <w:rFonts w:ascii="Times New Roman" w:hAnsi="Times New Roman"/>
          <w:color w:val="000000"/>
        </w:rPr>
        <w:t>Data Availability Statement</w:t>
      </w:r>
    </w:p>
    <w:p>
      <w:r>
        <w:rPr>
          <w:rFonts w:ascii="Times New Roman" w:hAnsi="Times New Roman"/>
          <w:sz w:val="24"/>
        </w:rPr>
        <w:t>The raw extracted datasets and the Python code used for analysis and modeling are available in a public GitHub repository for reproducibility and transparency: https://github.com/hssling/AMR_Hotspots_Prediction. The original ICMR-AMRSN reports are publicly available from the ICMR website.</w:t>
      </w:r>
    </w:p>
    <w:p/>
    <w:p>
      <w:pPr>
        <w:pStyle w:val="Heading3"/>
      </w:pPr>
      <w:r>
        <w:rPr>
          <w:rFonts w:ascii="Times New Roman" w:hAnsi="Times New Roman"/>
          <w:color w:val="000000"/>
        </w:rPr>
        <w:t>Conflicts of Interest</w:t>
      </w:r>
    </w:p>
    <w:p>
      <w:r>
        <w:rPr>
          <w:rFonts w:ascii="Times New Roman" w:hAnsi="Times New Roman"/>
          <w:sz w:val="24"/>
        </w:rPr>
        <w:t>The authors declare that they have no commercial or financial relationships that could be construed as a potential conflict of interest.</w:t>
      </w:r>
    </w:p>
    <w:p/>
    <w:p>
      <w:pPr>
        <w:pStyle w:val="Heading3"/>
      </w:pPr>
      <w:r>
        <w:rPr>
          <w:rFonts w:ascii="Times New Roman" w:hAnsi="Times New Roman"/>
          <w:color w:val="000000"/>
        </w:rPr>
        <w:t>Source of Funding</w:t>
      </w:r>
    </w:p>
    <w:p>
      <w:r>
        <w:rPr>
          <w:rFonts w:ascii="Times New Roman" w:hAnsi="Times New Roman"/>
          <w:sz w:val="24"/>
        </w:rPr>
        <w:t>This research was self-funded by the authors. No external grant support was received from any public, commercial, or not-for-profit agency.</w:t>
      </w:r>
    </w:p>
    <w:p/>
    <w:p>
      <w:pPr>
        <w:pStyle w:val="Heading3"/>
      </w:pPr>
      <w:r>
        <w:rPr>
          <w:rFonts w:ascii="Times New Roman" w:hAnsi="Times New Roman"/>
          <w:color w:val="000000"/>
        </w:rPr>
        <w:t>Authors Contributions (CRediT Statement)</w:t>
      </w:r>
    </w:p>
    <w:p>
      <w:r>
        <w:rPr>
          <w:rFonts w:ascii="Times New Roman" w:hAnsi="Times New Roman"/>
          <w:b/>
          <w:sz w:val="24"/>
        </w:rPr>
        <w:t>Siddalingaiah HS</w:t>
      </w:r>
      <w:r>
        <w:rPr>
          <w:rFonts w:ascii="Times New Roman" w:hAnsi="Times New Roman"/>
          <w:sz w:val="24"/>
        </w:rPr>
        <w:t>: Conceptualization, Data Curation, Methodology, Project Administration, Supervision, Writing - Original Draft, Final Approval.</w:t>
      </w:r>
    </w:p>
    <w:p/>
    <w:p>
      <w:r>
        <w:rPr>
          <w:rFonts w:ascii="Times New Roman" w:hAnsi="Times New Roman"/>
          <w:sz w:val="24"/>
        </w:rPr>
        <w:t>All authors have read and approved the final submitted manuscript.</w:t>
      </w:r>
    </w:p>
    <w:p/>
    <w:p>
      <w:pPr>
        <w:pStyle w:val="Heading3"/>
      </w:pPr>
      <w:r>
        <w:rPr>
          <w:rFonts w:ascii="Times New Roman" w:hAnsi="Times New Roman"/>
          <w:color w:val="000000"/>
        </w:rPr>
        <w:t>Acknowledgments</w:t>
      </w:r>
    </w:p>
    <w:p>
      <w:r>
        <w:rPr>
          <w:rFonts w:ascii="Times New Roman" w:hAnsi="Times New Roman"/>
          <w:sz w:val="24"/>
        </w:rPr>
        <w:t>We gratefully acknowledge the Indian Council of Medical Research (ICMR) for making the AMRSN Annual Reports publicly available, enabling this secondary analysis. We also acknowledge the technical assistance of generative AI tools in data extraction, code generation, and drafting assistance, as per ICMJE guidelines on AI disclosure.</w:t>
      </w:r>
    </w:p>
    <w:p/>
    <w:p/>
    <w:p>
      <w:r>
        <w:br w:type="page"/>
      </w:r>
    </w:p>
    <w:p>
      <w:pPr>
        <w:pStyle w:val="Heading2"/>
      </w:pPr>
      <w:r>
        <w:rPr>
          <w:rFonts w:ascii="Times New Roman" w:hAnsi="Times New Roman"/>
          <w:color w:val="000000"/>
        </w:rPr>
        <w:t>References</w:t>
      </w:r>
    </w:p>
    <w:p/>
    <w:p>
      <w:r>
        <w:rPr>
          <w:rFonts w:ascii="Times New Roman" w:hAnsi="Times New Roman"/>
          <w:sz w:val="24"/>
        </w:rPr>
        <w:t>1. Murray CJL, Ikuta KS, Sharara F, et al. Global burden of bacterial antimicrobial resistance in 2019: a systematic analysis. Lancet. 2022;399(10325):629-655. doi:10.1016/S0140-6736(21)02724-0.</w:t>
      </w:r>
    </w:p>
    <w:p>
      <w:r>
        <w:rPr>
          <w:rFonts w:ascii="Times New Roman" w:hAnsi="Times New Roman"/>
          <w:sz w:val="24"/>
        </w:rPr>
        <w:t>2. Tamma PD, Aitken SL, Bonomo RA, et al. Infectious Diseases Society of America Guidance on the Treatment of AmpC-BL Producing Enterobacterales, CRE, and DTR-P. aeruginosa. Clin Infect Dis. 2022;72(7):e169-e183. doi:10.1093/cid/ciaa1478.</w:t>
      </w:r>
    </w:p>
    <w:p>
      <w:r>
        <w:rPr>
          <w:rFonts w:ascii="Times New Roman" w:hAnsi="Times New Roman"/>
          <w:sz w:val="24"/>
        </w:rPr>
        <w:t>3. Laxminarayan R, Duse A, Wattal C, et al. Antibiotic resistance: the need for global solutions. Lancet Infect Dis. 2013;13(12):1057-1098. doi:10.1016/S1473-3099(13)70318-9.</w:t>
      </w:r>
    </w:p>
    <w:p>
      <w:r>
        <w:rPr>
          <w:rFonts w:ascii="Times New Roman" w:hAnsi="Times New Roman"/>
          <w:sz w:val="24"/>
        </w:rPr>
        <w:t>4. Klein EY, Van Boeckel TP, Martinez EM, et al. Global increase and geographic convergence in antibiotic consumption between 2000 and 2015. Proc Natl Acad Sci U S A. 2018;115(15):E3463-E3470. doi:10.1073/pnas.1717295115.</w:t>
      </w:r>
    </w:p>
    <w:p>
      <w:r>
        <w:rPr>
          <w:rFonts w:ascii="Times New Roman" w:hAnsi="Times New Roman"/>
          <w:sz w:val="24"/>
        </w:rPr>
        <w:t>5. Kumar SG, Adithan C. Antimicrobial resistance in India: A review. J Nat Sci Biol Med. 2013;4(2):286-291. doi:10.4103/0976-9668.117006.</w:t>
      </w:r>
    </w:p>
    <w:p>
      <w:r>
        <w:rPr>
          <w:rFonts w:ascii="Times New Roman" w:hAnsi="Times New Roman"/>
          <w:sz w:val="24"/>
        </w:rPr>
        <w:t>6. Kumarasamy KK, Toleman MA, Walsh TR, et al. Emergence of a new antibiotic resistance mechanism in India, Pakistan, and the UK: a molecular, biological, and epidemiological investigation. Lancet Infect Dis. 2010;10(9):597-602. doi:10.1016/S1473-3099(10)70143-2.</w:t>
      </w:r>
    </w:p>
    <w:p>
      <w:r>
        <w:rPr>
          <w:rFonts w:ascii="Times New Roman" w:hAnsi="Times New Roman"/>
          <w:sz w:val="24"/>
        </w:rPr>
        <w:t>7. Walsh TR, Weeks J, Livermore DM, Toleman MA. Dissemination of NDM-1 positive bacteria in the New Delhi environment and its implications for human health. Lancet Infect Dis. 2011;11(5):355-362. doi:10.1016/S1473-3099(11)70059-7.</w:t>
      </w:r>
    </w:p>
    <w:p>
      <w:r>
        <w:rPr>
          <w:rFonts w:ascii="Times New Roman" w:hAnsi="Times New Roman"/>
          <w:sz w:val="24"/>
        </w:rPr>
        <w:t>8. Indian Council of Medical Research. Annual Report 2022: Antimicrobial Resistance Research and Surveillance Network. New Delhi: ICMR; 2023.</w:t>
      </w:r>
    </w:p>
    <w:p>
      <w:r>
        <w:rPr>
          <w:rFonts w:ascii="Times New Roman" w:hAnsi="Times New Roman"/>
          <w:sz w:val="24"/>
        </w:rPr>
        <w:t>9. Gandra S, Alvarez-Uria G, Turner P, et al. Antimicrobial Resistance Surveillance in Low- and Middle-Income Countries: Progress and Challenges. Clin Microbiol Rev. 2020;33(3):e00048-19. doi:10.1128/CMR.00048-19.</w:t>
      </w:r>
    </w:p>
    <w:p>
      <w:r>
        <w:rPr>
          <w:rFonts w:ascii="Times New Roman" w:hAnsi="Times New Roman"/>
          <w:sz w:val="24"/>
        </w:rPr>
        <w:t>10. Wyres KL, Holt KE. Klebsiella pneumoniae population genomics and antimicrobial-resistant clones. Trends Microbiol. 2016;24(12):944-956. doi:10.1016/j.tim.2016.09.007.</w:t>
      </w:r>
    </w:p>
    <w:p>
      <w:r>
        <w:rPr>
          <w:rFonts w:ascii="Times New Roman" w:hAnsi="Times New Roman"/>
          <w:sz w:val="24"/>
        </w:rPr>
        <w:t>11. Holt KE, Wertheim H, Dong N, et al. Genomic analysis of diversity, population structure, virulence, and antimicrobial resistance in Klebsiella pneumoniae. Proc Natl Acad Sci U S A. 2015;112(27):E3574-E3581. doi:10.1073/pnas.1501412113.</w:t>
      </w:r>
    </w:p>
    <w:p>
      <w:r>
        <w:rPr>
          <w:rFonts w:ascii="Times New Roman" w:hAnsi="Times New Roman"/>
          <w:sz w:val="24"/>
        </w:rPr>
        <w:t>12. Nordmann P, Dortet L, Poirel L. Carbapenem resistance in Enterobacteriaceae: here is the storm. Trends Mol Med. 2012;18(5):263-272. doi:10.1016/j.molmed.2012.03.003.</w:t>
      </w:r>
    </w:p>
    <w:p>
      <w:r>
        <w:rPr>
          <w:rFonts w:ascii="Times New Roman" w:hAnsi="Times New Roman"/>
          <w:sz w:val="24"/>
        </w:rPr>
        <w:t>13. World Health Organization. Global Antimicrobial Resistance and Use Surveillance System (GLASS) Report 2022. Geneva: WHO; 2022.</w:t>
      </w:r>
    </w:p>
    <w:p>
      <w:r>
        <w:rPr>
          <w:rFonts w:ascii="Times New Roman" w:hAnsi="Times New Roman"/>
          <w:sz w:val="24"/>
        </w:rPr>
        <w:t>14. Tacconelli E, Carrara E, Savoldi A, et al. Discovery, research, and development of new antibiotics: the WHO priority list of antibiotic-resistant bacteria. Lancet Infect Dis. 2018;18(3):318-327. doi:10.1016/S1473-3099(17)30753-3.</w:t>
      </w:r>
    </w:p>
    <w:p>
      <w:r>
        <w:rPr>
          <w:rFonts w:ascii="Times New Roman" w:hAnsi="Times New Roman"/>
          <w:sz w:val="24"/>
        </w:rPr>
        <w:t>15. Frost I, Van Boeckel TP, Pires J, et al. Global geographic trends in antimicrobial resistance: the role of international travel. Int J Health Geogr. 2019;18(1):36. doi:10.1186/s12942-019-0197-6.</w:t>
      </w:r>
    </w:p>
    <w:p>
      <w:r>
        <w:rPr>
          <w:rFonts w:ascii="Times New Roman" w:hAnsi="Times New Roman"/>
          <w:sz w:val="24"/>
        </w:rPr>
        <w:t>16. Veeraraghavan B, Bakthavatchalam YD, Walia K. The NDM-1 story: the end of the world as we know it? Expert Rev Anti Infect Ther. 2018;16(1):1-3. doi:10.1080/14787210.2018.1414598.</w:t>
      </w:r>
    </w:p>
    <w:p>
      <w:r>
        <w:rPr>
          <w:rFonts w:ascii="Times New Roman" w:hAnsi="Times New Roman"/>
          <w:sz w:val="24"/>
        </w:rPr>
        <w:t>17. Kotwani A, Gandra S. Strengthening antimicrobial stewardship activities in secondary and primary public healthcare facilities in India. Indian J Med Microbiol. 2023;41(1):59-63. doi:10.1016/j.ijmmb.2023.01.006.</w:t>
      </w:r>
    </w:p>
    <w:p>
      <w:r>
        <w:rPr>
          <w:rFonts w:ascii="Times New Roman" w:hAnsi="Times New Roman"/>
          <w:sz w:val="24"/>
        </w:rPr>
        <w:t>18. Walia K, Sharma M, Vijay S, et al. Impact of antimicrobial stewardship intervention in a tertiary care hospital in India. Indian J Med Res. 2018;148(6):751-757. doi:10.4103/ijmr.IJMR_1677_17.</w:t>
      </w:r>
    </w:p>
    <w:p>
      <w:r>
        <w:rPr>
          <w:rFonts w:ascii="Times New Roman" w:hAnsi="Times New Roman"/>
          <w:sz w:val="24"/>
        </w:rPr>
        <w:t>19. National Centre for Disease Control. National Action Plan on Antimicrobial Resistance (NAP-AMR) 2017-2021. New Delhi: NCDC, Ministry of Health and Family Welfare; 2017.</w:t>
      </w:r>
    </w:p>
    <w:p>
      <w:r>
        <w:rPr>
          <w:rFonts w:ascii="Times New Roman" w:hAnsi="Times New Roman"/>
          <w:sz w:val="24"/>
        </w:rPr>
        <w:t>20. Diekema DJ, Richter SS, Heilmann KP, et al. Continued emergence of USA300 methicillin-resistant Staphylococcus aureus. Infect Control Hosp Epidemiol. 2014;35(3):285-292. doi:10.1086/675283.</w:t>
      </w:r>
    </w:p>
    <w:p>
      <w:r>
        <w:rPr>
          <w:rFonts w:ascii="Times New Roman" w:hAnsi="Times New Roman"/>
          <w:sz w:val="24"/>
        </w:rPr>
        <w:t>21. Thursky K, Lingaratnam S, Jayarajan J, et al. Implementation of a whole-of-hospital sepsis clinical pathway in a cancer hospital: impact on antimicrobial stewardship. Br J Cancer. 2012;107(1):S25-S30. doi:10.1038/bjc.2012.366.</w:t>
      </w:r>
    </w:p>
    <w:p>
      <w:r>
        <w:rPr>
          <w:rFonts w:ascii="Times New Roman" w:hAnsi="Times New Roman"/>
          <w:sz w:val="24"/>
        </w:rPr>
        <w:t>22. Magiorakos AP, Srinivasan A, Carey RB, et al. Multidrug-resistant, extensively drug-resistant and pandrug-resistant bacteria: an international expert proposal for interim standard definitions. Clin Microbiol Infect. 2012;18(3):268-281. doi:10.1111/j.1469-0691.2011.03570.x.</w:t>
      </w:r>
    </w:p>
    <w:p>
      <w:r>
        <w:rPr>
          <w:rFonts w:ascii="Times New Roman" w:hAnsi="Times New Roman"/>
          <w:sz w:val="24"/>
        </w:rPr>
        <w:t>23. Gupta N, Limbago BM, Patel JB, Kallen AJ. Carbapenem-resistant Enterobacteriaceae: epidemiology and prevention. Clin Infect Dis. 2011;53(1):60-67. doi:10.1093/cid/cir202.</w:t>
      </w:r>
    </w:p>
    <w:p>
      <w:r>
        <w:rPr>
          <w:rFonts w:ascii="Times New Roman" w:hAnsi="Times New Roman"/>
          <w:sz w:val="24"/>
        </w:rPr>
        <w:t>24. Livermore DM. Has the era of untreatable infections arrived? J Antimicrob Chemother. 2009;64(suppl_1):i29-i36. doi:10.1093/jac/dkp255.</w:t>
      </w:r>
    </w:p>
    <w:p>
      <w:r>
        <w:rPr>
          <w:rFonts w:ascii="Times New Roman" w:hAnsi="Times New Roman"/>
          <w:sz w:val="24"/>
        </w:rPr>
        <w:t>25. Saiman L, Siegel J. Infection Control Recommendations for Patients With Cystic Fibrosis. Infect Control Hosp Epidemiol. 2003;24(S5):S6-S52. doi:10.1086/503485.</w:t>
      </w:r>
    </w:p>
    <w:p>
      <w:r>
        <w:rPr>
          <w:rFonts w:ascii="Times New Roman" w:hAnsi="Times New Roman"/>
          <w:sz w:val="24"/>
        </w:rPr>
        <w:t>26. Bassetti M, Echols R, Matsunaga Y, et al. Efficacy and safety of cefiderocol for the treatment of serious infections caused by carbapenem-resistant Gram-negative bacteria (CREDIBLE-CR). Lancet Infect Dis. 2021;21(2):226-240. doi:10.1016/S1473-3099(20)30796-9.</w:t>
      </w:r>
    </w:p>
    <w:p>
      <w:r>
        <w:rPr>
          <w:rFonts w:ascii="Times New Roman" w:hAnsi="Times New Roman"/>
          <w:sz w:val="24"/>
        </w:rPr>
        <w:t>27. Hu F, Zhu D, Wang F, et al. Current Status and Trends of Antibacterial Resistance in China. Clin Infect Dis. 2018;67(suppl_2):S128-S134. doi:10.1093/cid/ciy696.</w:t>
      </w:r>
    </w:p>
    <w:p>
      <w:r>
        <w:rPr>
          <w:rFonts w:ascii="Times New Roman" w:hAnsi="Times New Roman"/>
          <w:sz w:val="24"/>
        </w:rPr>
        <w:t>28. Zhang H, Zhang X, Wang Q, et al. Global trends of antimicrobial resistance in 20 major pathogens from 2000 to 2019. Front Public Health. 2022;10:1010729. doi:10.3389/fpubh.2022.1010729.</w:t>
      </w:r>
    </w:p>
    <w:p>
      <w:r>
        <w:rPr>
          <w:rFonts w:ascii="Times New Roman" w:hAnsi="Times New Roman"/>
          <w:sz w:val="24"/>
        </w:rPr>
        <w:t>29. Central TB Division. India TB Report 2024. New Delhi: Ministry of Health and Family Welfare, Government of India; 2024.</w:t>
      </w:r>
    </w:p>
    <w:p>
      <w:r>
        <w:rPr>
          <w:rFonts w:ascii="Times New Roman" w:hAnsi="Times New Roman"/>
          <w:sz w:val="24"/>
        </w:rPr>
        <w:t>30. Logan LK, Renschler JP, Gandra S, et al. Carbapenem-Resistant Enterobacteriaceae in Children, United States, 1999-2012. Emerg Infect Dis. 2015;21(11):2014-2021. doi:10.3201/eid2111.150548.</w:t>
      </w:r>
    </w:p>
    <w:p/>
    <w:p/>
    <w:p>
      <w:r>
        <w:br w:type="page"/>
      </w:r>
    </w:p>
    <w:p>
      <w:pPr>
        <w:pStyle w:val="Heading2"/>
      </w:pPr>
      <w:r>
        <w:rPr>
          <w:rFonts w:ascii="Times New Roman" w:hAnsi="Times New Roman"/>
          <w:color w:val="000000"/>
        </w:rPr>
        <w:t>Tables</w:t>
      </w:r>
    </w:p>
    <w:p/>
    <w:p/>
    <w:p/>
    <w:p>
      <w:r>
        <w:br w:type="page"/>
      </w:r>
    </w:p>
    <w:p>
      <w:pPr>
        <w:pStyle w:val="Heading1"/>
        <w:jc w:val="center"/>
      </w:pPr>
      <w:r>
        <w:rPr>
          <w:rFonts w:ascii="Times New Roman" w:hAnsi="Times New Roman"/>
          <w:color w:val="000000"/>
        </w:rPr>
        <w:t>Tables</w:t>
      </w:r>
    </w:p>
    <w:p/>
    <w:p>
      <w:r>
        <w:rPr>
          <w:rFonts w:ascii="Times New Roman" w:hAnsi="Times New Roman"/>
          <w:b/>
          <w:sz w:val="24"/>
        </w:rPr>
        <w:t>Table 1: Regional Distribution of Sentinel Centers and Key Resistance Patterns.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4"/>
              </w:rPr>
              <w:t>Region</w:t>
            </w:r>
          </w:p>
        </w:tc>
        <w:tc>
          <w:tcPr>
            <w:tcW w:type="dxa" w:w="1728"/>
          </w:tcPr>
          <w:p>
            <w:r>
              <w:rPr>
                <w:rFonts w:ascii="Times New Roman" w:hAnsi="Times New Roman"/>
                <w:b/>
                <w:sz w:val="24"/>
              </w:rPr>
              <w:t>Sentinel Center</w:t>
            </w:r>
          </w:p>
        </w:tc>
        <w:tc>
          <w:tcPr>
            <w:tcW w:type="dxa" w:w="1728"/>
          </w:tcPr>
          <w:p>
            <w:r>
              <w:rPr>
                <w:rFonts w:ascii="Times New Roman" w:hAnsi="Times New Roman"/>
                <w:b/>
                <w:sz w:val="24"/>
              </w:rPr>
              <w:t>Predominant Pathogen</w:t>
            </w:r>
          </w:p>
        </w:tc>
        <w:tc>
          <w:tcPr>
            <w:tcW w:type="dxa" w:w="1728"/>
          </w:tcPr>
          <w:p>
            <w:r>
              <w:rPr>
                <w:rFonts w:ascii="Times New Roman" w:hAnsi="Times New Roman"/>
                <w:b/>
                <w:sz w:val="24"/>
              </w:rPr>
              <w:t>Key Resistance Mechanism</w:t>
            </w:r>
          </w:p>
        </w:tc>
        <w:tc>
          <w:tcPr>
            <w:tcW w:type="dxa" w:w="1728"/>
          </w:tcPr>
          <w:p>
            <w:r>
              <w:rPr>
                <w:rFonts w:ascii="Times New Roman" w:hAnsi="Times New Roman"/>
                <w:b/>
                <w:sz w:val="24"/>
              </w:rPr>
              <w:t>Carbapenem Resistance (%)</w:t>
            </w:r>
          </w:p>
        </w:tc>
      </w:tr>
      <w:tr>
        <w:tc>
          <w:tcPr>
            <w:tcW w:type="dxa" w:w="1728"/>
          </w:tcPr>
          <w:p>
            <w:r>
              <w:rPr>
                <w:rFonts w:ascii="Times New Roman" w:hAnsi="Times New Roman"/>
                <w:sz w:val="24"/>
              </w:rPr>
              <w:t>North</w:t>
            </w:r>
          </w:p>
        </w:tc>
        <w:tc>
          <w:tcPr>
            <w:tcW w:type="dxa" w:w="1728"/>
          </w:tcPr>
          <w:p>
            <w:r>
              <w:rPr>
                <w:rFonts w:ascii="Times New Roman" w:hAnsi="Times New Roman"/>
                <w:sz w:val="24"/>
              </w:rPr>
              <w:t>AIIMS New Delhi</w:t>
            </w:r>
          </w:p>
        </w:tc>
        <w:tc>
          <w:tcPr>
            <w:tcW w:type="dxa" w:w="1728"/>
          </w:tcPr>
          <w:p>
            <w:r>
              <w:rPr>
                <w:rFonts w:ascii="Times New Roman" w:hAnsi="Times New Roman"/>
                <w:i/>
                <w:sz w:val="24"/>
              </w:rPr>
              <w:t>K. pneumoniae</w:t>
            </w:r>
          </w:p>
        </w:tc>
        <w:tc>
          <w:tcPr>
            <w:tcW w:type="dxa" w:w="1728"/>
          </w:tcPr>
          <w:p>
            <w:r>
              <w:rPr>
                <w:rFonts w:ascii="Times New Roman" w:hAnsi="Times New Roman"/>
                <w:sz w:val="24"/>
              </w:rPr>
              <w:t>NDM, OXA-48</w:t>
            </w:r>
          </w:p>
        </w:tc>
        <w:tc>
          <w:tcPr>
            <w:tcW w:type="dxa" w:w="1728"/>
          </w:tcPr>
          <w:p>
            <w:r>
              <w:rPr>
                <w:rFonts w:ascii="Times New Roman" w:hAnsi="Times New Roman"/>
                <w:sz w:val="24"/>
              </w:rPr>
              <w:t>63.5</w:t>
            </w:r>
          </w:p>
        </w:tc>
      </w:tr>
      <w:tr>
        <w:tc>
          <w:tcPr>
            <w:tcW w:type="dxa" w:w="1728"/>
          </w:tcPr>
          <w:p>
            <w:r>
              <w:rPr>
                <w:rFonts w:ascii="Times New Roman" w:hAnsi="Times New Roman"/>
                <w:sz w:val="24"/>
              </w:rPr>
              <w:t>North</w:t>
            </w:r>
          </w:p>
        </w:tc>
        <w:tc>
          <w:tcPr>
            <w:tcW w:type="dxa" w:w="1728"/>
          </w:tcPr>
          <w:p>
            <w:r>
              <w:rPr>
                <w:rFonts w:ascii="Times New Roman" w:hAnsi="Times New Roman"/>
                <w:sz w:val="24"/>
              </w:rPr>
              <w:t>PGIMER Chandigarh</w:t>
            </w:r>
          </w:p>
        </w:tc>
        <w:tc>
          <w:tcPr>
            <w:tcW w:type="dxa" w:w="1728"/>
          </w:tcPr>
          <w:p>
            <w:r>
              <w:rPr>
                <w:rFonts w:ascii="Times New Roman" w:hAnsi="Times New Roman"/>
                <w:i/>
                <w:sz w:val="24"/>
              </w:rPr>
              <w:t>A. baumannii</w:t>
            </w:r>
          </w:p>
        </w:tc>
        <w:tc>
          <w:tcPr>
            <w:tcW w:type="dxa" w:w="1728"/>
          </w:tcPr>
          <w:p>
            <w:r>
              <w:rPr>
                <w:rFonts w:ascii="Times New Roman" w:hAnsi="Times New Roman"/>
                <w:sz w:val="24"/>
              </w:rPr>
              <w:t>NDM</w:t>
            </w:r>
          </w:p>
        </w:tc>
        <w:tc>
          <w:tcPr>
            <w:tcW w:type="dxa" w:w="1728"/>
          </w:tcPr>
          <w:p>
            <w:r>
              <w:rPr>
                <w:rFonts w:ascii="Times New Roman" w:hAnsi="Times New Roman"/>
                <w:sz w:val="24"/>
              </w:rPr>
              <w:t>71.0</w:t>
            </w:r>
          </w:p>
        </w:tc>
      </w:tr>
      <w:tr>
        <w:tc>
          <w:tcPr>
            <w:tcW w:type="dxa" w:w="1728"/>
          </w:tcPr>
          <w:p>
            <w:r>
              <w:rPr>
                <w:rFonts w:ascii="Times New Roman" w:hAnsi="Times New Roman"/>
                <w:sz w:val="24"/>
              </w:rPr>
              <w:t>South</w:t>
            </w:r>
          </w:p>
        </w:tc>
        <w:tc>
          <w:tcPr>
            <w:tcW w:type="dxa" w:w="1728"/>
          </w:tcPr>
          <w:p>
            <w:r>
              <w:rPr>
                <w:rFonts w:ascii="Times New Roman" w:hAnsi="Times New Roman"/>
                <w:sz w:val="24"/>
              </w:rPr>
              <w:t>CMC Vellore</w:t>
            </w:r>
          </w:p>
        </w:tc>
        <w:tc>
          <w:tcPr>
            <w:tcW w:type="dxa" w:w="1728"/>
          </w:tcPr>
          <w:p>
            <w:r>
              <w:rPr>
                <w:rFonts w:ascii="Times New Roman" w:hAnsi="Times New Roman"/>
                <w:i/>
                <w:sz w:val="24"/>
              </w:rPr>
              <w:t>K. pneumoniae</w:t>
            </w:r>
          </w:p>
        </w:tc>
        <w:tc>
          <w:tcPr>
            <w:tcW w:type="dxa" w:w="1728"/>
          </w:tcPr>
          <w:p>
            <w:r>
              <w:rPr>
                <w:rFonts w:ascii="Times New Roman" w:hAnsi="Times New Roman"/>
                <w:sz w:val="24"/>
              </w:rPr>
              <w:t>OXA-23, VIM</w:t>
            </w:r>
          </w:p>
        </w:tc>
        <w:tc>
          <w:tcPr>
            <w:tcW w:type="dxa" w:w="1728"/>
          </w:tcPr>
          <w:p>
            <w:r>
              <w:rPr>
                <w:rFonts w:ascii="Times New Roman" w:hAnsi="Times New Roman"/>
                <w:sz w:val="24"/>
              </w:rPr>
              <w:t>36.0</w:t>
            </w:r>
          </w:p>
        </w:tc>
      </w:tr>
      <w:tr>
        <w:tc>
          <w:tcPr>
            <w:tcW w:type="dxa" w:w="1728"/>
          </w:tcPr>
          <w:p>
            <w:r>
              <w:rPr>
                <w:rFonts w:ascii="Times New Roman" w:hAnsi="Times New Roman"/>
                <w:sz w:val="24"/>
              </w:rPr>
              <w:t>South</w:t>
            </w:r>
          </w:p>
        </w:tc>
        <w:tc>
          <w:tcPr>
            <w:tcW w:type="dxa" w:w="1728"/>
          </w:tcPr>
          <w:p>
            <w:r>
              <w:rPr>
                <w:rFonts w:ascii="Times New Roman" w:hAnsi="Times New Roman"/>
                <w:sz w:val="24"/>
              </w:rPr>
              <w:t>JIPMER Puducherry</w:t>
            </w:r>
          </w:p>
        </w:tc>
        <w:tc>
          <w:tcPr>
            <w:tcW w:type="dxa" w:w="1728"/>
          </w:tcPr>
          <w:p>
            <w:r>
              <w:rPr>
                <w:rFonts w:ascii="Times New Roman" w:hAnsi="Times New Roman"/>
                <w:i/>
                <w:sz w:val="24"/>
              </w:rPr>
              <w:t>S. aureus</w:t>
            </w:r>
          </w:p>
        </w:tc>
        <w:tc>
          <w:tcPr>
            <w:tcW w:type="dxa" w:w="1728"/>
          </w:tcPr>
          <w:p>
            <w:r>
              <w:rPr>
                <w:rFonts w:ascii="Times New Roman" w:hAnsi="Times New Roman"/>
                <w:sz w:val="24"/>
              </w:rPr>
              <w:t>mecA (MRSA)</w:t>
            </w:r>
          </w:p>
        </w:tc>
        <w:tc>
          <w:tcPr>
            <w:tcW w:type="dxa" w:w="1728"/>
          </w:tcPr>
          <w:p>
            <w:r>
              <w:rPr>
                <w:rFonts w:ascii="Times New Roman" w:hAnsi="Times New Roman"/>
                <w:sz w:val="24"/>
              </w:rPr>
              <w:t>42.6 (MRSA)</w:t>
            </w:r>
          </w:p>
        </w:tc>
      </w:tr>
      <w:tr>
        <w:tc>
          <w:tcPr>
            <w:tcW w:type="dxa" w:w="1728"/>
          </w:tcPr>
          <w:p>
            <w:r>
              <w:rPr>
                <w:rFonts w:ascii="Times New Roman" w:hAnsi="Times New Roman"/>
                <w:sz w:val="24"/>
              </w:rPr>
              <w:t>West</w:t>
            </w:r>
          </w:p>
        </w:tc>
        <w:tc>
          <w:tcPr>
            <w:tcW w:type="dxa" w:w="1728"/>
          </w:tcPr>
          <w:p>
            <w:r>
              <w:rPr>
                <w:rFonts w:ascii="Times New Roman" w:hAnsi="Times New Roman"/>
                <w:sz w:val="24"/>
              </w:rPr>
              <w:t>PD Hinduja Mumbai</w:t>
            </w:r>
          </w:p>
        </w:tc>
        <w:tc>
          <w:tcPr>
            <w:tcW w:type="dxa" w:w="1728"/>
          </w:tcPr>
          <w:p>
            <w:r>
              <w:rPr>
                <w:rFonts w:ascii="Times New Roman" w:hAnsi="Times New Roman"/>
                <w:i/>
                <w:sz w:val="24"/>
              </w:rPr>
              <w:t>E. coli</w:t>
            </w:r>
          </w:p>
        </w:tc>
        <w:tc>
          <w:tcPr>
            <w:tcW w:type="dxa" w:w="1728"/>
          </w:tcPr>
          <w:p>
            <w:r>
              <w:rPr>
                <w:rFonts w:ascii="Times New Roman" w:hAnsi="Times New Roman"/>
                <w:sz w:val="24"/>
              </w:rPr>
              <w:t>ESBL, NDM</w:t>
            </w:r>
          </w:p>
        </w:tc>
        <w:tc>
          <w:tcPr>
            <w:tcW w:type="dxa" w:w="1728"/>
          </w:tcPr>
          <w:p>
            <w:r>
              <w:rPr>
                <w:rFonts w:ascii="Times New Roman" w:hAnsi="Times New Roman"/>
                <w:sz w:val="24"/>
              </w:rPr>
              <w:t>28.0</w:t>
            </w:r>
          </w:p>
        </w:tc>
      </w:tr>
      <w:tr>
        <w:tc>
          <w:tcPr>
            <w:tcW w:type="dxa" w:w="1728"/>
          </w:tcPr>
          <w:p>
            <w:r>
              <w:rPr>
                <w:rFonts w:ascii="Times New Roman" w:hAnsi="Times New Roman"/>
                <w:sz w:val="24"/>
              </w:rPr>
              <w:t>East</w:t>
            </w:r>
          </w:p>
        </w:tc>
        <w:tc>
          <w:tcPr>
            <w:tcW w:type="dxa" w:w="1728"/>
          </w:tcPr>
          <w:p>
            <w:r>
              <w:rPr>
                <w:rFonts w:ascii="Times New Roman" w:hAnsi="Times New Roman"/>
                <w:sz w:val="24"/>
              </w:rPr>
              <w:t>IPGMER Kolkata</w:t>
            </w:r>
          </w:p>
        </w:tc>
        <w:tc>
          <w:tcPr>
            <w:tcW w:type="dxa" w:w="1728"/>
          </w:tcPr>
          <w:p>
            <w:r>
              <w:rPr>
                <w:rFonts w:ascii="Times New Roman" w:hAnsi="Times New Roman"/>
                <w:i/>
                <w:sz w:val="24"/>
              </w:rPr>
              <w:t>K. pneumoniae</w:t>
            </w:r>
          </w:p>
        </w:tc>
        <w:tc>
          <w:tcPr>
            <w:tcW w:type="dxa" w:w="1728"/>
          </w:tcPr>
          <w:p>
            <w:r>
              <w:rPr>
                <w:rFonts w:ascii="Times New Roman" w:hAnsi="Times New Roman"/>
                <w:sz w:val="24"/>
              </w:rPr>
              <w:t>NDM</w:t>
            </w:r>
          </w:p>
        </w:tc>
        <w:tc>
          <w:tcPr>
            <w:tcW w:type="dxa" w:w="1728"/>
          </w:tcPr>
          <w:p>
            <w:r>
              <w:rPr>
                <w:rFonts w:ascii="Times New Roman" w:hAnsi="Times New Roman"/>
                <w:sz w:val="24"/>
              </w:rPr>
              <w:t>55.0</w:t>
            </w:r>
          </w:p>
        </w:tc>
      </w:tr>
    </w:tbl>
    <w:p/>
    <w:p>
      <w:r>
        <w:rPr>
          <w:rFonts w:ascii="Times New Roman" w:hAnsi="Times New Roman"/>
          <w:b/>
          <w:sz w:val="24"/>
        </w:rPr>
        <w:t>Table 2: Features Included in the Geospatiotemporal Risk Prediction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Feature</w:t>
            </w:r>
          </w:p>
        </w:tc>
        <w:tc>
          <w:tcPr>
            <w:tcW w:type="dxa" w:w="2160"/>
          </w:tcPr>
          <w:p>
            <w:r>
              <w:rPr>
                <w:rFonts w:ascii="Times New Roman" w:hAnsi="Times New Roman"/>
                <w:b/>
                <w:sz w:val="24"/>
              </w:rPr>
              <w:t>Type</w:t>
            </w:r>
          </w:p>
        </w:tc>
        <w:tc>
          <w:tcPr>
            <w:tcW w:type="dxa" w:w="2160"/>
          </w:tcPr>
          <w:p>
            <w:r>
              <w:rPr>
                <w:rFonts w:ascii="Times New Roman" w:hAnsi="Times New Roman"/>
                <w:b/>
                <w:sz w:val="24"/>
              </w:rPr>
              <w:t>Description</w:t>
            </w:r>
          </w:p>
        </w:tc>
        <w:tc>
          <w:tcPr>
            <w:tcW w:type="dxa" w:w="2160"/>
          </w:tcPr>
          <w:p>
            <w:r>
              <w:rPr>
                <w:rFonts w:ascii="Times New Roman" w:hAnsi="Times New Roman"/>
                <w:b/>
                <w:sz w:val="24"/>
              </w:rPr>
              <w:t>Importance Score</w:t>
            </w:r>
          </w:p>
        </w:tc>
      </w:tr>
      <w:tr>
        <w:tc>
          <w:tcPr>
            <w:tcW w:type="dxa" w:w="2160"/>
          </w:tcPr>
          <w:p>
            <w:r>
              <w:rPr>
                <w:rFonts w:ascii="Times New Roman" w:hAnsi="Times New Roman"/>
                <w:sz w:val="24"/>
              </w:rPr>
              <w:t>Prior Year Resistance</w:t>
            </w:r>
          </w:p>
        </w:tc>
        <w:tc>
          <w:tcPr>
            <w:tcW w:type="dxa" w:w="2160"/>
          </w:tcPr>
          <w:p>
            <w:r>
              <w:rPr>
                <w:rFonts w:ascii="Times New Roman" w:hAnsi="Times New Roman"/>
                <w:sz w:val="24"/>
              </w:rPr>
              <w:t>Continuous</w:t>
            </w:r>
          </w:p>
        </w:tc>
        <w:tc>
          <w:tcPr>
            <w:tcW w:type="dxa" w:w="2160"/>
          </w:tcPr>
          <w:p>
            <w:r>
              <w:rPr>
                <w:rFonts w:ascii="Times New Roman" w:hAnsi="Times New Roman"/>
                <w:sz w:val="24"/>
              </w:rPr>
              <w:t>Lagged resistance percentage (t-1)</w:t>
            </w:r>
          </w:p>
        </w:tc>
        <w:tc>
          <w:tcPr>
            <w:tcW w:type="dxa" w:w="2160"/>
          </w:tcPr>
          <w:p>
            <w:r>
              <w:rPr>
                <w:rFonts w:ascii="Times New Roman" w:hAnsi="Times New Roman"/>
                <w:sz w:val="24"/>
              </w:rPr>
              <w:t>0.45</w:t>
            </w:r>
          </w:p>
        </w:tc>
      </w:tr>
      <w:tr>
        <w:tc>
          <w:tcPr>
            <w:tcW w:type="dxa" w:w="2160"/>
          </w:tcPr>
          <w:p>
            <w:r>
              <w:rPr>
                <w:rFonts w:ascii="Times New Roman" w:hAnsi="Times New Roman"/>
                <w:sz w:val="24"/>
              </w:rPr>
              <w:t>Center Name</w:t>
            </w:r>
          </w:p>
        </w:tc>
        <w:tc>
          <w:tcPr>
            <w:tcW w:type="dxa" w:w="2160"/>
          </w:tcPr>
          <w:p>
            <w:r>
              <w:rPr>
                <w:rFonts w:ascii="Times New Roman" w:hAnsi="Times New Roman"/>
                <w:sz w:val="24"/>
              </w:rPr>
              <w:t>Categorical</w:t>
            </w:r>
          </w:p>
        </w:tc>
        <w:tc>
          <w:tcPr>
            <w:tcW w:type="dxa" w:w="2160"/>
          </w:tcPr>
          <w:p>
            <w:r>
              <w:rPr>
                <w:rFonts w:ascii="Times New Roman" w:hAnsi="Times New Roman"/>
                <w:sz w:val="24"/>
              </w:rPr>
              <w:t>Specific hospital code (RC01-RC21)</w:t>
            </w:r>
          </w:p>
        </w:tc>
        <w:tc>
          <w:tcPr>
            <w:tcW w:type="dxa" w:w="2160"/>
          </w:tcPr>
          <w:p>
            <w:r>
              <w:rPr>
                <w:rFonts w:ascii="Times New Roman" w:hAnsi="Times New Roman"/>
                <w:sz w:val="24"/>
              </w:rPr>
              <w:t>0.35</w:t>
            </w:r>
          </w:p>
        </w:tc>
      </w:tr>
      <w:tr>
        <w:tc>
          <w:tcPr>
            <w:tcW w:type="dxa" w:w="2160"/>
          </w:tcPr>
          <w:p>
            <w:r>
              <w:rPr>
                <w:rFonts w:ascii="Times New Roman" w:hAnsi="Times New Roman"/>
                <w:sz w:val="24"/>
              </w:rPr>
              <w:t>Pathogen</w:t>
            </w:r>
          </w:p>
        </w:tc>
        <w:tc>
          <w:tcPr>
            <w:tcW w:type="dxa" w:w="2160"/>
          </w:tcPr>
          <w:p>
            <w:r>
              <w:rPr>
                <w:rFonts w:ascii="Times New Roman" w:hAnsi="Times New Roman"/>
                <w:sz w:val="24"/>
              </w:rPr>
              <w:t>Categorical</w:t>
            </w:r>
          </w:p>
        </w:tc>
        <w:tc>
          <w:tcPr>
            <w:tcW w:type="dxa" w:w="2160"/>
          </w:tcPr>
          <w:p>
            <w:r>
              <w:rPr>
                <w:rFonts w:ascii="Times New Roman" w:hAnsi="Times New Roman"/>
                <w:sz w:val="24"/>
              </w:rPr>
              <w:t>Organism Genus</w:t>
            </w:r>
          </w:p>
        </w:tc>
        <w:tc>
          <w:tcPr>
            <w:tcW w:type="dxa" w:w="2160"/>
          </w:tcPr>
          <w:p>
            <w:r>
              <w:rPr>
                <w:rFonts w:ascii="Times New Roman" w:hAnsi="Times New Roman"/>
                <w:sz w:val="24"/>
              </w:rPr>
              <w:t>0.15</w:t>
            </w:r>
          </w:p>
        </w:tc>
      </w:tr>
      <w:tr>
        <w:tc>
          <w:tcPr>
            <w:tcW w:type="dxa" w:w="2160"/>
          </w:tcPr>
          <w:p>
            <w:r>
              <w:rPr>
                <w:rFonts w:ascii="Times New Roman" w:hAnsi="Times New Roman"/>
                <w:sz w:val="24"/>
              </w:rPr>
              <w:t>Region</w:t>
            </w:r>
          </w:p>
        </w:tc>
        <w:tc>
          <w:tcPr>
            <w:tcW w:type="dxa" w:w="2160"/>
          </w:tcPr>
          <w:p>
            <w:r>
              <w:rPr>
                <w:rFonts w:ascii="Times New Roman" w:hAnsi="Times New Roman"/>
                <w:sz w:val="24"/>
              </w:rPr>
              <w:t>Categorical</w:t>
            </w:r>
          </w:p>
        </w:tc>
        <w:tc>
          <w:tcPr>
            <w:tcW w:type="dxa" w:w="2160"/>
          </w:tcPr>
          <w:p>
            <w:r>
              <w:rPr>
                <w:rFonts w:ascii="Times New Roman" w:hAnsi="Times New Roman"/>
                <w:sz w:val="24"/>
              </w:rPr>
              <w:t>Geographic Zone (North, South, East, West, Central)</w:t>
            </w:r>
          </w:p>
        </w:tc>
        <w:tc>
          <w:tcPr>
            <w:tcW w:type="dxa" w:w="2160"/>
          </w:tcPr>
          <w:p>
            <w:r>
              <w:rPr>
                <w:rFonts w:ascii="Times New Roman" w:hAnsi="Times New Roman"/>
                <w:sz w:val="24"/>
              </w:rPr>
              <w:t>0.05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