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Figures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_trend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Figure 1: Longitudinal trends of antimicrobial resistance in priority pathogens across 21 ICMR-AMRSN Regional Centers (2017-2024). CRKP = Carbapenem-Resistant *Klebsiella pneumoniae*; CREC = Carbapenem-Resistant *Escherichia coli*; MRSA = Methicillin-Resistant *Staphylococcus aureus*.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risk_map_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Figure 2: Heatmap of resistance hotspots across Indian Regional Centers. Darker shades indicate higher carbapenem resistance prevalence. The Northern cluster (Delhi, Chandigarh) and Southern cluster (Vellore) are prominently visible.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gene_preval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Figure 3: Prevalence of key resistance genes and mechanisms among carbapenem-resistant isolates in India. NDM = New Delhi Metallo-beta-lactamase; OXA = Oxacillinase-type beta-lactamase; KPC = *Klebsiella pneumoniae* Carbapenemase.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nular_resistanc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Figure 4: Machine Learning forecast (dashed line) versus actual observation (solid line) for key sentinel centers. The Random Forest model achieved an R-squared of 0.87 on the held-out test set (2022-2024).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ality_i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Figure 5: Correlation between Carbapenem Resistance (%) and aggregate ICU Mortality Rate at the center level. The weak but positive correlation (r=0.10, p=0.08) suggests a potential link between AMR burden and clinical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