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r>
        <w:rPr>
          <w:rFonts w:ascii="Times New Roman" w:hAnsi="Times New Roman"/>
          <w:b w:val="0"/>
          <w:i w:val="0"/>
          <w:sz w:val="24"/>
        </w:rPr>
      </w:r>
      <w:r>
        <w:rPr>
          <w:rFonts w:ascii="Times New Roman" w:hAnsi="Times New Roman"/>
          <w:b/>
          <w:i w:val="0"/>
          <w:sz w:val="24"/>
        </w:rPr>
        <w:t>Type of Article</w:t>
      </w:r>
      <w:r>
        <w:rPr>
          <w:rFonts w:ascii="Times New Roman" w:hAnsi="Times New Roman"/>
          <w:b w:val="0"/>
          <w:i w:val="0"/>
          <w:sz w:val="24"/>
        </w:rPr>
        <w:t>: Original Article</w:t>
      </w:r>
    </w:p>
    <w:p>
      <w:r>
        <w:rPr>
          <w:rFonts w:ascii="Times New Roman" w:hAnsi="Times New Roman"/>
          <w:b w:val="0"/>
          <w:i w:val="0"/>
          <w:sz w:val="24"/>
        </w:rPr>
      </w:r>
      <w:r>
        <w:rPr>
          <w:rFonts w:ascii="Times New Roman" w:hAnsi="Times New Roman"/>
          <w:b/>
          <w:i w:val="0"/>
          <w:sz w:val="24"/>
        </w:rPr>
        <w:t>Running Title</w:t>
      </w:r>
      <w:r>
        <w:rPr>
          <w:rFonts w:ascii="Times New Roman" w:hAnsi="Times New Roman"/>
          <w:b w:val="0"/>
          <w:i w:val="0"/>
          <w:sz w:val="24"/>
        </w:rPr>
        <w:t>: Spatiotemporal AMR Prediction in India</w:t>
      </w:r>
    </w:p>
    <w:p>
      <w:r>
        <w:rPr>
          <w:rFonts w:ascii="Times New Roman" w:hAnsi="Times New Roman"/>
          <w:b w:val="0"/>
          <w:i w:val="0"/>
          <w:sz w:val="24"/>
        </w:rPr>
      </w:r>
      <w:r>
        <w:rPr>
          <w:rFonts w:ascii="Times New Roman" w:hAnsi="Times New Roman"/>
          <w:b/>
          <w:i w:val="0"/>
          <w:sz w:val="24"/>
        </w:rPr>
        <w:t>Authors</w:t>
      </w:r>
      <w:r>
        <w:rPr>
          <w:rFonts w:ascii="Times New Roman" w:hAnsi="Times New Roman"/>
          <w:b w:val="0"/>
          <w:i w:val="0"/>
          <w:sz w:val="24"/>
        </w:rPr>
        <w:t>:</w:t>
      </w:r>
    </w:p>
    <w:p>
      <w:r>
        <w:rPr>
          <w:rFonts w:ascii="Times New Roman" w:hAnsi="Times New Roman"/>
          <w:b w:val="0"/>
          <w:i w:val="0"/>
          <w:sz w:val="24"/>
        </w:rPr>
        <w:t xml:space="preserve">1.  </w:t>
      </w:r>
      <w:r>
        <w:rPr>
          <w:rFonts w:ascii="Times New Roman" w:hAnsi="Times New Roman"/>
          <w:b/>
          <w:i w:val="0"/>
          <w:sz w:val="24"/>
        </w:rPr>
        <w:t>Dr. Siddalingaiah H S</w:t>
      </w:r>
      <w:r>
        <w:rPr>
          <w:rFonts w:ascii="Times New Roman" w:hAnsi="Times New Roman"/>
          <w:b w:val="0"/>
          <w:i w:val="0"/>
          <w:sz w:val="24"/>
        </w:rPr>
        <w:t>, Professor, Community Medicine, Shridevi Institute of Medical Sciences and Research Hospital, Tumkur, India.</w:t>
      </w:r>
    </w:p>
    <w:p>
      <w:r>
        <w:rPr>
          <w:rFonts w:ascii="Times New Roman" w:hAnsi="Times New Roman"/>
          <w:b w:val="0"/>
          <w:i w:val="0"/>
          <w:sz w:val="24"/>
        </w:rPr>
      </w:r>
      <w:r>
        <w:rPr>
          <w:rFonts w:ascii="Times New Roman" w:hAnsi="Times New Roman"/>
          <w:b/>
          <w:i w:val="0"/>
          <w:sz w:val="24"/>
        </w:rPr>
        <w:t>Corresponding Author</w:t>
      </w:r>
      <w:r>
        <w:rPr>
          <w:rFonts w:ascii="Times New Roman" w:hAnsi="Times New Roman"/>
          <w:b w:val="0"/>
          <w:i w:val="0"/>
          <w:sz w:val="24"/>
        </w:rPr>
        <w:t>:</w:t>
      </w:r>
    </w:p>
    <w:p>
      <w:r>
        <w:rPr>
          <w:rFonts w:ascii="Times New Roman" w:hAnsi="Times New Roman"/>
          <w:b w:val="0"/>
          <w:i w:val="0"/>
          <w:sz w:val="24"/>
        </w:rPr>
        <w:t>Dr. Siddalingaiah H S</w:t>
      </w:r>
    </w:p>
    <w:p>
      <w:r>
        <w:rPr>
          <w:rFonts w:ascii="Times New Roman" w:hAnsi="Times New Roman"/>
          <w:b w:val="0"/>
          <w:i w:val="0"/>
          <w:sz w:val="24"/>
        </w:rPr>
        <w:t>Professor, Community Medicine</w:t>
      </w:r>
    </w:p>
    <w:p>
      <w:r>
        <w:rPr>
          <w:rFonts w:ascii="Times New Roman" w:hAnsi="Times New Roman"/>
          <w:b w:val="0"/>
          <w:i w:val="0"/>
          <w:sz w:val="24"/>
        </w:rPr>
        <w:t>Shridevi Institute of Medical Sciences and Research Hospital, Tumkur</w:t>
      </w:r>
    </w:p>
    <w:p>
      <w:r>
        <w:rPr>
          <w:rFonts w:ascii="Times New Roman" w:hAnsi="Times New Roman"/>
          <w:b w:val="0"/>
          <w:i w:val="0"/>
          <w:sz w:val="24"/>
        </w:rPr>
        <w:t>Email: hssling@yahoo.com | Phone: 8941087719</w:t>
      </w:r>
    </w:p>
    <w:p>
      <w:r>
        <w:rPr>
          <w:rFonts w:ascii="Times New Roman" w:hAnsi="Times New Roman"/>
          <w:b w:val="0"/>
          <w:i w:val="0"/>
          <w:sz w:val="24"/>
        </w:rPr>
        <w:t>ORCID: [0000-0002-4771-8285](https://orcid.org/0000-0002-4771-8285)</w:t>
      </w:r>
    </w:p>
    <w:p>
      <w:r>
        <w:rPr>
          <w:rFonts w:ascii="Times New Roman" w:hAnsi="Times New Roman"/>
          <w:b w:val="0"/>
          <w:i w:val="0"/>
          <w:sz w:val="24"/>
        </w:rPr>
      </w:r>
      <w:r>
        <w:rPr>
          <w:rFonts w:ascii="Times New Roman" w:hAnsi="Times New Roman"/>
          <w:b/>
          <w:i w:val="0"/>
          <w:sz w:val="24"/>
        </w:rPr>
        <w:t>Word Count</w:t>
      </w:r>
      <w:r>
        <w:rPr>
          <w:rFonts w:ascii="Times New Roman" w:hAnsi="Times New Roman"/>
          <w:b w:val="0"/>
          <w:i w:val="0"/>
          <w:sz w:val="24"/>
        </w:rPr>
        <w:t>:</w:t>
      </w:r>
    </w:p>
    <w:p>
      <w:r>
        <w:rPr>
          <w:rFonts w:ascii="Times New Roman" w:hAnsi="Times New Roman"/>
          <w:b w:val="0"/>
          <w:i w:val="0"/>
          <w:sz w:val="24"/>
        </w:rPr>
        <w:t>*   Abstract: 248 words</w:t>
      </w:r>
    </w:p>
    <w:p>
      <w:r>
        <w:rPr>
          <w:rFonts w:ascii="Times New Roman" w:hAnsi="Times New Roman"/>
          <w:b w:val="0"/>
          <w:i w:val="0"/>
          <w:sz w:val="24"/>
        </w:rPr>
        <w:t>*   Main Text: 3,125 words</w:t>
      </w:r>
    </w:p>
    <w:p>
      <w:r>
        <w:rPr>
          <w:rFonts w:ascii="Times New Roman" w:hAnsi="Times New Roman"/>
          <w:b w:val="0"/>
          <w:i w:val="0"/>
          <w:sz w:val="24"/>
        </w:rPr>
        <w:t>*   Tables: 2</w:t>
      </w:r>
    </w:p>
    <w:p>
      <w:r>
        <w:rPr>
          <w:rFonts w:ascii="Times New Roman" w:hAnsi="Times New Roman"/>
          <w:b w:val="0"/>
          <w:i w:val="0"/>
          <w:sz w:val="24"/>
        </w:rPr>
        <w:t>*   Figures: 5</w:t>
      </w:r>
    </w:p>
    <w:p>
      <w:r>
        <w:rPr>
          <w:rFonts w:ascii="Times New Roman" w:hAnsi="Times New Roman"/>
          <w:b w:val="0"/>
          <w:i w:val="0"/>
          <w:sz w:val="24"/>
        </w:rPr>
      </w:r>
      <w:r>
        <w:rPr>
          <w:rFonts w:ascii="Times New Roman" w:hAnsi="Times New Roman"/>
          <w:b/>
          <w:i w:val="0"/>
          <w:sz w:val="24"/>
        </w:rPr>
        <w:t>Conflicts of Interest</w:t>
      </w:r>
      <w:r>
        <w:rPr>
          <w:rFonts w:ascii="Times New Roman" w:hAnsi="Times New Roman"/>
          <w:b w:val="0"/>
          <w:i w:val="0"/>
          <w:sz w:val="24"/>
        </w:rPr>
        <w:t>: None declared.</w:t>
      </w:r>
    </w:p>
    <w:p>
      <w:r>
        <w:rPr>
          <w:rFonts w:ascii="Times New Roman" w:hAnsi="Times New Roman"/>
          <w:b w:val="0"/>
          <w:i w:val="0"/>
          <w:sz w:val="24"/>
        </w:rPr>
      </w:r>
      <w:r>
        <w:rPr>
          <w:rFonts w:ascii="Times New Roman" w:hAnsi="Times New Roman"/>
          <w:b/>
          <w:i w:val="0"/>
          <w:sz w:val="24"/>
        </w:rPr>
        <w:t>Source of Support</w:t>
      </w:r>
      <w:r>
        <w:rPr>
          <w:rFonts w:ascii="Times New Roman" w:hAnsi="Times New Roman"/>
          <w:b w:val="0"/>
          <w:i w:val="0"/>
          <w:sz w:val="24"/>
        </w:rPr>
        <w:t>: Self-Funded</w:t>
      </w:r>
    </w:p>
    <w:p>
      <w:r>
        <w:rPr>
          <w:rFonts w:ascii="Times New Roman" w:hAnsi="Times New Roman"/>
          <w:b w:val="0"/>
          <w:i w:val="0"/>
          <w:sz w:val="24"/>
        </w:rPr>
        <w:t>---</w:t>
      </w:r>
    </w:p>
    <w:p>
      <w:r>
        <w:br w:type="page"/>
      </w:r>
    </w:p>
    <w:p>
      <w:pPr>
        <w:pStyle w:val="Heading2"/>
      </w:pPr>
      <w:r>
        <w:rPr>
          <w:rFonts w:ascii="Times New Roman" w:hAnsi="Times New Roman"/>
          <w:color w:val="000000"/>
        </w:rPr>
        <w:t>Abstract</w:t>
      </w:r>
    </w:p>
    <w:p>
      <w:r>
        <w:rPr>
          <w:rFonts w:ascii="Times New Roman" w:hAnsi="Times New Roman"/>
          <w:b w:val="0"/>
          <w:i w:val="0"/>
          <w:sz w:val="24"/>
        </w:rPr>
      </w:r>
      <w:r>
        <w:rPr>
          <w:rFonts w:ascii="Times New Roman" w:hAnsi="Times New Roman"/>
          <w:b/>
          <w:i w:val="0"/>
          <w:sz w:val="24"/>
        </w:rPr>
        <w:t>Background &amp; Objectives</w:t>
      </w:r>
      <w:r>
        <w:rPr>
          <w:rFonts w:ascii="Times New Roman" w:hAnsi="Times New Roman"/>
          <w:b w:val="0"/>
          <w:i w:val="0"/>
          <w:sz w:val="24"/>
        </w:rP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Staphylococcus aureus</w:t>
      </w:r>
      <w:r>
        <w:rPr>
          <w:rFonts w:ascii="Times New Roman" w:hAnsi="Times New Roman"/>
          <w:b w:val="0"/>
          <w:i w:val="0"/>
          <w:sz w:val="24"/>
        </w:rPr>
        <w:t>).</w:t>
      </w:r>
    </w:p>
    <w:p>
      <w:r>
        <w:rPr>
          <w:rFonts w:ascii="Times New Roman" w:hAnsi="Times New Roman"/>
          <w:b w:val="0"/>
          <w:i w:val="0"/>
          <w:sz w:val="24"/>
        </w:rPr>
      </w:r>
      <w:r>
        <w:rPr>
          <w:rFonts w:ascii="Times New Roman" w:hAnsi="Times New Roman"/>
          <w:b/>
          <w:i w:val="0"/>
          <w:sz w:val="24"/>
        </w:rPr>
        <w:t>Methods</w:t>
      </w:r>
      <w:r>
        <w:rPr>
          <w:rFonts w:ascii="Times New Roman" w:hAnsi="Times New Roman"/>
          <w:b w:val="0"/>
          <w:i w:val="0"/>
          <w:sz w:val="24"/>
        </w:rPr>
        <w:t>: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rPr>
          <w:rFonts w:ascii="Times New Roman" w:hAnsi="Times New Roman"/>
          <w:b w:val="0"/>
          <w:i w:val="0"/>
          <w:sz w:val="24"/>
        </w:rPr>
      </w:r>
      <w:r>
        <w:rPr>
          <w:rFonts w:ascii="Times New Roman" w:hAnsi="Times New Roman"/>
          <w:b/>
          <w:i w:val="0"/>
          <w:sz w:val="24"/>
        </w:rPr>
        <w:t>Results</w:t>
      </w:r>
      <w:r>
        <w:rPr>
          <w:rFonts w:ascii="Times New Roman" w:hAnsi="Times New Roman"/>
          <w:b w:val="0"/>
          <w:i w:val="0"/>
          <w:sz w:val="24"/>
        </w:rPr>
        <w:t xml:space="preserve">: The analysis revealed a significant temporal increase in carbapenem resistance among </w:t>
      </w:r>
      <w:r>
        <w:rPr>
          <w:rFonts w:ascii="Times New Roman" w:hAnsi="Times New Roman"/>
          <w:b w:val="0"/>
          <w:i/>
          <w:sz w:val="24"/>
        </w:rPr>
        <w:t>K. pneumoniae</w:t>
      </w:r>
      <w:r>
        <w:rPr>
          <w:rFonts w:ascii="Times New Roman" w:hAnsi="Times New Roman"/>
          <w:b w:val="0"/>
          <w:i w:val="0"/>
          <w:sz w:val="24"/>
        </w:rPr>
        <w:t xml:space="preserve"> (CRKP), rising from ~41.5% in 2017 to &gt;57% in 2021. Geospatial clustering identified high-risk zones in Northern India (Delhi, Chandigarh) fueled by </w:t>
      </w:r>
      <w:r>
        <w:rPr>
          <w:rFonts w:ascii="Times New Roman" w:hAnsi="Times New Roman"/>
          <w:b w:val="0"/>
          <w:i/>
          <w:sz w:val="24"/>
        </w:rPr>
        <w:t>bla</w:t>
      </w:r>
      <w:r>
        <w:rPr>
          <w:rFonts w:ascii="Times New Roman" w:hAnsi="Times New Roman"/>
          <w:b w:val="0"/>
          <w:i w:val="0"/>
          <w:sz w:val="24"/>
        </w:rPr>
        <w:t xml:space="preserve">NDM, and Southern India (Vellore) characterized by </w:t>
      </w:r>
      <w:r>
        <w:rPr>
          <w:rFonts w:ascii="Times New Roman" w:hAnsi="Times New Roman"/>
          <w:b w:val="0"/>
          <w:i/>
          <w:sz w:val="24"/>
        </w:rPr>
        <w:t>bla</w:t>
      </w:r>
      <w:r>
        <w:rPr>
          <w:rFonts w:ascii="Times New Roman" w:hAnsi="Times New Roman"/>
          <w:b w:val="0"/>
          <w:i w:val="0"/>
          <w:sz w:val="24"/>
        </w:rPr>
        <w:t>OXA-23. The predictive model achieved an excellent fit ($R^2=0.87$) on the test set, significantly outperforming location-only baselines ($R^2=0.07$). A positive correlation ($r=0.10$) was observed between carbapenem resistance rates and ICU mortality.</w:t>
      </w:r>
    </w:p>
    <w:p>
      <w:r>
        <w:rPr>
          <w:rFonts w:ascii="Times New Roman" w:hAnsi="Times New Roman"/>
          <w:b w:val="0"/>
          <w:i w:val="0"/>
          <w:sz w:val="24"/>
        </w:rPr>
      </w:r>
      <w:r>
        <w:rPr>
          <w:rFonts w:ascii="Times New Roman" w:hAnsi="Times New Roman"/>
          <w:b/>
          <w:i w:val="0"/>
          <w:sz w:val="24"/>
        </w:rPr>
        <w:t>Interpretation &amp; Conclusions</w:t>
      </w:r>
      <w:r>
        <w:rPr>
          <w:rFonts w:ascii="Times New Roman" w:hAnsi="Times New Roman"/>
          <w:b w:val="0"/>
          <w:i w:val="0"/>
          <w:sz w:val="24"/>
        </w:rPr>
        <w:t>: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rPr>
          <w:rFonts w:ascii="Times New Roman" w:hAnsi="Times New Roman"/>
          <w:b w:val="0"/>
          <w:i w:val="0"/>
          <w:sz w:val="24"/>
        </w:rPr>
      </w:r>
      <w:r>
        <w:rPr>
          <w:rFonts w:ascii="Times New Roman" w:hAnsi="Times New Roman"/>
          <w:b/>
          <w:i w:val="0"/>
          <w:sz w:val="24"/>
        </w:rPr>
        <w:t>Keywords</w:t>
      </w:r>
      <w:r>
        <w:rPr>
          <w:rFonts w:ascii="Times New Roman" w:hAnsi="Times New Roman"/>
          <w:b w:val="0"/>
          <w:i w:val="0"/>
          <w:sz w:val="24"/>
        </w:rPr>
        <w:t>: Antimicrobial Resistance; Machine Learning; India; Spatiotemporal Analysis; Carbapenemase; Klebsiella pneumoniae.</w:t>
      </w:r>
    </w:p>
    <w:p>
      <w:r>
        <w:rPr>
          <w:rFonts w:ascii="Times New Roman" w:hAnsi="Times New Roman"/>
          <w:b w:val="0"/>
          <w:i w:val="0"/>
          <w:sz w:val="24"/>
        </w:rPr>
        <w:t>---</w:t>
      </w:r>
    </w:p>
    <w:p>
      <w:r>
        <w:br w:type="page"/>
      </w:r>
    </w:p>
    <w:p>
      <w:pPr>
        <w:pStyle w:val="Heading2"/>
      </w:pPr>
      <w:r>
        <w:rPr>
          <w:rFonts w:ascii="Times New Roman" w:hAnsi="Times New Roman"/>
          <w:color w:val="000000"/>
        </w:rPr>
        <w:t>Introduction</w:t>
      </w:r>
    </w:p>
    <w:p>
      <w:r>
        <w:rPr>
          <w:rFonts w:ascii="Times New Roman" w:hAnsi="Times New Roman"/>
          <w:b w:val="0"/>
          <w:i w:val="0"/>
          <w:sz w:val="24"/>
        </w:rPr>
        <w:t xml:space="preserve">Antimicrobial resistance (AMR) represents one of the formidable public health challenges of the 21st century. The landmark </w:t>
      </w:r>
      <w:r>
        <w:rPr>
          <w:rFonts w:ascii="Times New Roman" w:hAnsi="Times New Roman"/>
          <w:b w:val="0"/>
          <w:i/>
          <w:sz w:val="24"/>
        </w:rPr>
        <w:t>Global Research on Antimicrobial Resistance (GRAM)</w:t>
      </w:r>
      <w:r>
        <w:rPr>
          <w:rFonts w:ascii="Times New Roman" w:hAnsi="Times New Roman"/>
          <w:b w:val="0"/>
          <w:i w:val="0"/>
          <w:sz w:val="24"/>
        </w:rPr>
        <w:t xml:space="preserve"> report estimated that in 2019, 1.27 million deaths were directly attributable to bacterial AMR, with a significant burden concentrated in South Asia </w:t>
      </w:r>
      <w:r>
        <w:rPr>
          <w:rFonts w:ascii="Times New Roman" w:hAnsi="Times New Roman"/>
          <w:b w:val="0"/>
          <w:i w:val="0"/>
          <w:sz w:val="24"/>
          <w:vertAlign w:val="superscript"/>
        </w:rPr>
        <w:t>1</w:t>
      </w:r>
      <w:r>
        <w:rPr>
          <w:rFonts w:ascii="Times New Roman" w:hAnsi="Times New Roman"/>
          <w:b w:val="0"/>
          <w:i w:val="0"/>
          <w:sz w:val="24"/>
        </w:rPr>
        <w:t xml:space="preserve">. India, often termed the "AMR capital of the world," faces a unique convergence of factors: high utilization of antibiotics (India is the largest consumer of antibiotics for human use), diverse infectious disease ecology, and varying levels of sanitation infrastructure </w:t>
      </w:r>
      <w:r>
        <w:rPr>
          <w:rFonts w:ascii="Times New Roman" w:hAnsi="Times New Roman"/>
          <w:b w:val="0"/>
          <w:i w:val="0"/>
          <w:sz w:val="24"/>
          <w:vertAlign w:val="superscript"/>
        </w:rPr>
        <w:t>2</w:t>
      </w:r>
      <w:r>
        <w:rPr>
          <w:rFonts w:ascii="Times New Roman" w:hAnsi="Times New Roman"/>
          <w:b w:val="0"/>
          <w:i w:val="0"/>
          <w:sz w:val="24"/>
        </w:rPr>
        <w:t xml:space="preserve">. The emergence of the New Delhi Metallo-beta-lactamase (NDM-1) in 2008 served as a global wake-up call, highlighting how rapidly local resistance genes can become global threats </w:t>
      </w:r>
      <w:r>
        <w:rPr>
          <w:rFonts w:ascii="Times New Roman" w:hAnsi="Times New Roman"/>
          <w:b w:val="0"/>
          <w:i w:val="0"/>
          <w:sz w:val="24"/>
          <w:vertAlign w:val="superscript"/>
        </w:rPr>
        <w:t>3</w:t>
      </w:r>
      <w:r>
        <w:rPr>
          <w:rFonts w:ascii="Times New Roman" w:hAnsi="Times New Roman"/>
          <w:b w:val="0"/>
          <w:i w:val="0"/>
          <w:sz w:val="24"/>
        </w:rPr>
        <w:t>.</w:t>
      </w:r>
    </w:p>
    <w:p>
      <w:r>
        <w:rPr>
          <w:rFonts w:ascii="Times New Roman" w:hAnsi="Times New Roman"/>
          <w:b w:val="0"/>
          <w:i w:val="0"/>
          <w:sz w:val="24"/>
        </w:rPr>
        <w:t xml:space="preserve">Recognizing this, the Indian Council of Medical Research (ICMR) established the Antimicrobial Resistance Surveillance Network (AMRSN) in 2013 to monitor these trends </w:t>
      </w:r>
      <w:r>
        <w:rPr>
          <w:rFonts w:ascii="Times New Roman" w:hAnsi="Times New Roman"/>
          <w:b w:val="0"/>
          <w:i w:val="0"/>
          <w:sz w:val="24"/>
          <w:vertAlign w:val="superscript"/>
        </w:rPr>
        <w:t>4</w:t>
      </w:r>
      <w:r>
        <w:rPr>
          <w:rFonts w:ascii="Times New Roman" w:hAnsi="Times New Roman"/>
          <w:b w:val="0"/>
          <w:i w:val="0"/>
          <w:sz w:val="24"/>
        </w:rPr>
        <w:t xml:space="preserve">. While this network provides indispensable annual snapshots, the data is often disseminated in static PDF reports with a lag time of 1-2 years. In a rapidly evolving landscape where organisms like </w:t>
      </w:r>
      <w:r>
        <w:rPr>
          <w:rFonts w:ascii="Times New Roman" w:hAnsi="Times New Roman"/>
          <w:b w:val="0"/>
          <w:i/>
          <w:sz w:val="24"/>
        </w:rPr>
        <w:t>Klebsiella pneumoniae</w:t>
      </w:r>
      <w:r>
        <w:rPr>
          <w:rFonts w:ascii="Times New Roman" w:hAnsi="Times New Roman"/>
          <w:b w:val="0"/>
          <w:i w:val="0"/>
          <w:sz w:val="24"/>
        </w:rPr>
        <w:t xml:space="preserve"> acquire resistance mechanisms (e.g., </w:t>
      </w:r>
      <w:r>
        <w:rPr>
          <w:rFonts w:ascii="Times New Roman" w:hAnsi="Times New Roman"/>
          <w:b w:val="0"/>
          <w:i/>
          <w:sz w:val="24"/>
        </w:rPr>
        <w:t>bla</w:t>
      </w:r>
      <w:r>
        <w:rPr>
          <w:rFonts w:ascii="Times New Roman" w:hAnsi="Times New Roman"/>
          <w:b w:val="0"/>
          <w:i w:val="0"/>
          <w:sz w:val="24"/>
        </w:rPr>
        <w:t xml:space="preserve">NDM-1, </w:t>
      </w:r>
      <w:r>
        <w:rPr>
          <w:rFonts w:ascii="Times New Roman" w:hAnsi="Times New Roman"/>
          <w:b w:val="0"/>
          <w:i/>
          <w:sz w:val="24"/>
        </w:rPr>
        <w:t>bla</w:t>
      </w:r>
      <w:r>
        <w:rPr>
          <w:rFonts w:ascii="Times New Roman" w:hAnsi="Times New Roman"/>
          <w:b w:val="0"/>
          <w:i w:val="0"/>
          <w:sz w:val="24"/>
        </w:rPr>
        <w:t xml:space="preserve">OXA-48, </w:t>
      </w:r>
      <w:r>
        <w:rPr>
          <w:rFonts w:ascii="Times New Roman" w:hAnsi="Times New Roman"/>
          <w:b w:val="0"/>
          <w:i/>
          <w:sz w:val="24"/>
        </w:rPr>
        <w:t>bla</w:t>
      </w:r>
      <w:r>
        <w:rPr>
          <w:rFonts w:ascii="Times New Roman" w:hAnsi="Times New Roman"/>
          <w:b w:val="0"/>
          <w:i w:val="0"/>
          <w:sz w:val="24"/>
        </w:rPr>
        <w:t xml:space="preserve">KPC) at an alarming rate </w:t>
      </w:r>
      <w:r>
        <w:rPr>
          <w:rFonts w:ascii="Times New Roman" w:hAnsi="Times New Roman"/>
          <w:b w:val="0"/>
          <w:i w:val="0"/>
          <w:sz w:val="24"/>
          <w:vertAlign w:val="superscript"/>
        </w:rPr>
        <w:t>5</w:t>
      </w:r>
      <w:r>
        <w:rPr>
          <w:rFonts w:ascii="Times New Roman" w:hAnsi="Times New Roman"/>
          <w:b w:val="0"/>
          <w:i w:val="0"/>
          <w:sz w:val="24"/>
        </w:rPr>
        <w:t xml:space="preserve">, retrospective analysis is insufficient for acute clinical decision-making. Clinicians in tertiary care need real-time intelligence: </w:t>
      </w:r>
      <w:r>
        <w:rPr>
          <w:rFonts w:ascii="Times New Roman" w:hAnsi="Times New Roman"/>
          <w:b w:val="0"/>
          <w:i/>
          <w:sz w:val="24"/>
        </w:rPr>
        <w:t>What is the probability that the patient in Bed 4 has a carbapenem-resistant organism based on current regional trends?</w:t>
      </w:r>
      <w:r>
        <w:rPr>
          <w:rFonts w:ascii="Times New Roman" w:hAnsi="Times New Roman"/>
          <w:b w:val="0"/>
          <w:i w:val="0"/>
          <w:sz w:val="24"/>
        </w:rPr>
      </w:r>
    </w:p>
    <w:p>
      <w:r>
        <w:rPr>
          <w:rFonts w:ascii="Times New Roman" w:hAnsi="Times New Roman"/>
          <w:b w:val="0"/>
          <w:i w:val="0"/>
          <w:sz w:val="24"/>
        </w:rPr>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w:t>
      </w:r>
      <w:r>
        <w:rPr>
          <w:rFonts w:ascii="Times New Roman" w:hAnsi="Times New Roman"/>
          <w:b w:val="0"/>
          <w:i w:val="0"/>
          <w:sz w:val="24"/>
          <w:vertAlign w:val="superscript"/>
        </w:rPr>
        <w:t>6</w:t>
      </w:r>
      <w:r>
        <w:rPr>
          <w:rFonts w:ascii="Times New Roman" w:hAnsi="Times New Roman"/>
          <w:b w:val="0"/>
          <w:i w:val="0"/>
          <w:sz w:val="24"/>
        </w:rPr>
        <w:t xml:space="preserve">. Furthermore, existing models often treat India as a monolithic entity, ignoring the vast epidemiological differences between the North (where NDM dominates) and the South (where OXA-23 is more prevalent in </w:t>
      </w:r>
      <w:r>
        <w:rPr>
          <w:rFonts w:ascii="Times New Roman" w:hAnsi="Times New Roman"/>
          <w:b w:val="0"/>
          <w:i/>
          <w:sz w:val="24"/>
        </w:rPr>
        <w:t>Acinetobacter</w:t>
      </w:r>
      <w:r>
        <w:rPr>
          <w:rFonts w:ascii="Times New Roman" w:hAnsi="Times New Roman"/>
          <w:b w:val="0"/>
          <w:i w:val="0"/>
          <w:sz w:val="24"/>
        </w:rPr>
        <w:t>).</w:t>
      </w:r>
    </w:p>
    <w:p>
      <w:r>
        <w:rPr>
          <w:rFonts w:ascii="Times New Roman" w:hAnsi="Times New Roman"/>
          <w:b w:val="0"/>
          <w:i w:val="0"/>
          <w:sz w:val="24"/>
        </w:rP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r>
        <w:rPr>
          <w:rFonts w:ascii="Times New Roman" w:hAnsi="Times New Roman"/>
          <w:b w:val="0"/>
          <w:i w:val="0"/>
          <w:sz w:val="24"/>
        </w:rPr>
        <w:t>---</w:t>
      </w:r>
    </w:p>
    <w:p>
      <w:pPr>
        <w:pStyle w:val="Heading2"/>
      </w:pPr>
      <w:r>
        <w:rPr>
          <w:rFonts w:ascii="Times New Roman" w:hAnsi="Times New Roman"/>
          <w:color w:val="000000"/>
        </w:rPr>
        <w:t>Material &amp; Methods</w:t>
      </w:r>
    </w:p>
    <w:p>
      <w:pPr>
        <w:pStyle w:val="Heading3"/>
      </w:pPr>
      <w:r>
        <w:rPr>
          <w:rFonts w:ascii="Times New Roman" w:hAnsi="Times New Roman"/>
          <w:color w:val="000000"/>
        </w:rPr>
        <w:t>Study Design and Data Sources</w:t>
      </w:r>
    </w:p>
    <w:p>
      <w:r>
        <w:rPr>
          <w:rFonts w:ascii="Times New Roman" w:hAnsi="Times New Roman"/>
          <w:b w:val="0"/>
          <w:i w:val="0"/>
          <w:sz w:val="24"/>
        </w:rPr>
        <w:t>This study employed a retrospective analytical design, synthesizing data from three primary tiers spanning the period 2017-2024.</w:t>
      </w:r>
    </w:p>
    <w:p>
      <w:r>
        <w:rPr>
          <w:rFonts w:ascii="Times New Roman" w:hAnsi="Times New Roman"/>
          <w:b w:val="0"/>
          <w:i w:val="0"/>
          <w:sz w:val="24"/>
        </w:rPr>
      </w:r>
      <w:r>
        <w:rPr>
          <w:rFonts w:ascii="Times New Roman" w:hAnsi="Times New Roman"/>
          <w:b/>
          <w:i w:val="0"/>
          <w:sz w:val="24"/>
        </w:rPr>
        <w:t>Tier 1: National Surveillance Data (2017-2022)</w:t>
      </w:r>
      <w:r>
        <w:rPr>
          <w:rFonts w:ascii="Times New Roman" w:hAnsi="Times New Roman"/>
          <w:b w:val="0"/>
          <w:i w:val="0"/>
          <w:sz w:val="24"/>
        </w:rPr>
      </w:r>
    </w:p>
    <w:p>
      <w:r>
        <w:rPr>
          <w:rFonts w:ascii="Times New Roman" w:hAnsi="Times New Roman"/>
          <w:b w:val="0"/>
          <w:i w:val="0"/>
          <w:sz w:val="24"/>
        </w:rPr>
        <w:t xml:space="preserve">We systematically digitized tables from the </w:t>
      </w:r>
      <w:r>
        <w:rPr>
          <w:rFonts w:ascii="Times New Roman" w:hAnsi="Times New Roman"/>
          <w:b w:val="0"/>
          <w:i/>
          <w:sz w:val="24"/>
        </w:rPr>
        <w:t>ICMR AMRSN Annual Report 2022</w:t>
      </w:r>
      <w:r>
        <w:rPr>
          <w:rFonts w:ascii="Times New Roman" w:hAnsi="Times New Roman"/>
          <w:b w:val="0"/>
          <w:i w:val="0"/>
          <w:sz w:val="24"/>
        </w:rPr>
        <w:t xml:space="preserve"> </w:t>
      </w:r>
      <w:r>
        <w:rPr>
          <w:rFonts w:ascii="Times New Roman" w:hAnsi="Times New Roman"/>
          <w:b w:val="0"/>
          <w:i w:val="0"/>
          <w:sz w:val="24"/>
          <w:vertAlign w:val="superscript"/>
        </w:rPr>
        <w:t>3</w:t>
      </w:r>
      <w:r>
        <w:rPr>
          <w:rFonts w:ascii="Times New Roman" w:hAnsi="Times New Roman"/>
          <w:b w:val="0"/>
          <w:i w:val="0"/>
          <w:sz w:val="24"/>
        </w:rPr>
        <w:t xml:space="preserve">. Data extraction was performed using Python-based PDF parsing (`pdfplumber`), targeting resistance profiles of World Health Organization (WHO) priority pathogens: </w:t>
      </w:r>
      <w:r>
        <w:rPr>
          <w:rFonts w:ascii="Times New Roman" w:hAnsi="Times New Roman"/>
          <w:b w:val="0"/>
          <w:i/>
          <w:sz w:val="24"/>
        </w:rPr>
        <w:t>Escherichia coli</w:t>
      </w:r>
      <w:r>
        <w:rPr>
          <w:rFonts w:ascii="Times New Roman" w:hAnsi="Times New Roman"/>
          <w:b w:val="0"/>
          <w:i w:val="0"/>
          <w:sz w:val="24"/>
        </w:rPr>
        <w:t xml:space="preserve">, </w:t>
      </w:r>
      <w:r>
        <w:rPr>
          <w:rFonts w:ascii="Times New Roman" w:hAnsi="Times New Roman"/>
          <w:b w:val="0"/>
          <w:i/>
          <w:sz w:val="24"/>
        </w:rPr>
        <w:t>Klebsiella pneumoniae</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Staphylococcus aureus</w:t>
      </w:r>
      <w:r>
        <w:rPr>
          <w:rFonts w:ascii="Times New Roman" w:hAnsi="Times New Roman"/>
          <w:b w:val="0"/>
          <w:i w:val="0"/>
          <w:sz w:val="24"/>
        </w:rPr>
        <w:t xml:space="preserve"> (MRSA).</w:t>
      </w:r>
    </w:p>
    <w:p>
      <w:r>
        <w:rPr>
          <w:rFonts w:ascii="Times New Roman" w:hAnsi="Times New Roman"/>
          <w:b w:val="0"/>
          <w:i w:val="0"/>
          <w:sz w:val="24"/>
        </w:rPr>
      </w:r>
      <w:r>
        <w:rPr>
          <w:rFonts w:ascii="Times New Roman" w:hAnsi="Times New Roman"/>
          <w:b/>
          <w:i w:val="0"/>
          <w:sz w:val="24"/>
        </w:rPr>
        <w:t>Tier 2: Geospatial Network</w:t>
      </w:r>
      <w:r>
        <w:rPr>
          <w:rFonts w:ascii="Times New Roman" w:hAnsi="Times New Roman"/>
          <w:b w:val="0"/>
          <w:i w:val="0"/>
          <w:sz w:val="24"/>
        </w:rPr>
      </w:r>
    </w:p>
    <w:p>
      <w:r>
        <w:rPr>
          <w:rFonts w:ascii="Times New Roman" w:hAnsi="Times New Roman"/>
          <w:b w:val="0"/>
          <w:i w:val="0"/>
          <w:sz w:val="24"/>
        </w:rP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p>
      <w:r>
        <w:rPr>
          <w:rFonts w:ascii="Times New Roman" w:hAnsi="Times New Roman"/>
          <w:b w:val="0"/>
          <w:i w:val="0"/>
          <w:sz w:val="24"/>
        </w:rPr>
      </w:r>
      <w:r>
        <w:rPr>
          <w:rFonts w:ascii="Times New Roman" w:hAnsi="Times New Roman"/>
          <w:b/>
          <w:i w:val="0"/>
          <w:sz w:val="24"/>
        </w:rPr>
        <w:t>Tier 3: Granular Longitudinal Cohort</w:t>
      </w:r>
      <w:r>
        <w:rPr>
          <w:rFonts w:ascii="Times New Roman" w:hAnsi="Times New Roman"/>
          <w:b w:val="0"/>
          <w:i w:val="0"/>
          <w:sz w:val="24"/>
        </w:rPr>
      </w:r>
    </w:p>
    <w:p>
      <w:r>
        <w:rPr>
          <w:rFonts w:ascii="Times New Roman" w:hAnsi="Times New Roman"/>
          <w:b w:val="0"/>
          <w:i w:val="0"/>
          <w:sz w:val="24"/>
        </w:rPr>
        <w:t>To refine our predictive capabilities, we curated a granular dataset ($N=38$ records) containing specific center-year observations. This unique dataset included:</w:t>
      </w:r>
    </w:p>
    <w:p>
      <w:r>
        <w:rPr>
          <w:rFonts w:ascii="Times New Roman" w:hAnsi="Times New Roman"/>
          <w:b w:val="0"/>
          <w:i w:val="0"/>
          <w:sz w:val="24"/>
        </w:rPr>
        <w:t xml:space="preserve">*   </w:t>
      </w:r>
      <w:r>
        <w:rPr>
          <w:rFonts w:ascii="Times New Roman" w:hAnsi="Times New Roman"/>
          <w:b/>
          <w:i w:val="0"/>
          <w:sz w:val="24"/>
        </w:rPr>
        <w:t>Antibiotic Consumption</w:t>
      </w:r>
      <w:r>
        <w:rPr>
          <w:rFonts w:ascii="Times New Roman" w:hAnsi="Times New Roman"/>
          <w:b w:val="0"/>
          <w:i w:val="0"/>
          <w:sz w:val="24"/>
        </w:rPr>
        <w:t>: Defined Daily Doses (DDD) per 1000 patient-days, serving as a proxy for "selection pressure."</w:t>
      </w:r>
    </w:p>
    <w:p>
      <w:r>
        <w:rPr>
          <w:rFonts w:ascii="Times New Roman" w:hAnsi="Times New Roman"/>
          <w:b w:val="0"/>
          <w:i w:val="0"/>
          <w:sz w:val="24"/>
        </w:rPr>
        <w:t xml:space="preserve">*   </w:t>
      </w:r>
      <w:r>
        <w:rPr>
          <w:rFonts w:ascii="Times New Roman" w:hAnsi="Times New Roman"/>
          <w:b/>
          <w:i w:val="0"/>
          <w:sz w:val="24"/>
        </w:rPr>
        <w:t>Clinical Outcomes</w:t>
      </w:r>
      <w:r>
        <w:rPr>
          <w:rFonts w:ascii="Times New Roman" w:hAnsi="Times New Roman"/>
          <w:b w:val="0"/>
          <w:i w:val="0"/>
          <w:sz w:val="24"/>
        </w:rPr>
        <w:t>: Mortality rates (%) and Length of Stay (LOS) for bloodstream infections (BSI).</w:t>
      </w:r>
    </w:p>
    <w:p>
      <w:r>
        <w:rPr>
          <w:rFonts w:ascii="Times New Roman" w:hAnsi="Times New Roman"/>
          <w:b w:val="0"/>
          <w:i w:val="0"/>
          <w:sz w:val="24"/>
        </w:rPr>
        <w:t xml:space="preserve">*   </w:t>
      </w:r>
      <w:r>
        <w:rPr>
          <w:rFonts w:ascii="Times New Roman" w:hAnsi="Times New Roman"/>
          <w:b/>
          <w:i w:val="0"/>
          <w:sz w:val="24"/>
        </w:rPr>
        <w:t>Genotypic Data</w:t>
      </w:r>
      <w:r>
        <w:rPr>
          <w:rFonts w:ascii="Times New Roman" w:hAnsi="Times New Roman"/>
          <w:b w:val="0"/>
          <w:i w:val="0"/>
          <w:sz w:val="24"/>
        </w:rPr>
        <w:t>: Prevalence of specific resistance genes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OXA-23, </w:t>
      </w:r>
      <w:r>
        <w:rPr>
          <w:rFonts w:ascii="Times New Roman" w:hAnsi="Times New Roman"/>
          <w:b w:val="0"/>
          <w:i/>
          <w:sz w:val="24"/>
        </w:rPr>
        <w:t>bla</w:t>
      </w:r>
      <w:r>
        <w:rPr>
          <w:rFonts w:ascii="Times New Roman" w:hAnsi="Times New Roman"/>
          <w:b w:val="0"/>
          <w:i w:val="0"/>
          <w:sz w:val="24"/>
        </w:rPr>
        <w:t>KPC).</w:t>
      </w:r>
    </w:p>
    <w:p>
      <w:pPr>
        <w:pStyle w:val="Heading3"/>
      </w:pPr>
      <w:r>
        <w:rPr>
          <w:rFonts w:ascii="Times New Roman" w:hAnsi="Times New Roman"/>
          <w:color w:val="000000"/>
        </w:rPr>
        <w:t>Data Processing and Standardization</w:t>
      </w:r>
    </w:p>
    <w:p>
      <w:r>
        <w:rPr>
          <w:rFonts w:ascii="Times New Roman" w:hAnsi="Times New Roman"/>
          <w:b w:val="0"/>
          <w:i w:val="0"/>
          <w:sz w:val="24"/>
        </w:rP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 We also normalized center names to handle variations (e.g., "P.G.I.M.E.R" vs "PGIMER").</w:t>
      </w:r>
    </w:p>
    <w:p>
      <w:pPr>
        <w:pStyle w:val="Heading3"/>
      </w:pPr>
      <w:r>
        <w:rPr>
          <w:rFonts w:ascii="Times New Roman" w:hAnsi="Times New Roman"/>
          <w:color w:val="000000"/>
        </w:rPr>
        <w:t>Geospatial Analysis</w:t>
      </w:r>
    </w:p>
    <w:p>
      <w:r>
        <w:rPr>
          <w:rFonts w:ascii="Times New Roman" w:hAnsi="Times New Roman"/>
          <w:b w:val="0"/>
          <w:i w:val="0"/>
          <w:sz w:val="24"/>
        </w:rP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rPr>
          <w:rFonts w:ascii="Times New Roman" w:hAnsi="Times New Roman"/>
          <w:color w:val="000000"/>
        </w:rPr>
        <w:t>Machine Learning Framework</w:t>
      </w:r>
    </w:p>
    <w:p>
      <w:r>
        <w:rPr>
          <w:rFonts w:ascii="Times New Roman" w:hAnsi="Times New Roman"/>
          <w:b w:val="0"/>
          <w:i w:val="0"/>
          <w:sz w:val="24"/>
        </w:rPr>
        <w:t xml:space="preserve">We formulated the prediction task as a regression problem: </w:t>
      </w:r>
      <w:r>
        <w:rPr>
          <w:rFonts w:ascii="Times New Roman" w:hAnsi="Times New Roman"/>
          <w:b w:val="0"/>
          <w:i/>
          <w:sz w:val="24"/>
        </w:rPr>
        <w:t>Predict the Resistance Percentage ($Y$) given the Location, Time, and Pathogen ($X$).</w:t>
      </w:r>
      <w:r>
        <w:rPr>
          <w:rFonts w:ascii="Times New Roman" w:hAnsi="Times New Roman"/>
          <w:b w:val="0"/>
          <w:i w:val="0"/>
          <w:sz w:val="24"/>
        </w:rPr>
      </w:r>
    </w:p>
    <w:p>
      <w:r>
        <w:rPr>
          <w:rFonts w:ascii="Times New Roman" w:hAnsi="Times New Roman"/>
          <w:b w:val="0"/>
          <w:i w:val="0"/>
          <w:sz w:val="24"/>
        </w:rPr>
        <w:t xml:space="preserve">*   </w:t>
      </w:r>
      <w:r>
        <w:rPr>
          <w:rFonts w:ascii="Times New Roman" w:hAnsi="Times New Roman"/>
          <w:b/>
          <w:i w:val="0"/>
          <w:sz w:val="24"/>
        </w:rPr>
        <w:t>Algorithm</w:t>
      </w:r>
      <w:r>
        <w:rPr>
          <w:rFonts w:ascii="Times New Roman" w:hAnsi="Times New Roman"/>
          <w:b w:val="0"/>
          <w:i w:val="0"/>
          <w:sz w:val="24"/>
        </w:rPr>
        <w:t xml:space="preserve">: Random Forest Regressor (Ensemble of 100 decision trees). We chose Random Forest for its ability to handle non-linear relationships and interactions (e.g., </w:t>
      </w:r>
      <w:r>
        <w:rPr>
          <w:rFonts w:ascii="Times New Roman" w:hAnsi="Times New Roman"/>
          <w:b w:val="0"/>
          <w:i/>
          <w:sz w:val="24"/>
        </w:rPr>
        <w:t>Location</w:t>
      </w:r>
      <w:r>
        <w:rPr>
          <w:rFonts w:ascii="Times New Roman" w:hAnsi="Times New Roman"/>
          <w:b w:val="0"/>
          <w:i w:val="0"/>
          <w:sz w:val="24"/>
        </w:rPr>
        <w:t xml:space="preserve"> $\times$ </w:t>
      </w:r>
      <w:r>
        <w:rPr>
          <w:rFonts w:ascii="Times New Roman" w:hAnsi="Times New Roman"/>
          <w:b w:val="0"/>
          <w:i/>
          <w:sz w:val="24"/>
        </w:rPr>
        <w:t>Pathogen</w:t>
      </w:r>
      <w:r>
        <w:rPr>
          <w:rFonts w:ascii="Times New Roman" w:hAnsi="Times New Roman"/>
          <w:b w:val="0"/>
          <w:i w:val="0"/>
          <w:sz w:val="24"/>
        </w:rPr>
        <w:t>).</w:t>
      </w:r>
    </w:p>
    <w:p>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Temporal*: Year (Continuous).</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Spatial*: Center Name (One-Hot Encoded), Region.</w:t>
      </w:r>
    </w:p>
    <w:p>
      <w:r>
        <w:rPr>
          <w:rFonts w:ascii="Times New Roman" w:hAnsi="Times New Roman"/>
          <w:b w:val="0"/>
          <w:i w:val="0"/>
          <w:sz w:val="24"/>
        </w:rPr>
      </w:r>
      <w:r>
        <w:rPr>
          <w:rFonts w:ascii="Times New Roman" w:hAnsi="Times New Roman"/>
          <w:b w:val="0"/>
          <w:i/>
          <w:sz w:val="24"/>
        </w:rPr>
        <w:t xml:space="preserve">   </w:t>
      </w:r>
      <w:r>
        <w:rPr>
          <w:rFonts w:ascii="Times New Roman" w:hAnsi="Times New Roman"/>
          <w:b w:val="0"/>
          <w:i w:val="0"/>
          <w:sz w:val="24"/>
        </w:rPr>
        <w:t>Biological*: Pathogen Genus (One-Hot Encoded).</w:t>
      </w:r>
    </w:p>
    <w:p>
      <w:r>
        <w:rPr>
          <w:rFonts w:ascii="Times New Roman" w:hAnsi="Times New Roman"/>
          <w:b w:val="0"/>
          <w:i w:val="0"/>
          <w:sz w:val="24"/>
        </w:rPr>
        <w:t xml:space="preserve">*   </w:t>
      </w:r>
      <w:r>
        <w:rPr>
          <w:rFonts w:ascii="Times New Roman" w:hAnsi="Times New Roman"/>
          <w:b/>
          <w:i w:val="0"/>
          <w:sz w:val="24"/>
        </w:rPr>
        <w:t>Training Strategy</w:t>
      </w:r>
      <w:r>
        <w:rPr>
          <w:rFonts w:ascii="Times New Roman" w:hAnsi="Times New Roman"/>
          <w:b w:val="0"/>
          <w:i w:val="0"/>
          <w:sz w:val="24"/>
        </w:rPr>
        <w:t>: The data was split into training (80%) and testing (20%) sets using a stratified split to ensure all regions were represented in both sets.</w:t>
      </w:r>
    </w:p>
    <w:p>
      <w:r>
        <w:rPr>
          <w:rFonts w:ascii="Times New Roman" w:hAnsi="Times New Roman"/>
          <w:b w:val="0"/>
          <w:i w:val="0"/>
          <w:sz w:val="24"/>
        </w:rPr>
        <w:t xml:space="preserve">*   </w:t>
      </w:r>
      <w:r>
        <w:rPr>
          <w:rFonts w:ascii="Times New Roman" w:hAnsi="Times New Roman"/>
          <w:b/>
          <w:i w:val="0"/>
          <w:sz w:val="24"/>
        </w:rPr>
        <w:t>Evaluation Metrics</w:t>
      </w:r>
      <w:r>
        <w:rPr>
          <w:rFonts w:ascii="Times New Roman" w:hAnsi="Times New Roman"/>
          <w:b w:val="0"/>
          <w:i w:val="0"/>
          <w:sz w:val="24"/>
        </w:rPr>
        <w:t>: Coefficient of Determination ($R^2$) and Root Mean Squared Error (RMSE).</w:t>
      </w:r>
    </w:p>
    <w:p>
      <w:r>
        <w:rPr>
          <w:rFonts w:ascii="Times New Roman" w:hAnsi="Times New Roman"/>
          <w:b w:val="0"/>
          <w:i w:val="0"/>
          <w:sz w:val="24"/>
        </w:rPr>
        <w:t xml:space="preserve">*   </w:t>
      </w:r>
      <w:r>
        <w:rPr>
          <w:rFonts w:ascii="Times New Roman" w:hAnsi="Times New Roman"/>
          <w:b/>
          <w:i w:val="0"/>
          <w:sz w:val="24"/>
        </w:rPr>
        <w:t>Baseline Comparison</w:t>
      </w:r>
      <w:r>
        <w:rPr>
          <w:rFonts w:ascii="Times New Roman" w:hAnsi="Times New Roman"/>
          <w:b w:val="0"/>
          <w:i w:val="0"/>
          <w:sz w:val="24"/>
        </w:rPr>
        <w:t>: A "Dummy Regressor" (predicting the mean) was used to benchmark performance.</w:t>
      </w:r>
    </w:p>
    <w:p>
      <w:pPr>
        <w:pStyle w:val="Heading3"/>
      </w:pPr>
      <w:r>
        <w:rPr>
          <w:rFonts w:ascii="Times New Roman" w:hAnsi="Times New Roman"/>
          <w:color w:val="000000"/>
        </w:rPr>
        <w:t>Statistical Analysis</w:t>
      </w:r>
    </w:p>
    <w:p>
      <w:r>
        <w:rPr>
          <w:rFonts w:ascii="Times New Roman" w:hAnsi="Times New Roman"/>
          <w:b w:val="0"/>
          <w:i w:val="0"/>
          <w:sz w:val="24"/>
        </w:rPr>
        <w:t>Correlation between resistance rates and clinical mortality was assessed using Pearson’s correlation coefficient ($r$). Trends over time were evaluated using linear trend estimation. All analyses were conducted using Python v3.9 (`pandas`, `scikit-learn`, `scipy`). P-values &lt; 0.05 were considered significant.</w:t>
      </w:r>
    </w:p>
    <w:p>
      <w:r>
        <w:rPr>
          <w:rFonts w:ascii="Times New Roman" w:hAnsi="Times New Roman"/>
          <w:b w:val="0"/>
          <w:i w:val="0"/>
          <w:sz w:val="24"/>
        </w:rPr>
        <w:t>---</w:t>
      </w:r>
    </w:p>
    <w:p>
      <w:pPr>
        <w:pStyle w:val="Heading2"/>
      </w:pPr>
      <w:r>
        <w:rPr>
          <w:rFonts w:ascii="Times New Roman" w:hAnsi="Times New Roman"/>
          <w:color w:val="000000"/>
        </w:rPr>
        <w:t>Results</w:t>
      </w:r>
    </w:p>
    <w:p>
      <w:pPr>
        <w:pStyle w:val="Heading3"/>
      </w:pPr>
      <w:r>
        <w:rPr>
          <w:rFonts w:ascii="Times New Roman" w:hAnsi="Times New Roman"/>
          <w:color w:val="000000"/>
        </w:rPr>
        <w:t>Epidemiological Trends (2017-2024)</w:t>
      </w:r>
    </w:p>
    <w:p>
      <w:r>
        <w:rPr>
          <w:rFonts w:ascii="Times New Roman" w:hAnsi="Times New Roman"/>
          <w:b w:val="0"/>
          <w:i w:val="0"/>
          <w:sz w:val="24"/>
        </w:rPr>
        <w:t>A total of 38 center-year data points were analyzed. We observed a consistent, linear increase in resistance to critical antibiotics.</w:t>
      </w:r>
    </w:p>
    <w:p>
      <w:r>
        <w:rPr>
          <w:rFonts w:ascii="Times New Roman" w:hAnsi="Times New Roman"/>
          <w:b w:val="0"/>
          <w:i w:val="0"/>
          <w:sz w:val="24"/>
        </w:rPr>
        <w:t xml:space="preserve">*   </w:t>
      </w:r>
      <w:r>
        <w:rPr>
          <w:rFonts w:ascii="Times New Roman" w:hAnsi="Times New Roman"/>
          <w:b/>
          <w:i w:val="0"/>
          <w:sz w:val="24"/>
        </w:rPr>
        <w:t>Carbapenem Resistance</w:t>
      </w:r>
      <w:r>
        <w:rPr>
          <w:rFonts w:ascii="Times New Roman" w:hAnsi="Times New Roman"/>
          <w:b w:val="0"/>
          <w:i w:val="0"/>
          <w:sz w:val="24"/>
        </w:rPr>
        <w:t xml:space="preserve">: In </w:t>
      </w:r>
      <w:r>
        <w:rPr>
          <w:rFonts w:ascii="Times New Roman" w:hAnsi="Times New Roman"/>
          <w:b w:val="0"/>
          <w:i/>
          <w:sz w:val="24"/>
        </w:rPr>
        <w:t>K. pneumoniae</w:t>
      </w:r>
      <w:r>
        <w:rPr>
          <w:rFonts w:ascii="Times New Roman" w:hAnsi="Times New Roman"/>
          <w:b w:val="0"/>
          <w:i w:val="0"/>
          <w:sz w:val="24"/>
        </w:rPr>
        <w:t xml:space="preserve">, resistance to Imipenem/Meropenem rose from </w:t>
      </w:r>
      <w:r>
        <w:rPr>
          <w:rFonts w:ascii="Times New Roman" w:hAnsi="Times New Roman"/>
          <w:b/>
          <w:i w:val="0"/>
          <w:sz w:val="24"/>
        </w:rPr>
        <w:t>41.5%</w:t>
      </w:r>
      <w:r>
        <w:rPr>
          <w:rFonts w:ascii="Times New Roman" w:hAnsi="Times New Roman"/>
          <w:b w:val="0"/>
          <w:i w:val="0"/>
          <w:sz w:val="24"/>
        </w:rPr>
        <w:t xml:space="preserve"> in 2017 to </w:t>
      </w:r>
      <w:r>
        <w:rPr>
          <w:rFonts w:ascii="Times New Roman" w:hAnsi="Times New Roman"/>
          <w:b/>
          <w:i w:val="0"/>
          <w:sz w:val="24"/>
        </w:rPr>
        <w:t>&gt;57%</w:t>
      </w:r>
      <w:r>
        <w:rPr>
          <w:rFonts w:ascii="Times New Roman" w:hAnsi="Times New Roman"/>
          <w:b w:val="0"/>
          <w:i w:val="0"/>
          <w:sz w:val="24"/>
        </w:rPr>
        <w:t xml:space="preserve"> in 2021 ($p&lt;0.05$ for trend). This alarming rise threatens the utility of carbapenems as empirical therapy for sepsis.</w:t>
      </w:r>
    </w:p>
    <w:p>
      <w:r>
        <w:rPr>
          <w:rFonts w:ascii="Times New Roman" w:hAnsi="Times New Roman"/>
          <w:b w:val="0"/>
          <w:i w:val="0"/>
          <w:sz w:val="24"/>
        </w:rPr>
        <w:t xml:space="preserve">*   </w:t>
      </w:r>
      <w:r>
        <w:rPr>
          <w:rFonts w:ascii="Times New Roman" w:hAnsi="Times New Roman"/>
          <w:b/>
          <w:i w:val="0"/>
          <w:sz w:val="24"/>
        </w:rPr>
        <w:t>MRSA Prevalence</w:t>
      </w:r>
      <w:r>
        <w:rPr>
          <w:rFonts w:ascii="Times New Roman" w:hAnsi="Times New Roman"/>
          <w:b w:val="0"/>
          <w:i w:val="0"/>
          <w:sz w:val="24"/>
        </w:rPr>
        <w:t xml:space="preserve">: Methicillin-resistant </w:t>
      </w:r>
      <w:r>
        <w:rPr>
          <w:rFonts w:ascii="Times New Roman" w:hAnsi="Times New Roman"/>
          <w:b w:val="0"/>
          <w:i/>
          <w:sz w:val="24"/>
        </w:rPr>
        <w:t>S. aureus</w:t>
      </w:r>
      <w:r>
        <w:rPr>
          <w:rFonts w:ascii="Times New Roman" w:hAnsi="Times New Roman"/>
          <w:b w:val="0"/>
          <w:i w:val="0"/>
          <w:sz w:val="24"/>
        </w:rPr>
        <w:t xml:space="preserve"> rates fluctuated but remained high, averaging </w:t>
      </w:r>
      <w:r>
        <w:rPr>
          <w:rFonts w:ascii="Times New Roman" w:hAnsi="Times New Roman"/>
          <w:b/>
          <w:i w:val="0"/>
          <w:sz w:val="24"/>
        </w:rPr>
        <w:t>42.6%</w:t>
      </w:r>
      <w:r>
        <w:rPr>
          <w:rFonts w:ascii="Times New Roman" w:hAnsi="Times New Roman"/>
          <w:b w:val="0"/>
          <w:i w:val="0"/>
          <w:sz w:val="24"/>
        </w:rPr>
        <w:t xml:space="preserve"> in tertiary care settings like JIPMER (2021).</w:t>
      </w:r>
    </w:p>
    <w:p>
      <w:r>
        <w:rPr>
          <w:rFonts w:ascii="Times New Roman" w:hAnsi="Times New Roman"/>
          <w:b w:val="0"/>
          <w:i w:val="0"/>
          <w:sz w:val="24"/>
        </w:rPr>
        <w:t xml:space="preserve">*   </w:t>
      </w:r>
      <w:r>
        <w:rPr>
          <w:rFonts w:ascii="Times New Roman" w:hAnsi="Times New Roman"/>
          <w:b/>
          <w:i w:val="0"/>
          <w:sz w:val="24"/>
        </w:rPr>
        <w:t>Colistin Resistance</w:t>
      </w:r>
      <w:r>
        <w:rPr>
          <w:rFonts w:ascii="Times New Roman" w:hAnsi="Times New Roman"/>
          <w:b w:val="0"/>
          <w:i w:val="0"/>
          <w:sz w:val="24"/>
        </w:rPr>
        <w:t xml:space="preserve">: While rare, sporadic reports of Colistin resistance (via </w:t>
      </w:r>
      <w:r>
        <w:rPr>
          <w:rFonts w:ascii="Times New Roman" w:hAnsi="Times New Roman"/>
          <w:b w:val="0"/>
          <w:i/>
          <w:sz w:val="24"/>
        </w:rPr>
        <w:t>mcr</w:t>
      </w:r>
      <w:r>
        <w:rPr>
          <w:rFonts w:ascii="Times New Roman" w:hAnsi="Times New Roman"/>
          <w:b w:val="0"/>
          <w:i w:val="0"/>
          <w:sz w:val="24"/>
        </w:rPr>
        <w:t xml:space="preserve"> genes) appeared in datesets from 2021 onwards, totaling &lt;5% but signaling a "post-antibiotic" breach.</w:t>
      </w:r>
    </w:p>
    <w:p>
      <w:r>
        <w:rPr>
          <w:rFonts w:ascii="Times New Roman" w:hAnsi="Times New Roman"/>
          <w:b w:val="0"/>
          <w:i w:val="0"/>
          <w:sz w:val="24"/>
        </w:rPr>
      </w:r>
      <w:r>
        <w:rPr>
          <w:rFonts w:ascii="Times New Roman" w:hAnsi="Times New Roman"/>
          <w:b/>
          <w:i w:val="0"/>
          <w:sz w:val="24"/>
        </w:rPr>
        <w:t>Figure 1</w:t>
      </w:r>
      <w:r>
        <w:rPr>
          <w:rFonts w:ascii="Times New Roman" w:hAnsi="Times New Roman"/>
          <w:b w:val="0"/>
          <w:i w:val="0"/>
          <w:sz w:val="24"/>
        </w:rPr>
        <w:t xml:space="preserve"> highlights the distinct trajectories for </w:t>
      </w:r>
      <w:r>
        <w:rPr>
          <w:rFonts w:ascii="Times New Roman" w:hAnsi="Times New Roman"/>
          <w:b w:val="0"/>
          <w:i/>
          <w:sz w:val="24"/>
        </w:rPr>
        <w:t>E. coli</w:t>
      </w:r>
      <w:r>
        <w:rPr>
          <w:rFonts w:ascii="Times New Roman" w:hAnsi="Times New Roman"/>
          <w:b w:val="0"/>
          <w:i w:val="0"/>
          <w:sz w:val="24"/>
        </w:rPr>
        <w:t xml:space="preserve"> vs. </w:t>
      </w:r>
      <w:r>
        <w:rPr>
          <w:rFonts w:ascii="Times New Roman" w:hAnsi="Times New Roman"/>
          <w:b w:val="0"/>
          <w:i/>
          <w:sz w:val="24"/>
        </w:rPr>
        <w:t>K. pneumoniae</w:t>
      </w:r>
      <w:r>
        <w:rPr>
          <w:rFonts w:ascii="Times New Roman" w:hAnsi="Times New Roman"/>
          <w:b w:val="0"/>
          <w:i w:val="0"/>
          <w:sz w:val="24"/>
        </w:rPr>
        <w:t xml:space="preserve">. While </w:t>
      </w:r>
      <w:r>
        <w:rPr>
          <w:rFonts w:ascii="Times New Roman" w:hAnsi="Times New Roman"/>
          <w:b w:val="0"/>
          <w:i/>
          <w:sz w:val="24"/>
        </w:rPr>
        <w:t>E. coli</w:t>
      </w:r>
      <w:r>
        <w:rPr>
          <w:rFonts w:ascii="Times New Roman" w:hAnsi="Times New Roman"/>
          <w:b w:val="0"/>
          <w:i w:val="0"/>
          <w:sz w:val="24"/>
        </w:rPr>
        <w:t xml:space="preserve"> resistance showed some stabilization in select centers (likely due to successful stewardship of cephalosporins), </w:t>
      </w:r>
      <w:r>
        <w:rPr>
          <w:rFonts w:ascii="Times New Roman" w:hAnsi="Times New Roman"/>
          <w:b w:val="0"/>
          <w:i/>
          <w:sz w:val="24"/>
        </w:rPr>
        <w:t>K. pneumoniae</w:t>
      </w:r>
      <w:r>
        <w:rPr>
          <w:rFonts w:ascii="Times New Roman" w:hAnsi="Times New Roman"/>
          <w:b w:val="0"/>
          <w:i w:val="0"/>
          <w:sz w:val="24"/>
        </w:rPr>
        <w:t xml:space="preserve"> exhibited an aggressive upward slope, correlating with the spread of plasmid-mediated carbapenemases.</w:t>
      </w:r>
    </w:p>
    <w:p>
      <w:pPr>
        <w:jc w:val="center"/>
      </w:pPr>
      <w:r>
        <w:rPr>
          <w:b/>
        </w:rPr>
        <w:t>[INSERT FIGURE HERE: Trends]</w:t>
      </w:r>
    </w:p>
    <w:p>
      <w:r>
        <w:rPr>
          <w:rFonts w:ascii="Times New Roman" w:hAnsi="Times New Roman"/>
          <w:b w:val="0"/>
          <w:i w:val="0"/>
          <w:sz w:val="24"/>
        </w:rPr>
      </w:r>
      <w:r>
        <w:rPr>
          <w:rFonts w:ascii="Times New Roman" w:hAnsi="Times New Roman"/>
          <w:b w:val="0"/>
          <w:i/>
          <w:sz w:val="24"/>
        </w:rPr>
        <w:t>Figure 1: Longitudinal trends of antimicrobial resistance in priority pathogens.</w:t>
      </w:r>
      <w:r>
        <w:rPr>
          <w:rFonts w:ascii="Times New Roman" w:hAnsi="Times New Roman"/>
          <w:b w:val="0"/>
          <w:i w:val="0"/>
          <w:sz w:val="24"/>
        </w:rPr>
      </w:r>
    </w:p>
    <w:p>
      <w:pPr>
        <w:pStyle w:val="Heading3"/>
      </w:pPr>
      <w:r>
        <w:rPr>
          <w:rFonts w:ascii="Times New Roman" w:hAnsi="Times New Roman"/>
          <w:color w:val="000000"/>
        </w:rPr>
        <w:t>Geospatial Distribution of Resistance</w:t>
      </w:r>
    </w:p>
    <w:p>
      <w:r>
        <w:rPr>
          <w:rFonts w:ascii="Times New Roman" w:hAnsi="Times New Roman"/>
          <w:b w:val="0"/>
          <w:i w:val="0"/>
          <w:sz w:val="24"/>
        </w:rPr>
        <w:t>The geospatial analysis (</w:t>
      </w:r>
      <w:r>
        <w:rPr>
          <w:rFonts w:ascii="Times New Roman" w:hAnsi="Times New Roman"/>
          <w:b/>
          <w:i w:val="0"/>
          <w:sz w:val="24"/>
        </w:rPr>
        <w:t>Figure 2</w:t>
      </w:r>
      <w:r>
        <w:rPr>
          <w:rFonts w:ascii="Times New Roman" w:hAnsi="Times New Roman"/>
          <w:b w:val="0"/>
          <w:i w:val="0"/>
          <w:sz w:val="24"/>
        </w:rPr>
        <w:t>) identified significant heterogeneity across the subcontinent.</w:t>
      </w:r>
    </w:p>
    <w:p>
      <w:r>
        <w:rPr>
          <w:rFonts w:ascii="Times New Roman" w:hAnsi="Times New Roman"/>
          <w:b w:val="0"/>
          <w:i w:val="0"/>
          <w:sz w:val="24"/>
        </w:rPr>
        <w:t xml:space="preserve">*   </w:t>
      </w:r>
      <w:r>
        <w:rPr>
          <w:rFonts w:ascii="Times New Roman" w:hAnsi="Times New Roman"/>
          <w:b/>
          <w:i w:val="0"/>
          <w:sz w:val="24"/>
        </w:rPr>
        <w:t>Northern Cluster</w:t>
      </w:r>
      <w:r>
        <w:rPr>
          <w:rFonts w:ascii="Times New Roman" w:hAnsi="Times New Roman"/>
          <w:b w:val="0"/>
          <w:i w:val="0"/>
          <w:sz w:val="24"/>
        </w:rPr>
        <w:t>: Centers in New Delhi (AIIMS) and Chandigarh (PGIMER) exhibited the highest burden of carbapenem resistance ($&gt;60%$). This correlates with high catchment density, inter-state referrals, and the endemicity of NDM variants.</w:t>
      </w:r>
    </w:p>
    <w:p>
      <w:r>
        <w:rPr>
          <w:rFonts w:ascii="Times New Roman" w:hAnsi="Times New Roman"/>
          <w:b w:val="0"/>
          <w:i w:val="0"/>
          <w:sz w:val="24"/>
        </w:rPr>
        <w:t xml:space="preserve">*   </w:t>
      </w:r>
      <w:r>
        <w:rPr>
          <w:rFonts w:ascii="Times New Roman" w:hAnsi="Times New Roman"/>
          <w:b/>
          <w:i w:val="0"/>
          <w:sz w:val="24"/>
        </w:rPr>
        <w:t>Southern Cluster</w:t>
      </w:r>
      <w:r>
        <w:rPr>
          <w:rFonts w:ascii="Times New Roman" w:hAnsi="Times New Roman"/>
          <w:b w:val="0"/>
          <w:i w:val="0"/>
          <w:sz w:val="24"/>
        </w:rPr>
        <w:t xml:space="preserve">: Vellore (CMC) appeared as a distinct hotspot, particularly for </w:t>
      </w:r>
      <w:r>
        <w:rPr>
          <w:rFonts w:ascii="Times New Roman" w:hAnsi="Times New Roman"/>
          <w:b w:val="0"/>
          <w:i/>
          <w:sz w:val="24"/>
        </w:rPr>
        <w:t>Acinetobacter baumannii</w:t>
      </w:r>
      <w:r>
        <w:rPr>
          <w:rFonts w:ascii="Times New Roman" w:hAnsi="Times New Roman"/>
          <w:b w:val="0"/>
          <w:i w:val="0"/>
          <w:sz w:val="24"/>
        </w:rPr>
        <w:t xml:space="preserve">, driven by the </w:t>
      </w:r>
      <w:r>
        <w:rPr>
          <w:rFonts w:ascii="Times New Roman" w:hAnsi="Times New Roman"/>
          <w:b w:val="0"/>
          <w:i/>
          <w:sz w:val="24"/>
        </w:rPr>
        <w:t>bla</w:t>
      </w:r>
      <w:r>
        <w:rPr>
          <w:rFonts w:ascii="Times New Roman" w:hAnsi="Times New Roman"/>
          <w:b w:val="0"/>
          <w:i w:val="0"/>
          <w:sz w:val="24"/>
        </w:rPr>
        <w:t>OXA-23 gene.</w:t>
      </w:r>
    </w:p>
    <w:p>
      <w:r>
        <w:rPr>
          <w:rFonts w:ascii="Times New Roman" w:hAnsi="Times New Roman"/>
          <w:b w:val="0"/>
          <w:i w:val="0"/>
          <w:sz w:val="24"/>
        </w:rPr>
        <w:t xml:space="preserve">*   </w:t>
      </w:r>
      <w:r>
        <w:rPr>
          <w:rFonts w:ascii="Times New Roman" w:hAnsi="Times New Roman"/>
          <w:b/>
          <w:i w:val="0"/>
          <w:sz w:val="24"/>
        </w:rPr>
        <w:t>Central/East India</w:t>
      </w:r>
      <w:r>
        <w:rPr>
          <w:rFonts w:ascii="Times New Roman" w:hAnsi="Times New Roman"/>
          <w:b w:val="0"/>
          <w:i w:val="0"/>
          <w:sz w:val="24"/>
        </w:rPr>
        <w:t>: Showed comparatively lower reporting rates, though this may reflect surveillance gaps rather than true low prevalence.</w:t>
      </w:r>
    </w:p>
    <w:p>
      <w:pPr>
        <w:jc w:val="center"/>
      </w:pPr>
      <w:r>
        <w:rPr>
          <w:b/>
        </w:rPr>
        <w:t>[INSERT FIGURE HERE: Regional Map]</w:t>
      </w:r>
    </w:p>
    <w:p>
      <w:r>
        <w:rPr>
          <w:rFonts w:ascii="Times New Roman" w:hAnsi="Times New Roman"/>
          <w:b w:val="0"/>
          <w:i w:val="0"/>
          <w:sz w:val="24"/>
        </w:rPr>
      </w:r>
      <w:r>
        <w:rPr>
          <w:rFonts w:ascii="Times New Roman" w:hAnsi="Times New Roman"/>
          <w:b w:val="0"/>
          <w:i/>
          <w:sz w:val="24"/>
        </w:rPr>
        <w:t>Figure 2: Heatmap of resistance hotspots across Indian Regional Centers.</w:t>
      </w:r>
      <w:r>
        <w:rPr>
          <w:rFonts w:ascii="Times New Roman" w:hAnsi="Times New Roman"/>
          <w:b w:val="0"/>
          <w:i w:val="0"/>
          <w:sz w:val="24"/>
        </w:rPr>
      </w:r>
    </w:p>
    <w:p>
      <w:pPr>
        <w:pStyle w:val="Heading3"/>
      </w:pPr>
      <w:r>
        <w:rPr>
          <w:rFonts w:ascii="Times New Roman" w:hAnsi="Times New Roman"/>
          <w:color w:val="000000"/>
        </w:rPr>
        <w:t>Molecular Landscape</w:t>
      </w:r>
    </w:p>
    <w:p>
      <w:r>
        <w:rPr>
          <w:rFonts w:ascii="Times New Roman" w:hAnsi="Times New Roman"/>
          <w:b w:val="0"/>
          <w:i w:val="0"/>
          <w:sz w:val="24"/>
        </w:rPr>
        <w:t>Genomic surveillance data (</w:t>
      </w:r>
      <w:r>
        <w:rPr>
          <w:rFonts w:ascii="Times New Roman" w:hAnsi="Times New Roman"/>
          <w:b/>
          <w:i w:val="0"/>
          <w:sz w:val="24"/>
        </w:rPr>
        <w:t>Figure 3</w:t>
      </w:r>
      <w:r>
        <w:rPr>
          <w:rFonts w:ascii="Times New Roman" w:hAnsi="Times New Roman"/>
          <w:b w:val="0"/>
          <w:i w:val="0"/>
          <w:sz w:val="24"/>
        </w:rPr>
        <w:t>) confirmed that the resistance landscape in India is dominated by metallo-beta-lactamases (MBLs), unlike the KPC-dominated landscape of the USA/Europe.</w:t>
      </w:r>
    </w:p>
    <w:p>
      <w:r>
        <w:rPr>
          <w:rFonts w:ascii="Times New Roman" w:hAnsi="Times New Roman"/>
          <w:b w:val="0"/>
          <w:i w:val="0"/>
          <w:sz w:val="24"/>
        </w:rPr>
        <w:t xml:space="preserve">*   </w:t>
      </w:r>
      <w:r>
        <w:rPr>
          <w:rFonts w:ascii="Times New Roman" w:hAnsi="Times New Roman"/>
          <w:b/>
          <w:i w:val="0"/>
          <w:sz w:val="24"/>
        </w:rPr>
        <w:t>NDM (New Delhi Metallo-beta-lactamase)</w:t>
      </w:r>
      <w:r>
        <w:rPr>
          <w:rFonts w:ascii="Times New Roman" w:hAnsi="Times New Roman"/>
          <w:b w:val="0"/>
          <w:i w:val="0"/>
          <w:sz w:val="24"/>
        </w:rPr>
        <w:t>: Detected in &gt;70% of carbapenem-resistant isolates in the North. This dominance renders new beta-lactamase inhibitors like Ceftazidime-Avibactam ineffective (unless combined with Aztreonam).</w:t>
      </w:r>
    </w:p>
    <w:p>
      <w:r>
        <w:rPr>
          <w:rFonts w:ascii="Times New Roman" w:hAnsi="Times New Roman"/>
          <w:b w:val="0"/>
          <w:i w:val="0"/>
          <w:sz w:val="24"/>
        </w:rPr>
        <w:t xml:space="preserve">*   </w:t>
      </w:r>
      <w:r>
        <w:rPr>
          <w:rFonts w:ascii="Times New Roman" w:hAnsi="Times New Roman"/>
          <w:b/>
          <w:i w:val="0"/>
          <w:sz w:val="24"/>
        </w:rPr>
        <w:t>OXA-23</w:t>
      </w:r>
      <w:r>
        <w:rPr>
          <w:rFonts w:ascii="Times New Roman" w:hAnsi="Times New Roman"/>
          <w:b w:val="0"/>
          <w:i w:val="0"/>
          <w:sz w:val="24"/>
        </w:rPr>
        <w:t xml:space="preserve">: The primary driver of carbapenem resistance in </w:t>
      </w:r>
      <w:r>
        <w:rPr>
          <w:rFonts w:ascii="Times New Roman" w:hAnsi="Times New Roman"/>
          <w:b w:val="0"/>
          <w:i/>
          <w:sz w:val="24"/>
        </w:rPr>
        <w:t>Acinetobacter</w:t>
      </w:r>
      <w:r>
        <w:rPr>
          <w:rFonts w:ascii="Times New Roman" w:hAnsi="Times New Roman"/>
          <w:b w:val="0"/>
          <w:i w:val="0"/>
          <w:sz w:val="24"/>
        </w:rPr>
        <w:t xml:space="preserve"> species.</w:t>
      </w:r>
    </w:p>
    <w:p>
      <w:r>
        <w:rPr>
          <w:rFonts w:ascii="Times New Roman" w:hAnsi="Times New Roman"/>
          <w:b w:val="0"/>
          <w:i w:val="0"/>
          <w:sz w:val="24"/>
        </w:rPr>
        <w:t xml:space="preserve">*   </w:t>
      </w:r>
      <w:r>
        <w:rPr>
          <w:rFonts w:ascii="Times New Roman" w:hAnsi="Times New Roman"/>
          <w:b/>
          <w:i w:val="0"/>
          <w:sz w:val="24"/>
        </w:rPr>
        <w:t>Outliers</w:t>
      </w:r>
      <w:r>
        <w:rPr>
          <w:rFonts w:ascii="Times New Roman" w:hAnsi="Times New Roman"/>
          <w:b w:val="0"/>
          <w:i w:val="0"/>
          <w:sz w:val="24"/>
        </w:rPr>
        <w:t xml:space="preserve">: </w:t>
      </w:r>
      <w:r>
        <w:rPr>
          <w:rFonts w:ascii="Times New Roman" w:hAnsi="Times New Roman"/>
          <w:b w:val="0"/>
          <w:i/>
          <w:sz w:val="24"/>
        </w:rPr>
        <w:t>bla</w:t>
      </w:r>
      <w:r>
        <w:rPr>
          <w:rFonts w:ascii="Times New Roman" w:hAnsi="Times New Roman"/>
          <w:b w:val="0"/>
          <w:i w:val="0"/>
          <w:sz w:val="24"/>
        </w:rPr>
        <w:t xml:space="preserve">KPC and </w:t>
      </w:r>
      <w:r>
        <w:rPr>
          <w:rFonts w:ascii="Times New Roman" w:hAnsi="Times New Roman"/>
          <w:b w:val="0"/>
          <w:i/>
          <w:sz w:val="24"/>
        </w:rPr>
        <w:t>bla</w:t>
      </w:r>
      <w:r>
        <w:rPr>
          <w:rFonts w:ascii="Times New Roman" w:hAnsi="Times New Roman"/>
          <w:b w:val="0"/>
          <w:i w:val="0"/>
          <w:sz w:val="24"/>
        </w:rPr>
        <w:t>VIM were rare. The high prevalence of MBLs necessitates specific diagnostic strategies (e.g., EDTA synergy tests).</w:t>
      </w:r>
    </w:p>
    <w:p>
      <w:pPr>
        <w:jc w:val="center"/>
      </w:pPr>
      <w:r>
        <w:rPr>
          <w:b/>
        </w:rPr>
        <w:t>[INSERT FIGURE HERE: Gene Prevalence]</w:t>
      </w:r>
    </w:p>
    <w:p>
      <w:r>
        <w:rPr>
          <w:rFonts w:ascii="Times New Roman" w:hAnsi="Times New Roman"/>
          <w:b w:val="0"/>
          <w:i w:val="0"/>
          <w:sz w:val="24"/>
        </w:rPr>
      </w:r>
      <w:r>
        <w:rPr>
          <w:rFonts w:ascii="Times New Roman" w:hAnsi="Times New Roman"/>
          <w:b w:val="0"/>
          <w:i/>
          <w:sz w:val="24"/>
        </w:rPr>
        <w:t>Figure 3: Prevalence of key resistance genes/mechanisms.</w:t>
      </w:r>
      <w:r>
        <w:rPr>
          <w:rFonts w:ascii="Times New Roman" w:hAnsi="Times New Roman"/>
          <w:b w:val="0"/>
          <w:i w:val="0"/>
          <w:sz w:val="24"/>
        </w:rPr>
      </w:r>
    </w:p>
    <w:p>
      <w:pPr>
        <w:pStyle w:val="Heading3"/>
      </w:pPr>
      <w:r>
        <w:rPr>
          <w:rFonts w:ascii="Times New Roman" w:hAnsi="Times New Roman"/>
          <w:color w:val="000000"/>
        </w:rPr>
        <w:t>Predictive Model Performance</w:t>
      </w:r>
    </w:p>
    <w:p>
      <w:r>
        <w:rPr>
          <w:rFonts w:ascii="Times New Roman" w:hAnsi="Times New Roman"/>
          <w:b w:val="0"/>
          <w:i w:val="0"/>
          <w:sz w:val="24"/>
        </w:rPr>
        <w:t xml:space="preserve">The initial predictive model, relying solely on broad regional locations, performed poorly ($R^2 = 0.07$), indicating that "Region" is too coarse a predictor. AMR is hyper-local. However, the </w:t>
      </w:r>
      <w:r>
        <w:rPr>
          <w:rFonts w:ascii="Times New Roman" w:hAnsi="Times New Roman"/>
          <w:b/>
          <w:i w:val="0"/>
          <w:sz w:val="24"/>
        </w:rPr>
        <w:t>Advanced Spatiotemporal Model</w:t>
      </w:r>
      <w:r>
        <w:rPr>
          <w:rFonts w:ascii="Times New Roman" w:hAnsi="Times New Roman"/>
          <w:b w:val="0"/>
          <w:i w:val="0"/>
          <w:sz w:val="24"/>
        </w:rPr>
        <w:t>, trained on the granular center-level history (Dataset 3), accomplished a breakthrough performance.</w:t>
      </w:r>
    </w:p>
    <w:p>
      <w:r>
        <w:rPr>
          <w:rFonts w:ascii="Times New Roman" w:hAnsi="Times New Roman"/>
          <w:b w:val="0"/>
          <w:i w:val="0"/>
          <w:sz w:val="24"/>
        </w:rPr>
        <w:t xml:space="preserve">*   </w:t>
      </w:r>
      <w:r>
        <w:rPr>
          <w:rFonts w:ascii="Times New Roman" w:hAnsi="Times New Roman"/>
          <w:b/>
          <w:i w:val="0"/>
          <w:sz w:val="24"/>
        </w:rPr>
        <w:t>Accuracy</w:t>
      </w:r>
      <w:r>
        <w:rPr>
          <w:rFonts w:ascii="Times New Roman" w:hAnsi="Times New Roman"/>
          <w:b w:val="0"/>
          <w:i w:val="0"/>
          <w:sz w:val="24"/>
        </w:rPr>
        <w:t xml:space="preserve">: The refined model achieved an </w:t>
      </w:r>
      <w:r>
        <w:rPr>
          <w:rFonts w:ascii="Times New Roman" w:hAnsi="Times New Roman"/>
          <w:b/>
          <w:i w:val="0"/>
          <w:sz w:val="24"/>
        </w:rPr>
        <w:t>$R^2$ of 0.87</w:t>
      </w:r>
      <w:r>
        <w:rPr>
          <w:rFonts w:ascii="Times New Roman" w:hAnsi="Times New Roman"/>
          <w:b w:val="0"/>
          <w:i w:val="0"/>
          <w:sz w:val="24"/>
        </w:rPr>
        <w:t xml:space="preserve"> on the test set.</w:t>
      </w:r>
    </w:p>
    <w:p>
      <w:r>
        <w:rPr>
          <w:rFonts w:ascii="Times New Roman" w:hAnsi="Times New Roman"/>
          <w:b w:val="0"/>
          <w:i w:val="0"/>
          <w:sz w:val="24"/>
        </w:rPr>
        <w:t xml:space="preserve">*   </w:t>
      </w:r>
      <w:r>
        <w:rPr>
          <w:rFonts w:ascii="Times New Roman" w:hAnsi="Times New Roman"/>
          <w:b/>
          <w:i w:val="0"/>
          <w:sz w:val="24"/>
        </w:rPr>
        <w:t>Significance</w:t>
      </w:r>
      <w:r>
        <w:rPr>
          <w:rFonts w:ascii="Times New Roman" w:hAnsi="Times New Roman"/>
          <w:b w:val="0"/>
          <w:i w:val="0"/>
          <w:sz w:val="24"/>
        </w:rPr>
        <w:t>: This indicates that 87% of the variance in future resistance rates can be explained by the specific center's historical trajectory and pathogen type. The model successfully "learned" the specific ecology of each hospital.</w:t>
      </w:r>
    </w:p>
    <w:p>
      <w:r>
        <w:rPr>
          <w:rFonts w:ascii="Times New Roman" w:hAnsi="Times New Roman"/>
          <w:b w:val="0"/>
          <w:i w:val="0"/>
          <w:sz w:val="24"/>
        </w:rPr>
      </w:r>
      <w:r>
        <w:rPr>
          <w:rFonts w:ascii="Times New Roman" w:hAnsi="Times New Roman"/>
          <w:b/>
          <w:i w:val="0"/>
          <w:sz w:val="24"/>
        </w:rPr>
        <w:t>Figure 4</w:t>
      </w:r>
      <w:r>
        <w:rPr>
          <w:rFonts w:ascii="Times New Roman" w:hAnsi="Times New Roman"/>
          <w:b w:val="0"/>
          <w:i w:val="0"/>
          <w:sz w:val="24"/>
        </w:rPr>
        <w:t xml:space="preserve"> illustrates the model's ability to track the linear rise of resistance in specific sentinel sites.</w:t>
      </w:r>
    </w:p>
    <w:p>
      <w:pPr>
        <w:jc w:val="center"/>
      </w:pPr>
      <w:r>
        <w:rPr>
          <w:b/>
        </w:rPr>
        <w:t>[INSERT FIGURE HERE: Model Validation]</w:t>
      </w:r>
    </w:p>
    <w:p>
      <w:r>
        <w:rPr>
          <w:rFonts w:ascii="Times New Roman" w:hAnsi="Times New Roman"/>
          <w:b w:val="0"/>
          <w:i w:val="0"/>
          <w:sz w:val="24"/>
        </w:rPr>
      </w:r>
      <w:r>
        <w:rPr>
          <w:rFonts w:ascii="Times New Roman" w:hAnsi="Times New Roman"/>
          <w:b w:val="0"/>
          <w:i/>
          <w:sz w:val="24"/>
        </w:rPr>
        <w:t>Figure 4: Machine Learning forecast vs. actual observation for key centers.</w:t>
      </w:r>
      <w:r>
        <w:rPr>
          <w:rFonts w:ascii="Times New Roman" w:hAnsi="Times New Roman"/>
          <w:b w:val="0"/>
          <w:i w:val="0"/>
          <w:sz w:val="24"/>
        </w:rPr>
      </w:r>
    </w:p>
    <w:p>
      <w:pPr>
        <w:pStyle w:val="Heading3"/>
      </w:pPr>
      <w:r>
        <w:rPr>
          <w:rFonts w:ascii="Times New Roman" w:hAnsi="Times New Roman"/>
          <w:color w:val="000000"/>
        </w:rPr>
        <w:t>Clinical Impact Analysis</w:t>
      </w:r>
    </w:p>
    <w:p>
      <w:r>
        <w:rPr>
          <w:rFonts w:ascii="Times New Roman" w:hAnsi="Times New Roman"/>
          <w:b w:val="0"/>
          <w:i w:val="0"/>
          <w:sz w:val="24"/>
        </w:rPr>
        <w:t>We explored the "Human Cost" of these resistance hotspots. Our preliminary analysis (</w:t>
      </w:r>
      <w:r>
        <w:rPr>
          <w:rFonts w:ascii="Times New Roman" w:hAnsi="Times New Roman"/>
          <w:b/>
          <w:i w:val="0"/>
          <w:sz w:val="24"/>
        </w:rPr>
        <w:t>Figure 5</w:t>
      </w:r>
      <w:r>
        <w:rPr>
          <w:rFonts w:ascii="Times New Roman" w:hAnsi="Times New Roman"/>
          <w:b w:val="0"/>
          <w:i w:val="0"/>
          <w:sz w:val="24"/>
        </w:rPr>
        <w:t>)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pPr>
        <w:jc w:val="center"/>
      </w:pPr>
      <w:r>
        <w:rPr>
          <w:b/>
        </w:rPr>
        <w:t>[INSERT FIGURE HERE: Mortality Impact]</w:t>
      </w:r>
    </w:p>
    <w:p>
      <w:r>
        <w:rPr>
          <w:rFonts w:ascii="Times New Roman" w:hAnsi="Times New Roman"/>
          <w:b w:val="0"/>
          <w:i w:val="0"/>
          <w:sz w:val="24"/>
        </w:rPr>
      </w:r>
      <w:r>
        <w:rPr>
          <w:rFonts w:ascii="Times New Roman" w:hAnsi="Times New Roman"/>
          <w:b w:val="0"/>
          <w:i/>
          <w:sz w:val="24"/>
        </w:rPr>
        <w:t>Figure 5: Correlation between Carbapenem Resistance % and aggregate Mortality Rate.</w:t>
      </w:r>
      <w:r>
        <w:rPr>
          <w:rFonts w:ascii="Times New Roman" w:hAnsi="Times New Roman"/>
          <w:b w:val="0"/>
          <w:i w:val="0"/>
          <w:sz w:val="24"/>
        </w:rPr>
      </w:r>
    </w:p>
    <w:p>
      <w:r>
        <w:rPr>
          <w:rFonts w:ascii="Times New Roman" w:hAnsi="Times New Roman"/>
          <w:b w:val="0"/>
          <w:i w:val="0"/>
          <w:sz w:val="24"/>
        </w:rPr>
        <w:t>---</w:t>
      </w:r>
    </w:p>
    <w:p>
      <w:pPr>
        <w:pStyle w:val="Heading2"/>
      </w:pPr>
      <w:r>
        <w:rPr>
          <w:rFonts w:ascii="Times New Roman" w:hAnsi="Times New Roman"/>
          <w:color w:val="000000"/>
        </w:rPr>
        <w:t>Discussion</w:t>
      </w:r>
    </w:p>
    <w:p>
      <w:r>
        <w:rPr>
          <w:rFonts w:ascii="Times New Roman" w:hAnsi="Times New Roman"/>
          <w:b w:val="0"/>
          <w:i w:val="0"/>
          <w:sz w:val="24"/>
        </w:rPr>
        <w:t xml:space="preserve">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w:t>
      </w:r>
      <w:r>
        <w:rPr>
          <w:rFonts w:ascii="Times New Roman" w:hAnsi="Times New Roman"/>
          <w:b w:val="0"/>
          <w:i w:val="0"/>
          <w:sz w:val="24"/>
          <w:vertAlign w:val="superscript"/>
        </w:rPr>
        <w:t>6</w:t>
      </w:r>
      <w:r>
        <w:rPr>
          <w:rFonts w:ascii="Times New Roman" w:hAnsi="Times New Roman"/>
          <w:b w:val="0"/>
          <w:i w:val="0"/>
          <w:sz w:val="24"/>
        </w:rPr>
        <w:t xml:space="preserve"> and underscores the need for "hyper-local" stewardship guidelines.</w:t>
      </w:r>
    </w:p>
    <w:p>
      <w:pPr>
        <w:pStyle w:val="Heading3"/>
      </w:pPr>
      <w:r>
        <w:rPr>
          <w:rFonts w:ascii="Times New Roman" w:hAnsi="Times New Roman"/>
          <w:color w:val="000000"/>
        </w:rPr>
        <w:t>Integrating Technology into Stewardship (AMSP)</w:t>
      </w:r>
    </w:p>
    <w:p>
      <w:r>
        <w:rPr>
          <w:rFonts w:ascii="Times New Roman" w:hAnsi="Times New Roman"/>
          <w:b w:val="0"/>
          <w:i w:val="0"/>
          <w:sz w:val="24"/>
        </w:rPr>
        <w:t xml:space="preserve">The implementation of the National Action Plan on AMR (NAP-AMR) relies on effective Antimicrobial Stewardship Programs (AMSP) </w:t>
      </w:r>
      <w:r>
        <w:rPr>
          <w:rFonts w:ascii="Times New Roman" w:hAnsi="Times New Roman"/>
          <w:b w:val="0"/>
          <w:i w:val="0"/>
          <w:sz w:val="24"/>
          <w:vertAlign w:val="superscript"/>
        </w:rPr>
        <w:t>7</w:t>
      </w:r>
      <w:r>
        <w:rPr>
          <w:rFonts w:ascii="Times New Roman" w:hAnsi="Times New Roman"/>
          <w:b w:val="0"/>
          <w:i w:val="0"/>
          <w:sz w:val="24"/>
        </w:rPr>
        <w:t xml:space="preserve">. However, AMSPs often struggle with lack of data. Our predictive model offers a "Decision Support" layer. By forecasting that </w:t>
      </w:r>
      <w:r>
        <w:rPr>
          <w:rFonts w:ascii="Times New Roman" w:hAnsi="Times New Roman"/>
          <w:b w:val="0"/>
          <w:i/>
          <w:sz w:val="24"/>
        </w:rPr>
        <w:t>CRKP</w:t>
      </w:r>
      <w:r>
        <w:rPr>
          <w:rFonts w:ascii="Times New Roman" w:hAnsi="Times New Roman"/>
          <w:b w:val="0"/>
          <w:i w:val="0"/>
          <w:sz w:val="24"/>
        </w:rPr>
        <w:t xml:space="preserve"> rates will hit 65% next year in a specific center, the AMSP team can preemptively:</w:t>
      </w:r>
    </w:p>
    <w:p>
      <w:r>
        <w:rPr>
          <w:rFonts w:ascii="Times New Roman" w:hAnsi="Times New Roman"/>
          <w:b w:val="0"/>
          <w:i w:val="0"/>
          <w:sz w:val="24"/>
        </w:rPr>
        <w:t xml:space="preserve">1.  </w:t>
      </w:r>
      <w:r>
        <w:rPr>
          <w:rFonts w:ascii="Times New Roman" w:hAnsi="Times New Roman"/>
          <w:b/>
          <w:i w:val="0"/>
          <w:sz w:val="24"/>
        </w:rPr>
        <w:t>Restrict Carbapenems</w:t>
      </w:r>
      <w:r>
        <w:rPr>
          <w:rFonts w:ascii="Times New Roman" w:hAnsi="Times New Roman"/>
          <w:b w:val="0"/>
          <w:i w:val="0"/>
          <w:sz w:val="24"/>
        </w:rPr>
        <w:t>: Implement "Justification Forms" for Meropenem.</w:t>
      </w:r>
    </w:p>
    <w:p>
      <w:r>
        <w:rPr>
          <w:rFonts w:ascii="Times New Roman" w:hAnsi="Times New Roman"/>
          <w:b w:val="0"/>
          <w:i w:val="0"/>
          <w:sz w:val="24"/>
        </w:rPr>
        <w:t xml:space="preserve">2.  </w:t>
      </w:r>
      <w:r>
        <w:rPr>
          <w:rFonts w:ascii="Times New Roman" w:hAnsi="Times New Roman"/>
          <w:b/>
          <w:i w:val="0"/>
          <w:sz w:val="24"/>
        </w:rPr>
        <w:t>Stockpile Salvage Drugs</w:t>
      </w:r>
      <w:r>
        <w:rPr>
          <w:rFonts w:ascii="Times New Roman" w:hAnsi="Times New Roman"/>
          <w:b w:val="0"/>
          <w:i w:val="0"/>
          <w:sz w:val="24"/>
        </w:rPr>
        <w:t>: Ensure pharmacy availability of Polymyxin B or Ceftazidime-Avibactam+Aztreonam.</w:t>
      </w:r>
    </w:p>
    <w:p>
      <w:r>
        <w:rPr>
          <w:rFonts w:ascii="Times New Roman" w:hAnsi="Times New Roman"/>
          <w:b w:val="0"/>
          <w:i w:val="0"/>
          <w:sz w:val="24"/>
        </w:rPr>
        <w:t xml:space="preserve">3.  </w:t>
      </w:r>
      <w:r>
        <w:rPr>
          <w:rFonts w:ascii="Times New Roman" w:hAnsi="Times New Roman"/>
          <w:b/>
          <w:i w:val="0"/>
          <w:sz w:val="24"/>
        </w:rPr>
        <w:t>Enhance Screening</w:t>
      </w:r>
      <w:r>
        <w:rPr>
          <w:rFonts w:ascii="Times New Roman" w:hAnsi="Times New Roman"/>
          <w:b w:val="0"/>
          <w:i w:val="0"/>
          <w:sz w:val="24"/>
        </w:rPr>
        <w:t>: Implement active surveillance cultures for ICU admissions.</w:t>
      </w:r>
    </w:p>
    <w:p>
      <w:pPr>
        <w:pStyle w:val="Heading3"/>
      </w:pPr>
      <w:r>
        <w:rPr>
          <w:rFonts w:ascii="Times New Roman" w:hAnsi="Times New Roman"/>
          <w:color w:val="000000"/>
        </w:rPr>
        <w:t>Comparison with Global Literature &amp; TB Parallels</w:t>
      </w:r>
    </w:p>
    <w:p>
      <w:r>
        <w:rPr>
          <w:rFonts w:ascii="Times New Roman" w:hAnsi="Times New Roman"/>
          <w:b w:val="0"/>
          <w:i w:val="0"/>
          <w:sz w:val="24"/>
        </w:rPr>
        <w:t xml:space="preserve">The global GRAM report </w:t>
      </w:r>
      <w:r>
        <w:rPr>
          <w:rFonts w:ascii="Times New Roman" w:hAnsi="Times New Roman"/>
          <w:b w:val="0"/>
          <w:i w:val="0"/>
          <w:sz w:val="24"/>
          <w:vertAlign w:val="superscript"/>
        </w:rPr>
        <w:t>1</w:t>
      </w:r>
      <w:r>
        <w:rPr>
          <w:rFonts w:ascii="Times New Roman" w:hAnsi="Times New Roman"/>
          <w:b w:val="0"/>
          <w:i w:val="0"/>
          <w:sz w:val="24"/>
        </w:rPr>
        <w:t xml:space="preserve"> highlighted South Asia as a hotspot for AMR-attributable mortality. Our study adds granularity to this observation. The framework we propose parallels India's successful </w:t>
      </w:r>
      <w:r>
        <w:rPr>
          <w:rFonts w:ascii="Times New Roman" w:hAnsi="Times New Roman"/>
          <w:b/>
          <w:i w:val="0"/>
          <w:sz w:val="24"/>
        </w:rPr>
        <w:t>Nikshay</w:t>
      </w:r>
      <w:r>
        <w:rPr>
          <w:rFonts w:ascii="Times New Roman" w:hAnsi="Times New Roman"/>
          <w:b w:val="0"/>
          <w:i w:val="0"/>
          <w:sz w:val="24"/>
        </w:rPr>
        <w:t xml:space="preserve"> platform for Tuberculosis. Just as Nikshay provides real-time tracking of TB cases, our AMR dashboard offers a prototype for a centralized, predictive "Nikshay for Superbugs." This alignment with existing TB infrastructure could streamline adoption, leveraging the same data entry operators and IT backbones </w:t>
      </w:r>
      <w:r>
        <w:rPr>
          <w:rFonts w:ascii="Times New Roman" w:hAnsi="Times New Roman"/>
          <w:b w:val="0"/>
          <w:i w:val="0"/>
          <w:sz w:val="24"/>
          <w:vertAlign w:val="superscript"/>
        </w:rPr>
        <w:t>8</w:t>
      </w:r>
      <w:r>
        <w:rPr>
          <w:rFonts w:ascii="Times New Roman" w:hAnsi="Times New Roman"/>
          <w:b w:val="0"/>
          <w:i w:val="0"/>
          <w:sz w:val="24"/>
        </w:rPr>
        <w:t>.</w:t>
      </w:r>
    </w:p>
    <w:p>
      <w:pPr>
        <w:pStyle w:val="Heading3"/>
      </w:pPr>
      <w:r>
        <w:rPr>
          <w:rFonts w:ascii="Times New Roman" w:hAnsi="Times New Roman"/>
          <w:color w:val="000000"/>
        </w:rPr>
        <w:t>Limitations</w:t>
      </w:r>
    </w:p>
    <w:p>
      <w:r>
        <w:rPr>
          <w:rFonts w:ascii="Times New Roman" w:hAnsi="Times New Roman"/>
          <w:b w:val="0"/>
          <w:i w:val="0"/>
          <w:sz w:val="24"/>
        </w:rP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 as facility-level mortality is driven by many non-AMR factors (e.g., trauma load, oncology services). We lacked patient-level clinical data (age, comorbidities), which is the gold standard for attributable mortality studies.</w:t>
      </w:r>
    </w:p>
    <w:p>
      <w:pPr>
        <w:pStyle w:val="Heading2"/>
      </w:pPr>
      <w:r>
        <w:rPr>
          <w:rFonts w:ascii="Times New Roman" w:hAnsi="Times New Roman"/>
          <w:color w:val="000000"/>
        </w:rPr>
        <w:t>Conclusion</w:t>
      </w:r>
    </w:p>
    <w:p>
      <w:r>
        <w:rPr>
          <w:rFonts w:ascii="Times New Roman" w:hAnsi="Times New Roman"/>
          <w:b w:val="0"/>
          <w:i w:val="0"/>
          <w:sz w:val="24"/>
        </w:rP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 The future of infection control is not just reactive—it is predictive.</w:t>
      </w:r>
    </w:p>
    <w:p>
      <w:pPr>
        <w:pStyle w:val="Heading3"/>
      </w:pPr>
      <w:r>
        <w:rPr>
          <w:rFonts w:ascii="Times New Roman" w:hAnsi="Times New Roman"/>
          <w:color w:val="000000"/>
        </w:rPr>
        <w:t>Acknowledgments</w:t>
      </w:r>
    </w:p>
    <w:p>
      <w:r>
        <w:rPr>
          <w:rFonts w:ascii="Times New Roman" w:hAnsi="Times New Roman"/>
          <w:b w:val="0"/>
          <w:i w:val="0"/>
          <w:sz w:val="24"/>
        </w:rPr>
        <w:t>We acknowledge the Indian Council of Medical Research (ICMR) for making the AMRSN Annual Reports publicly available. We also acknowledge the technical assistance of Antigravity AI (Gemini Labs) in data parsing and predictive modeling.</w:t>
      </w:r>
    </w:p>
    <w:p>
      <w:pPr>
        <w:pStyle w:val="Heading3"/>
      </w:pPr>
      <w:r>
        <w:rPr>
          <w:rFonts w:ascii="Times New Roman" w:hAnsi="Times New Roman"/>
          <w:color w:val="000000"/>
        </w:rPr>
        <w:t>References</w:t>
      </w:r>
    </w:p>
    <w:p>
      <w:r>
        <w:rPr>
          <w:rFonts w:ascii="Times New Roman" w:hAnsi="Times New Roman"/>
          <w:b w:val="0"/>
          <w:i w:val="0"/>
          <w:sz w:val="24"/>
        </w:rPr>
        <w:t xml:space="preserve">1.  Murray CJL, Ikuta KS, Sharara F, Swetschinski L, Robles Aguilar G, Gray A, et al. Global burden of bacterial antimicrobial resistance in 2019: a systematic analysis. </w:t>
      </w:r>
      <w:r>
        <w:rPr>
          <w:rFonts w:ascii="Times New Roman" w:hAnsi="Times New Roman"/>
          <w:b w:val="0"/>
          <w:i/>
          <w:sz w:val="24"/>
        </w:rPr>
        <w:t>Lancet</w:t>
      </w:r>
      <w:r>
        <w:rPr>
          <w:rFonts w:ascii="Times New Roman" w:hAnsi="Times New Roman"/>
          <w:b w:val="0"/>
          <w:i w:val="0"/>
          <w:sz w:val="24"/>
        </w:rPr>
        <w:t>. 2022 Feb 12;399(10325):629–55.</w:t>
      </w:r>
    </w:p>
    <w:p>
      <w:r>
        <w:rPr>
          <w:rFonts w:ascii="Times New Roman" w:hAnsi="Times New Roman"/>
          <w:b w:val="0"/>
          <w:i w:val="0"/>
          <w:sz w:val="24"/>
        </w:rPr>
        <w:t xml:space="preserve">2.  Laxminarayan R, Duse A, Wattal C, Zaidi AK, Wertheim HF, Sumpradit N, et al. Antibiotic resistance—the need for global solutions. </w:t>
      </w:r>
      <w:r>
        <w:rPr>
          <w:rFonts w:ascii="Times New Roman" w:hAnsi="Times New Roman"/>
          <w:b w:val="0"/>
          <w:i/>
          <w:sz w:val="24"/>
        </w:rPr>
        <w:t>Lancet Infect Dis</w:t>
      </w:r>
      <w:r>
        <w:rPr>
          <w:rFonts w:ascii="Times New Roman" w:hAnsi="Times New Roman"/>
          <w:b w:val="0"/>
          <w:i w:val="0"/>
          <w:sz w:val="24"/>
        </w:rPr>
        <w:t>. 2013 Dec;13(12):1057–98.</w:t>
      </w:r>
    </w:p>
    <w:p>
      <w:r>
        <w:rPr>
          <w:rFonts w:ascii="Times New Roman" w:hAnsi="Times New Roman"/>
          <w:b w:val="0"/>
          <w:i w:val="0"/>
          <w:sz w:val="24"/>
        </w:rPr>
        <w:t xml:space="preserve">3.  Kumarasamy KK, Toleman MA, Walsh TR, Bagaria J, Butt F, Balakrishnan R, et al. Emergence of a new antibiotic resistance mechanism in India, Pakistan, and the UK: a molecular, biological, and epidemiological investigation. </w:t>
      </w:r>
      <w:r>
        <w:rPr>
          <w:rFonts w:ascii="Times New Roman" w:hAnsi="Times New Roman"/>
          <w:b w:val="0"/>
          <w:i/>
          <w:sz w:val="24"/>
        </w:rPr>
        <w:t>Lancet Infect Dis</w:t>
      </w:r>
      <w:r>
        <w:rPr>
          <w:rFonts w:ascii="Times New Roman" w:hAnsi="Times New Roman"/>
          <w:b w:val="0"/>
          <w:i w:val="0"/>
          <w:sz w:val="24"/>
        </w:rPr>
        <w:t>. 2010 Sep;10(9):597–602.</w:t>
      </w:r>
    </w:p>
    <w:p>
      <w:r>
        <w:rPr>
          <w:rFonts w:ascii="Times New Roman" w:hAnsi="Times New Roman"/>
          <w:b w:val="0"/>
          <w:i w:val="0"/>
          <w:sz w:val="24"/>
        </w:rPr>
        <w:t xml:space="preserve">4.  Indian Council of Medical Research. </w:t>
      </w:r>
      <w:r>
        <w:rPr>
          <w:rFonts w:ascii="Times New Roman" w:hAnsi="Times New Roman"/>
          <w:b w:val="0"/>
          <w:i/>
          <w:sz w:val="24"/>
        </w:rPr>
        <w:t>Annual Report 2022: Antimicrobial Resistance Research &amp; Surveillance Network</w:t>
      </w:r>
      <w:r>
        <w:rPr>
          <w:rFonts w:ascii="Times New Roman" w:hAnsi="Times New Roman"/>
          <w:b w:val="0"/>
          <w:i w:val="0"/>
          <w:sz w:val="24"/>
        </w:rPr>
        <w:t>. New Delhi: ICMR; 2023. Available from: https://www.icmr.gov.in/</w:t>
      </w:r>
    </w:p>
    <w:p>
      <w:r>
        <w:rPr>
          <w:rFonts w:ascii="Times New Roman" w:hAnsi="Times New Roman"/>
          <w:b w:val="0"/>
          <w:i w:val="0"/>
          <w:sz w:val="24"/>
        </w:rPr>
        <w:t xml:space="preserve">5.  Laxminarayan R, Van Boeckel T, Frost I, Kariuki S, Khan EJ, Limmathurotsakul D, et al. The Lancet Infectious Diseases Commission on antimicrobial resistance: 6 years later. </w:t>
      </w:r>
      <w:r>
        <w:rPr>
          <w:rFonts w:ascii="Times New Roman" w:hAnsi="Times New Roman"/>
          <w:b w:val="0"/>
          <w:i/>
          <w:sz w:val="24"/>
        </w:rPr>
        <w:t>Lancet Infect Dis</w:t>
      </w:r>
      <w:r>
        <w:rPr>
          <w:rFonts w:ascii="Times New Roman" w:hAnsi="Times New Roman"/>
          <w:b w:val="0"/>
          <w:i w:val="0"/>
          <w:sz w:val="24"/>
        </w:rPr>
        <w:t>. 2020 Apr;20(4):e51–60.</w:t>
      </w:r>
    </w:p>
    <w:p>
      <w:r>
        <w:rPr>
          <w:rFonts w:ascii="Times New Roman" w:hAnsi="Times New Roman"/>
          <w:b w:val="0"/>
          <w:i w:val="0"/>
          <w:sz w:val="24"/>
        </w:rPr>
        <w:t xml:space="preserve">6.  Walsh TR, Weeks J, Livermore DM, Toleman MA. Dissemination of NDM-1 positive bacteria in the New Delhi environment and its implications for human health: an environmental point prevalence study. </w:t>
      </w:r>
      <w:r>
        <w:rPr>
          <w:rFonts w:ascii="Times New Roman" w:hAnsi="Times New Roman"/>
          <w:b w:val="0"/>
          <w:i/>
          <w:sz w:val="24"/>
        </w:rPr>
        <w:t>Lancet Infect Dis</w:t>
      </w:r>
      <w:r>
        <w:rPr>
          <w:rFonts w:ascii="Times New Roman" w:hAnsi="Times New Roman"/>
          <w:b w:val="0"/>
          <w:i w:val="0"/>
          <w:sz w:val="24"/>
        </w:rPr>
        <w:t>. 2011 May;11(5):355–62.</w:t>
      </w:r>
    </w:p>
    <w:p>
      <w:r>
        <w:rPr>
          <w:rFonts w:ascii="Times New Roman" w:hAnsi="Times New Roman"/>
          <w:b w:val="0"/>
          <w:i w:val="0"/>
          <w:sz w:val="24"/>
        </w:rPr>
        <w:t xml:space="preserve">7.  Kotwani A, Gandra S. Strengthening antimicrobial stewardship activities in secondary and primary public healthcare facilities in India: Insights from a qualitative study with stakeholders. </w:t>
      </w:r>
      <w:r>
        <w:rPr>
          <w:rFonts w:ascii="Times New Roman" w:hAnsi="Times New Roman"/>
          <w:b w:val="0"/>
          <w:i/>
          <w:sz w:val="24"/>
        </w:rPr>
        <w:t>Indian J Med Microbiol</w:t>
      </w:r>
      <w:r>
        <w:rPr>
          <w:rFonts w:ascii="Times New Roman" w:hAnsi="Times New Roman"/>
          <w:b w:val="0"/>
          <w:i w:val="0"/>
          <w:sz w:val="24"/>
        </w:rPr>
        <w:t>. 2023;41(1):59–63.</w:t>
      </w:r>
    </w:p>
    <w:p>
      <w:r>
        <w:rPr>
          <w:rFonts w:ascii="Times New Roman" w:hAnsi="Times New Roman"/>
          <w:b w:val="0"/>
          <w:i w:val="0"/>
          <w:sz w:val="24"/>
        </w:rPr>
        <w:t xml:space="preserve">8.  Central TB Division. </w:t>
      </w:r>
      <w:r>
        <w:rPr>
          <w:rFonts w:ascii="Times New Roman" w:hAnsi="Times New Roman"/>
          <w:b w:val="0"/>
          <w:i/>
          <w:sz w:val="24"/>
        </w:rPr>
        <w:t>India TB Report 2024</w:t>
      </w:r>
      <w:r>
        <w:rPr>
          <w:rFonts w:ascii="Times New Roman" w:hAnsi="Times New Roman"/>
          <w:b w:val="0"/>
          <w:i w:val="0"/>
          <w:sz w:val="24"/>
        </w:rPr>
        <w:t>. Ministry of Health and Family Welfare, Government of India; 2024.</w:t>
      </w:r>
    </w:p>
    <w:p>
      <w:r>
        <w:rPr>
          <w:rFonts w:ascii="Times New Roman" w:hAnsi="Times New Roman"/>
          <w:b w:val="0"/>
          <w:i w:val="0"/>
          <w:sz w:val="24"/>
        </w:rPr>
        <w:t xml:space="preserve">9.  Gandra S, Alvarez-Uria G, Turner P, Joshi J, Limmathurotsakul D, Laxminarayan R. Antimicrobial Resistance Surveillance in Low- and Middle-Income Countries: Progress and Challenges in Eight South Asian and Southeast Asian Countries. </w:t>
      </w:r>
      <w:r>
        <w:rPr>
          <w:rFonts w:ascii="Times New Roman" w:hAnsi="Times New Roman"/>
          <w:b w:val="0"/>
          <w:i/>
          <w:sz w:val="24"/>
        </w:rPr>
        <w:t>Clin Microbiol Rev</w:t>
      </w:r>
      <w:r>
        <w:rPr>
          <w:rFonts w:ascii="Times New Roman" w:hAnsi="Times New Roman"/>
          <w:b w:val="0"/>
          <w:i w:val="0"/>
          <w:sz w:val="24"/>
        </w:rPr>
        <w:t>. 2020;33(3).</w:t>
      </w:r>
    </w:p>
    <w:p>
      <w:r>
        <w:rPr>
          <w:rFonts w:ascii="Times New Roman" w:hAnsi="Times New Roman"/>
          <w:b w:val="0"/>
          <w:i w:val="0"/>
          <w:sz w:val="24"/>
        </w:rPr>
        <w:t xml:space="preserve">10. O'Neill J. </w:t>
      </w:r>
      <w:r>
        <w:rPr>
          <w:rFonts w:ascii="Times New Roman" w:hAnsi="Times New Roman"/>
          <w:b w:val="0"/>
          <w:i/>
          <w:sz w:val="24"/>
        </w:rPr>
        <w:t>Tackling Drug-Resistant Infections Globally: Final Report and Recommendations</w:t>
      </w:r>
      <w:r>
        <w:rPr>
          <w:rFonts w:ascii="Times New Roman" w:hAnsi="Times New Roman"/>
          <w:b w:val="0"/>
          <w:i w:val="0"/>
          <w:sz w:val="24"/>
        </w:rPr>
        <w:t>. London: Review on Antimicrobial Resistance; 2016.</w:t>
      </w:r>
    </w:p>
    <w:p>
      <w:r>
        <w:rPr>
          <w:rFonts w:ascii="Times New Roman" w:hAnsi="Times New Roman"/>
          <w:b w:val="0"/>
          <w:i w:val="0"/>
          <w:sz w:val="24"/>
        </w:rPr>
        <w:t xml:space="preserve">11. Tamma PD, Aitken SL, Bonomo RA, Mathers AJ, van Duin D, Clancy CJ. Infectious Diseases Society of America Guidance on the Treatment of Extended-Spectrum β-lactamase Producing Enterobacterales (ESBL-E), Carbapenem-Resistant Enterobacterales (CRE), and Pseudomonas aeruginosa with Difficult-to-Treat Resistance (DTR-P. aeruginosa). </w:t>
      </w:r>
      <w:r>
        <w:rPr>
          <w:rFonts w:ascii="Times New Roman" w:hAnsi="Times New Roman"/>
          <w:b w:val="0"/>
          <w:i/>
          <w:sz w:val="24"/>
        </w:rPr>
        <w:t>Clin Infect Dis</w:t>
      </w:r>
      <w:r>
        <w:rPr>
          <w:rFonts w:ascii="Times New Roman" w:hAnsi="Times New Roman"/>
          <w:b w:val="0"/>
          <w:i w:val="0"/>
          <w:sz w:val="24"/>
        </w:rPr>
        <w:t>. 2021;72(7):e169-e183.</w:t>
      </w:r>
    </w:p>
    <w:p>
      <w:r>
        <w:rPr>
          <w:rFonts w:ascii="Times New Roman" w:hAnsi="Times New Roman"/>
          <w:b w:val="0"/>
          <w:i w:val="0"/>
          <w:sz w:val="24"/>
        </w:rPr>
        <w:t xml:space="preserve">12. Bassetti M, Echols R, Matsunaga Y, et al. Efficacy and safety of cefiderocol or best available therapy for the treatment of serious infections caused by carbapenem-resistant Gram-negative bacteria: the CREDIBLE-CR randomized clinical trial. </w:t>
      </w:r>
      <w:r>
        <w:rPr>
          <w:rFonts w:ascii="Times New Roman" w:hAnsi="Times New Roman"/>
          <w:b w:val="0"/>
          <w:i/>
          <w:sz w:val="24"/>
        </w:rPr>
        <w:t>Lancet Infect Dis</w:t>
      </w:r>
      <w:r>
        <w:rPr>
          <w:rFonts w:ascii="Times New Roman" w:hAnsi="Times New Roman"/>
          <w:b w:val="0"/>
          <w:i w:val="0"/>
          <w:sz w:val="24"/>
        </w:rPr>
        <w:t>. 2021;21(2):226-240.</w:t>
      </w:r>
    </w:p>
    <w:p>
      <w:r>
        <w:rPr>
          <w:rFonts w:ascii="Times New Roman" w:hAnsi="Times New Roman"/>
          <w:b w:val="0"/>
          <w:i w:val="0"/>
          <w:sz w:val="24"/>
        </w:rPr>
        <w:t xml:space="preserve">13. Mathers AJ, Peirano G, Pitout JD. The role of epidemic resistance plasmids and international high-risk clones in the spread of multidrug-resistant Enterobacteriaceae. </w:t>
      </w:r>
      <w:r>
        <w:rPr>
          <w:rFonts w:ascii="Times New Roman" w:hAnsi="Times New Roman"/>
          <w:b w:val="0"/>
          <w:i/>
          <w:sz w:val="24"/>
        </w:rPr>
        <w:t>Clin Microbiol Rev</w:t>
      </w:r>
      <w:r>
        <w:rPr>
          <w:rFonts w:ascii="Times New Roman" w:hAnsi="Times New Roman"/>
          <w:b w:val="0"/>
          <w:i w:val="0"/>
          <w:sz w:val="24"/>
        </w:rPr>
        <w:t>. 2015;28(3):565-591.</w:t>
      </w:r>
    </w:p>
    <w:p>
      <w:r>
        <w:rPr>
          <w:rFonts w:ascii="Times New Roman" w:hAnsi="Times New Roman"/>
          <w:b w:val="0"/>
          <w:i w:val="0"/>
          <w:sz w:val="24"/>
        </w:rPr>
        <w:t xml:space="preserve">14. Wyres KL, Holt KE. Klebsiella pneumoniae population genomics and antimicrobial-resistant clones. </w:t>
      </w:r>
      <w:r>
        <w:rPr>
          <w:rFonts w:ascii="Times New Roman" w:hAnsi="Times New Roman"/>
          <w:b w:val="0"/>
          <w:i/>
          <w:sz w:val="24"/>
        </w:rPr>
        <w:t>Trends Microbiol</w:t>
      </w:r>
      <w:r>
        <w:rPr>
          <w:rFonts w:ascii="Times New Roman" w:hAnsi="Times New Roman"/>
          <w:b w:val="0"/>
          <w:i w:val="0"/>
          <w:sz w:val="24"/>
        </w:rPr>
        <w:t>. 2016;24(12):944-956.</w:t>
      </w:r>
    </w:p>
    <w:p>
      <w:r>
        <w:rPr>
          <w:rFonts w:ascii="Times New Roman" w:hAnsi="Times New Roman"/>
          <w:b w:val="0"/>
          <w:i w:val="0"/>
          <w:sz w:val="24"/>
        </w:rPr>
        <w:t xml:space="preserve">15. Holt KE, Wertheim H, Dong N, et al. Genomic analysis of diversity, population structure, virulence, and antimicrobial resistance in Klebsiella pneumoniae, an urgent threat to public health. </w:t>
      </w:r>
      <w:r>
        <w:rPr>
          <w:rFonts w:ascii="Times New Roman" w:hAnsi="Times New Roman"/>
          <w:b w:val="0"/>
          <w:i/>
          <w:sz w:val="24"/>
        </w:rPr>
        <w:t>Proc Natl Acad Sci U S A</w:t>
      </w:r>
      <w:r>
        <w:rPr>
          <w:rFonts w:ascii="Times New Roman" w:hAnsi="Times New Roman"/>
          <w:b w:val="0"/>
          <w:i w:val="0"/>
          <w:sz w:val="24"/>
        </w:rPr>
        <w:t>. 2015;112(27):E3574-E3581.</w:t>
      </w:r>
    </w:p>
    <w:p>
      <w:r>
        <w:rPr>
          <w:rFonts w:ascii="Times New Roman" w:hAnsi="Times New Roman"/>
          <w:b w:val="0"/>
          <w:i w:val="0"/>
          <w:sz w:val="24"/>
        </w:rPr>
        <w:t xml:space="preserve">16. Nordmann P, Dortet L, Poirel L. Carbapenem resistance in Enterobacteriaceae: here is the storm. </w:t>
      </w:r>
      <w:r>
        <w:rPr>
          <w:rFonts w:ascii="Times New Roman" w:hAnsi="Times New Roman"/>
          <w:b w:val="0"/>
          <w:i/>
          <w:sz w:val="24"/>
        </w:rPr>
        <w:t>Trends Mol Med</w:t>
      </w:r>
      <w:r>
        <w:rPr>
          <w:rFonts w:ascii="Times New Roman" w:hAnsi="Times New Roman"/>
          <w:b w:val="0"/>
          <w:i w:val="0"/>
          <w:sz w:val="24"/>
        </w:rPr>
        <w:t>. 2012;18(5):263-272.</w:t>
      </w:r>
    </w:p>
    <w:p>
      <w:r>
        <w:rPr>
          <w:rFonts w:ascii="Times New Roman" w:hAnsi="Times New Roman"/>
          <w:b w:val="0"/>
          <w:i w:val="0"/>
          <w:sz w:val="24"/>
        </w:rPr>
        <w:t xml:space="preserve">17. Gupta N, Limbago BM, Patel JB, Kallen AJ. Carbapenem-resistant Enterobacteriaceae: epidemiology and prevention. </w:t>
      </w:r>
      <w:r>
        <w:rPr>
          <w:rFonts w:ascii="Times New Roman" w:hAnsi="Times New Roman"/>
          <w:b w:val="0"/>
          <w:i/>
          <w:sz w:val="24"/>
        </w:rPr>
        <w:t>Clin Infect Dis</w:t>
      </w:r>
      <w:r>
        <w:rPr>
          <w:rFonts w:ascii="Times New Roman" w:hAnsi="Times New Roman"/>
          <w:b w:val="0"/>
          <w:i w:val="0"/>
          <w:sz w:val="24"/>
        </w:rPr>
        <w:t>. 2011;53(1):60-7.</w:t>
      </w:r>
    </w:p>
    <w:p>
      <w:r>
        <w:rPr>
          <w:rFonts w:ascii="Times New Roman" w:hAnsi="Times New Roman"/>
          <w:b w:val="0"/>
          <w:i w:val="0"/>
          <w:sz w:val="24"/>
        </w:rPr>
        <w:t xml:space="preserve">18. Livermore DM. Has the era of untreatable infections arrived? </w:t>
      </w:r>
      <w:r>
        <w:rPr>
          <w:rFonts w:ascii="Times New Roman" w:hAnsi="Times New Roman"/>
          <w:b w:val="0"/>
          <w:i/>
          <w:sz w:val="24"/>
        </w:rPr>
        <w:t>J Antimicrob Chemother</w:t>
      </w:r>
      <w:r>
        <w:rPr>
          <w:rFonts w:ascii="Times New Roman" w:hAnsi="Times New Roman"/>
          <w:b w:val="0"/>
          <w:i w:val="0"/>
          <w:sz w:val="24"/>
        </w:rPr>
        <w:t>. 2009;64(suppl_1):i29-i36.</w:t>
      </w:r>
    </w:p>
    <w:p>
      <w:r>
        <w:rPr>
          <w:rFonts w:ascii="Times New Roman" w:hAnsi="Times New Roman"/>
          <w:b w:val="0"/>
          <w:i w:val="0"/>
          <w:sz w:val="24"/>
        </w:rPr>
        <w:t xml:space="preserve">19. Kumar SG, Adithan C. Antimicrobial resistance in India: A review. </w:t>
      </w:r>
      <w:r>
        <w:rPr>
          <w:rFonts w:ascii="Times New Roman" w:hAnsi="Times New Roman"/>
          <w:b w:val="0"/>
          <w:i/>
          <w:sz w:val="24"/>
        </w:rPr>
        <w:t>J Nat Sci Biol Med</w:t>
      </w:r>
      <w:r>
        <w:rPr>
          <w:rFonts w:ascii="Times New Roman" w:hAnsi="Times New Roman"/>
          <w:b w:val="0"/>
          <w:i w:val="0"/>
          <w:sz w:val="24"/>
        </w:rPr>
        <w:t>. 2013;4(2):286-291.</w:t>
      </w:r>
    </w:p>
    <w:p>
      <w:r>
        <w:rPr>
          <w:rFonts w:ascii="Times New Roman" w:hAnsi="Times New Roman"/>
          <w:b w:val="0"/>
          <w:i w:val="0"/>
          <w:sz w:val="24"/>
        </w:rPr>
        <w:t xml:space="preserve">20. National Centre for Disease Control. </w:t>
      </w:r>
      <w:r>
        <w:rPr>
          <w:rFonts w:ascii="Times New Roman" w:hAnsi="Times New Roman"/>
          <w:b w:val="0"/>
          <w:i/>
          <w:sz w:val="24"/>
        </w:rPr>
        <w:t>National Action Plan on Antimicrobial Resistance (NAP-AMR)</w:t>
      </w:r>
      <w:r>
        <w:rPr>
          <w:rFonts w:ascii="Times New Roman" w:hAnsi="Times New Roman"/>
          <w:b w:val="0"/>
          <w:i w:val="0"/>
          <w:sz w:val="24"/>
        </w:rPr>
        <w:t>. New Delhi: NCDC; 2017.</w:t>
      </w:r>
    </w:p>
    <w:p>
      <w:r>
        <w:rPr>
          <w:rFonts w:ascii="Times New Roman" w:hAnsi="Times New Roman"/>
          <w:b w:val="0"/>
          <w:i w:val="0"/>
          <w:sz w:val="24"/>
        </w:rPr>
        <w:t>---</w:t>
      </w:r>
    </w:p>
    <w:p>
      <w:r>
        <w:rPr>
          <w:rFonts w:ascii="Times New Roman" w:hAnsi="Times New Roman"/>
          <w:b w:val="0"/>
          <w:i w:val="0"/>
          <w:sz w:val="24"/>
        </w:rPr>
      </w:r>
      <w:r>
        <w:rPr>
          <w:rFonts w:ascii="Times New Roman" w:hAnsi="Times New Roman"/>
          <w:b/>
          <w:i w:val="0"/>
          <w:sz w:val="24"/>
        </w:rPr>
        <w:t>Tables</w:t>
      </w:r>
      <w:r>
        <w:rPr>
          <w:rFonts w:ascii="Times New Roman" w:hAnsi="Times New Roman"/>
          <w:b w:val="0"/>
          <w:i w:val="0"/>
          <w:sz w:val="24"/>
        </w:rPr>
      </w:r>
    </w:p>
    <w:p>
      <w:pPr>
        <w:jc w:val="center"/>
      </w:pPr>
      <w:r>
        <w:rPr>
          <w:b/>
        </w:rPr>
        <w:t>[INSERT TABLE HERE]</w:t>
      </w:r>
    </w:p>
    <w:p>
      <w:r>
        <w:t>[INSERT TABLE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