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Table 1: Regional Distribution of Sentinel Centers and Key Resistance Patterns.</w:t>
      </w:r>
      <w:r>
        <w:rPr>
          <w:rFonts w:ascii="Times New Roman" w:hAnsi="Times New Roman"/>
          <w:b w:val="0"/>
          <w:i w:val="0"/>
          <w:sz w:val="2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Region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Sentinel Center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Predominant Pathogen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Key Resistance Mech.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Carbapenem Res. (%)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North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AIIMS New Delhi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 w:val="0"/>
                <w:i/>
                <w:sz w:val="24"/>
              </w:rPr>
              <w:t>K. pneumoniae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NDM, OXA-48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63.5%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North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PGIMER Chandigarh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 w:val="0"/>
                <w:i/>
                <w:sz w:val="24"/>
              </w:rPr>
              <w:t>A. baumannii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NDM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71.0%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South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CMC Vellore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 w:val="0"/>
                <w:i/>
                <w:sz w:val="24"/>
              </w:rPr>
              <w:t>K. pneumoniae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OXA-23, VIM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36.0%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South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JIPMER Puducherry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 w:val="0"/>
                <w:i/>
                <w:sz w:val="24"/>
              </w:rPr>
              <w:t>S. aureus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mecA (MRSA)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42.6%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West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PD Hinduja Mumbai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 w:val="0"/>
                <w:i/>
                <w:sz w:val="24"/>
              </w:rPr>
              <w:t>E. coli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ESBL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28.0%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Table 2: Features Included in the Geospatiotemporal Risk Model.</w:t>
      </w:r>
      <w:r>
        <w:rPr>
          <w:rFonts w:ascii="Times New Roman" w:hAnsi="Times New Roman"/>
          <w:b w:val="0"/>
          <w:i w:val="0"/>
          <w:sz w:val="2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Importance Score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Time (Year)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Continuous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Year of surveillance (2017-2024)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0.45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Center Name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Categorical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Specific hospital code (RC01-RC21)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Pathogen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Categorical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Organism Genus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Region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Categorical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Geographic Zone (North, South, etc.)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