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Supplementary Material</w:t>
      </w:r>
    </w:p>
    <w:p>
      <w:r>
        <w:t>**Article Title**: Spatiotemporal Modeling of Antimicrobial Resistance Hotspots in India (2017-2024): Integrating Genomic Surveillance with Longitudinal Predictive Analytics</w:t>
      </w:r>
    </w:p>
    <w:p>
      <w:r>
        <w:t>**Authors**: Dr. Siddalingaiah H S et al.</w:t>
      </w:r>
    </w:p>
    <w:p>
      <w:r>
        <w:t>**Target Journal**: Indian Journal of Medical Research</w:t>
      </w:r>
    </w:p>
    <w:p>
      <w:r>
        <w:t>---</w:t>
      </w:r>
    </w:p>
    <w:p>
      <w:pPr>
        <w:pStyle w:val="Heading2"/>
      </w:pPr>
      <w:r>
        <w:t>S1. Detailed Methodology</w:t>
      </w:r>
    </w:p>
    <w:p>
      <w:pPr>
        <w:pStyle w:val="Heading3"/>
      </w:pPr>
      <w:r>
        <w:t>S1.1 Data Ingestion Pipeline (RASS)</w:t>
      </w:r>
    </w:p>
    <w:p>
      <w:r>
        <w:t>The "Real-Time AMR Surveillance System" (RASS) integrates three tiers of data into a unified SQL-compatible structure.</w:t>
      </w:r>
    </w:p>
    <w:p>
      <w:r>
        <w:t>**Tier 1: ICMR Annual Reports (2017-2022)**</w:t>
      </w:r>
    </w:p>
    <w:p>
      <w:r>
        <w:t>*   **Source**: Publicly available PDF reports from the ICMR-AMRSN website.</w:t>
      </w:r>
    </w:p>
    <w:p>
      <w:r>
        <w:t>*   **Extraction Method**: We utilized Optical Character Recognition (OCR) and PDF table extraction algorithms (`pdfplumber` v0.5.28, `tabula-py` v2.2.0).</w:t>
      </w:r>
    </w:p>
    <w:p>
      <w:r>
        <w:t>*   **Quality Control**: Validation was performed by manual spot-checking of 50 randomly selected rows against the source PDF, yielding an accuracy of &gt;98%. Ambiguous entries (e.g., "Intermediate/Resistant") were classified conservatively as Resistant.</w:t>
      </w:r>
    </w:p>
    <w:p>
      <w:r>
        <w:t>**Tier 2: Longitudinal Granular Cohort**</w:t>
      </w:r>
    </w:p>
    <w:p>
      <w:r>
        <w:t>*   **Sample Size**: $N=38$ center-year records.</w:t>
      </w:r>
    </w:p>
    <w:p>
      <w:r>
        <w:t>*   **Key Variables**:</w:t>
      </w:r>
    </w:p>
    <w:p>
      <w:r>
        <w:t>*   *Pathogen*: *E. coli*, *K. pneumoniae*, *A. baumannii*, *S. aureus*.</w:t>
      </w:r>
    </w:p>
    <w:p>
      <w:r>
        <w:t>*   *Antibiotic*: Carbapenems (Imipenem, Meropenem), Cephalosporins (Cefotaxime), Aminoglycosides (Amikacin).</w:t>
      </w:r>
    </w:p>
    <w:p>
      <w:r>
        <w:t>*   *Consumption*: Defined Daily Doses (DDD) per 1000 inpatient-days.</w:t>
      </w:r>
    </w:p>
    <w:p>
      <w:r>
        <w:t>*   *Clinical Outcomes*: All-cause Mortality (%) and median Length of Stay (LOS).</w:t>
      </w:r>
    </w:p>
    <w:p>
      <w:r>
        <w:t>**Tier 3: Geospatial Network**</w:t>
      </w:r>
    </w:p>
    <w:p>
      <w:r>
        <w:t>*   **Geocoding**: Coordinates were obtained via the Google Maps Geocoding API for each of the 21 Regional Centers (RCs).</w:t>
      </w:r>
    </w:p>
    <w:p>
      <w:r>
        <w:t>*   **Clustering**: Spatial clustering was performed using DBSCAN (Density-Based Spatial Clustering of Applications with Noise) to identify high-density resistance zones.</w:t>
      </w:r>
    </w:p>
    <w:p>
      <w:pPr>
        <w:pStyle w:val="Heading3"/>
      </w:pPr>
      <w:r>
        <w:t>S1.2 Machine Learning Model Implementation</w:t>
      </w:r>
    </w:p>
    <w:p>
      <w:r>
        <w:t>**Algorithm Selection**:</w:t>
      </w:r>
    </w:p>
    <w:p>
      <w:r>
        <w:t>We selected a Random Forest Regressor due to its robustness against overfitting on small datasets and ability to handle non-linear interactions between space and time.</w:t>
      </w:r>
    </w:p>
    <w:p>
      <w:r>
        <w:t>**Feature Engineering**:</w:t>
      </w:r>
    </w:p>
    <w:p>
      <w:r>
        <w:t>1.  **Temporal**: `Year` as a continuous variable.</w:t>
      </w:r>
    </w:p>
    <w:p>
      <w:r>
        <w:t>2.  **Spatial**: `Center_Name` (21 levels) encoded using One-Hot Encoding; `Region` (North, South, East, West, Central).</w:t>
      </w:r>
    </w:p>
    <w:p>
      <w:r>
        <w:t>3.  **Biological**: `Pathogen_Genus` (Klebsiella, Escherichia, Acinetobacter, Staphylococcus).</w:t>
      </w:r>
    </w:p>
    <w:p>
      <w:r>
        <w:t>**Hyperparameter Tuning**:</w:t>
      </w:r>
    </w:p>
    <w:p>
      <w:r>
        <w:t>Grid Search Cross-Validation (5-fold) was used to optimize the model.</w:t>
      </w:r>
    </w:p>
    <w:p>
      <w:r>
        <w:t>*   `n_estimators`: 100 (Chosen based on learning curve stability, see Figure S1)</w:t>
      </w:r>
    </w:p>
    <w:p>
      <w:r>
        <w:t>*   `max_depth`: None (allowing full growth)</w:t>
      </w:r>
    </w:p>
    <w:p>
      <w:r>
        <w:t>*   `min_samples_split`: 2</w:t>
      </w:r>
    </w:p>
    <w:p>
      <w:r>
        <w:t>*   `max_features`: 'sqrt'</w:t>
      </w:r>
    </w:p>
    <w:p>
      <w:r>
        <w:t>**Validation Metrics**:</w:t>
      </w:r>
    </w:p>
    <w:p>
      <w:r>
        <w:t>*   **$R^2$ (Coefficient of Determination)**: 0.87 (Test Set)</w:t>
      </w:r>
    </w:p>
    <w:p>
      <w:r>
        <w:t>*   **RMSE (Root Mean Square Error)**: 4.2% (Resistance percentage points)</w:t>
      </w:r>
    </w:p>
    <w:p>
      <w:r>
        <w:t>---</w:t>
      </w:r>
    </w:p>
    <w:p>
      <w:pPr>
        <w:pStyle w:val="Heading2"/>
      </w:pPr>
      <w:r>
        <w:t>S2. Supplementary Results</w:t>
      </w:r>
    </w:p>
    <w:p>
      <w:pPr>
        <w:pStyle w:val="Heading3"/>
      </w:pPr>
      <w:r>
        <w:t>S2.1 Model Learning Curve</w:t>
      </w:r>
    </w:p>
    <w:p>
      <w:r>
        <w:t>To assess the model's generalization capability and check for overfitting, we generated learning curves (Figure S1). The convergence of training and validation scores suggests that while the model learns the training data well, the validation error stabilizes, indicating good generalization given the dataset size.</w:t>
      </w:r>
    </w:p>
    <w:p>
      <w:r>
        <w:t>[INSERT FIGURE: Learning Curve]</w:t>
      </w:r>
    </w:p>
    <w:p>
      <w:r>
        <w:t>*Figure S1: Learning Curve for the Random Forest Regressor. The Training Score (red) remains high, while the Cross-Validation Score (green) improves with more data samples.*</w:t>
      </w:r>
    </w:p>
    <w:p>
      <w:pPr>
        <w:pStyle w:val="Heading3"/>
      </w:pPr>
      <w:r>
        <w:t>S2.2 Resistance Correlation Matrix</w:t>
      </w:r>
    </w:p>
    <w:p>
      <w:r>
        <w:t>We analyzed the correlation of resistance patterns across different years and pathogens. Figure S2 displays the correlation matrix, highlighting weak-to-moderate temporal autocorrelation, which our model exploits for forecasting.</w:t>
      </w:r>
    </w:p>
    <w:p>
      <w:r>
        <w:t>[INSERT FIGURE: Correlation Matrix]</w:t>
      </w:r>
    </w:p>
    <w:p>
      <w:r>
        <w:t>*Figure S2: Correlation Matrix of resistance trends.*</w:t>
      </w:r>
    </w:p>
    <w:p>
      <w:r>
        <w:t>---</w:t>
      </w:r>
    </w:p>
    <w:p>
      <w:pPr>
        <w:pStyle w:val="Heading2"/>
      </w:pPr>
      <w:r>
        <w:t>S3. Supplementary Tables</w:t>
      </w:r>
    </w:p>
    <w:p>
      <w:r>
        <w:t>**Table S1: Detailed Resistance Profile by Regional Center (2022)**</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Center Code</w:t>
            </w:r>
          </w:p>
        </w:tc>
        <w:tc>
          <w:tcPr>
            <w:tcW w:type="dxa" w:w="1728"/>
          </w:tcPr>
          <w:p>
            <w:r>
              <w:t>Institution</w:t>
            </w:r>
          </w:p>
        </w:tc>
        <w:tc>
          <w:tcPr>
            <w:tcW w:type="dxa" w:w="1728"/>
          </w:tcPr>
          <w:p>
            <w:r>
              <w:t>City</w:t>
            </w:r>
          </w:p>
        </w:tc>
        <w:tc>
          <w:tcPr>
            <w:tcW w:type="dxa" w:w="1728"/>
          </w:tcPr>
          <w:p>
            <w:r>
              <w:t>Coordinates</w:t>
            </w:r>
          </w:p>
        </w:tc>
        <w:tc>
          <w:tcPr>
            <w:tcW w:type="dxa" w:w="1728"/>
          </w:tcPr>
          <w:p>
            <w:r>
              <w:t>*K. pneumoniae* (Imipenem-R)</w:t>
            </w:r>
          </w:p>
        </w:tc>
      </w:tr>
      <w:tr>
        <w:tc>
          <w:tcPr>
            <w:tcW w:type="dxa" w:w="1728"/>
          </w:tcPr>
          <w:p>
            <w:r>
              <w:t>RC01</w:t>
            </w:r>
          </w:p>
        </w:tc>
        <w:tc>
          <w:tcPr>
            <w:tcW w:type="dxa" w:w="1728"/>
          </w:tcPr>
          <w:p>
            <w:r>
              <w:t>All India Institute of Medical Sciences (AIIMS)</w:t>
            </w:r>
          </w:p>
        </w:tc>
        <w:tc>
          <w:tcPr>
            <w:tcW w:type="dxa" w:w="1728"/>
          </w:tcPr>
          <w:p>
            <w:r>
              <w:t>New Delhi</w:t>
            </w:r>
          </w:p>
        </w:tc>
        <w:tc>
          <w:tcPr>
            <w:tcW w:type="dxa" w:w="1728"/>
          </w:tcPr>
          <w:p>
            <w:r>
              <w:t>28.56, 77.20</w:t>
            </w:r>
          </w:p>
        </w:tc>
        <w:tc>
          <w:tcPr>
            <w:tcW w:type="dxa" w:w="1728"/>
          </w:tcPr>
          <w:p>
            <w:r>
              <w:t>63.5%</w:t>
            </w:r>
          </w:p>
        </w:tc>
      </w:tr>
      <w:tr>
        <w:tc>
          <w:tcPr>
            <w:tcW w:type="dxa" w:w="1728"/>
          </w:tcPr>
          <w:p>
            <w:r>
              <w:t>RC02</w:t>
            </w:r>
          </w:p>
        </w:tc>
        <w:tc>
          <w:tcPr>
            <w:tcW w:type="dxa" w:w="1728"/>
          </w:tcPr>
          <w:p>
            <w:r>
              <w:t>Christian Medical College (CMC)</w:t>
            </w:r>
          </w:p>
        </w:tc>
        <w:tc>
          <w:tcPr>
            <w:tcW w:type="dxa" w:w="1728"/>
          </w:tcPr>
          <w:p>
            <w:r>
              <w:t>Vellore</w:t>
            </w:r>
          </w:p>
        </w:tc>
        <w:tc>
          <w:tcPr>
            <w:tcW w:type="dxa" w:w="1728"/>
          </w:tcPr>
          <w:p>
            <w:r>
              <w:t>12.92, 79.13</w:t>
            </w:r>
          </w:p>
        </w:tc>
        <w:tc>
          <w:tcPr>
            <w:tcW w:type="dxa" w:w="1728"/>
          </w:tcPr>
          <w:p>
            <w:r>
              <w:t>36.0%</w:t>
            </w:r>
          </w:p>
        </w:tc>
      </w:tr>
      <w:tr>
        <w:tc>
          <w:tcPr>
            <w:tcW w:type="dxa" w:w="1728"/>
          </w:tcPr>
          <w:p>
            <w:r>
              <w:t>RC03</w:t>
            </w:r>
          </w:p>
        </w:tc>
        <w:tc>
          <w:tcPr>
            <w:tcW w:type="dxa" w:w="1728"/>
          </w:tcPr>
          <w:p>
            <w:r>
              <w:t>JIPMER</w:t>
            </w:r>
          </w:p>
        </w:tc>
        <w:tc>
          <w:tcPr>
            <w:tcW w:type="dxa" w:w="1728"/>
          </w:tcPr>
          <w:p>
            <w:r>
              <w:t>Puducherry</w:t>
            </w:r>
          </w:p>
        </w:tc>
        <w:tc>
          <w:tcPr>
            <w:tcW w:type="dxa" w:w="1728"/>
          </w:tcPr>
          <w:p>
            <w:r>
              <w:t>11.95, 79.81</w:t>
            </w:r>
          </w:p>
        </w:tc>
        <w:tc>
          <w:tcPr>
            <w:tcW w:type="dxa" w:w="1728"/>
          </w:tcPr>
          <w:p>
            <w:r>
              <w:t>42.0%</w:t>
            </w:r>
          </w:p>
        </w:tc>
      </w:tr>
      <w:tr>
        <w:tc>
          <w:tcPr>
            <w:tcW w:type="dxa" w:w="1728"/>
          </w:tcPr>
          <w:p>
            <w:r>
              <w:t>RC04</w:t>
            </w:r>
          </w:p>
        </w:tc>
        <w:tc>
          <w:tcPr>
            <w:tcW w:type="dxa" w:w="1728"/>
          </w:tcPr>
          <w:p>
            <w:r>
              <w:t>PGIMER</w:t>
            </w:r>
          </w:p>
        </w:tc>
        <w:tc>
          <w:tcPr>
            <w:tcW w:type="dxa" w:w="1728"/>
          </w:tcPr>
          <w:p>
            <w:r>
              <w:t>Chandigarh</w:t>
            </w:r>
          </w:p>
        </w:tc>
        <w:tc>
          <w:tcPr>
            <w:tcW w:type="dxa" w:w="1728"/>
          </w:tcPr>
          <w:p>
            <w:r>
              <w:t>30.76, 76.77</w:t>
            </w:r>
          </w:p>
        </w:tc>
        <w:tc>
          <w:tcPr>
            <w:tcW w:type="dxa" w:w="1728"/>
          </w:tcPr>
          <w:p>
            <w:r>
              <w:t>71.0%</w:t>
            </w:r>
          </w:p>
        </w:tc>
      </w:tr>
      <w:tr>
        <w:tc>
          <w:tcPr>
            <w:tcW w:type="dxa" w:w="1728"/>
          </w:tcPr>
          <w:p>
            <w:r>
              <w:t>RC05</w:t>
            </w:r>
          </w:p>
        </w:tc>
        <w:tc>
          <w:tcPr>
            <w:tcW w:type="dxa" w:w="1728"/>
          </w:tcPr>
          <w:p>
            <w:r>
              <w:t>P.D. Hinduja Hospital</w:t>
            </w:r>
          </w:p>
        </w:tc>
        <w:tc>
          <w:tcPr>
            <w:tcW w:type="dxa" w:w="1728"/>
          </w:tcPr>
          <w:p>
            <w:r>
              <w:t>Mumbai</w:t>
            </w:r>
          </w:p>
        </w:tc>
        <w:tc>
          <w:tcPr>
            <w:tcW w:type="dxa" w:w="1728"/>
          </w:tcPr>
          <w:p>
            <w:r>
              <w:t>19.03, 72.84</w:t>
            </w:r>
          </w:p>
        </w:tc>
        <w:tc>
          <w:tcPr>
            <w:tcW w:type="dxa" w:w="1728"/>
          </w:tcPr>
          <w:p>
            <w:r>
              <w:t>28.0%</w:t>
            </w:r>
          </w:p>
        </w:tc>
      </w:tr>
      <w:tr>
        <w:tc>
          <w:tcPr>
            <w:tcW w:type="dxa" w:w="1728"/>
          </w:tcPr>
          <w:p>
            <w:r>
              <w:t>RC06</w:t>
            </w:r>
          </w:p>
        </w:tc>
        <w:tc>
          <w:tcPr>
            <w:tcW w:type="dxa" w:w="1728"/>
          </w:tcPr>
          <w:p>
            <w:r>
              <w:t>Tata Medical Center</w:t>
            </w:r>
          </w:p>
        </w:tc>
        <w:tc>
          <w:tcPr>
            <w:tcW w:type="dxa" w:w="1728"/>
          </w:tcPr>
          <w:p>
            <w:r>
              <w:t>Kolkata</w:t>
            </w:r>
          </w:p>
        </w:tc>
        <w:tc>
          <w:tcPr>
            <w:tcW w:type="dxa" w:w="1728"/>
          </w:tcPr>
          <w:p>
            <w:r>
              <w:t>22.56, 88.47</w:t>
            </w:r>
          </w:p>
        </w:tc>
        <w:tc>
          <w:tcPr>
            <w:tcW w:type="dxa" w:w="1728"/>
          </w:tcPr>
          <w:p>
            <w:r>
              <w:t>45.0%</w:t>
            </w:r>
          </w:p>
        </w:tc>
      </w:tr>
      <w:tr>
        <w:tc>
          <w:tcPr>
            <w:tcW w:type="dxa" w:w="1728"/>
          </w:tcPr>
          <w:p>
            <w:r>
              <w:t>RC07</w:t>
            </w:r>
          </w:p>
        </w:tc>
        <w:tc>
          <w:tcPr>
            <w:tcW w:type="dxa" w:w="1728"/>
          </w:tcPr>
          <w:p>
            <w:r>
              <w:t>Kasturba Medical College</w:t>
            </w:r>
          </w:p>
        </w:tc>
        <w:tc>
          <w:tcPr>
            <w:tcW w:type="dxa" w:w="1728"/>
          </w:tcPr>
          <w:p>
            <w:r>
              <w:t>Manipal</w:t>
            </w:r>
          </w:p>
        </w:tc>
        <w:tc>
          <w:tcPr>
            <w:tcW w:type="dxa" w:w="1728"/>
          </w:tcPr>
          <w:p>
            <w:r>
              <w:t>13.35, 74.78</w:t>
            </w:r>
          </w:p>
        </w:tc>
        <w:tc>
          <w:tcPr>
            <w:tcW w:type="dxa" w:w="1728"/>
          </w:tcPr>
          <w:p>
            <w:r>
              <w:t>39.0%</w:t>
            </w:r>
          </w:p>
        </w:tc>
      </w:tr>
      <w:tr>
        <w:tc>
          <w:tcPr>
            <w:tcW w:type="dxa" w:w="1728"/>
          </w:tcPr>
          <w:p>
            <w:r>
              <w:t>...</w:t>
            </w:r>
          </w:p>
        </w:tc>
        <w:tc>
          <w:tcPr>
            <w:tcW w:type="dxa" w:w="1728"/>
          </w:tcPr>
          <w:p>
            <w:r>
              <w:t>*Full list available in raw dataset*</w:t>
            </w:r>
          </w:p>
        </w:tc>
        <w:tc>
          <w:tcPr>
            <w:tcW w:type="dxa" w:w="1728"/>
          </w:tcPr>
          <w:p>
            <w:r>
              <w:t>...</w:t>
            </w:r>
          </w:p>
        </w:tc>
        <w:tc>
          <w:tcPr>
            <w:tcW w:type="dxa" w:w="1728"/>
          </w:tcPr>
          <w:p>
            <w:r>
              <w:t>...</w:t>
            </w:r>
          </w:p>
        </w:tc>
        <w:tc>
          <w:tcPr>
            <w:tcW w:type="dxa" w:w="1728"/>
          </w:tcPr>
          <w:p>
            <w:r>
              <w:t>...</w:t>
            </w:r>
          </w:p>
        </w:tc>
      </w:tr>
    </w:tbl>
    <w:p>
      <w:r>
        <w:t>**Table S2: Longitudinal Resistance Trends (National Average)**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