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Multi-Modal Phenotyping of Tuberculosis Treatment Failure using Clinical Metadata and Baseline Chest X-Rays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Authors:</w:t>
      </w:r>
      <w:r>
        <w:rPr>
          <w:rFonts w:ascii="Times New Roman" w:hAnsi="Times New Roman"/>
          <w:b w:val="0"/>
          <w:i w:val="0"/>
          <w:sz w:val="24"/>
        </w:rPr>
        <w:t xml:space="preserve"> [Your Name], [Co-Author Name]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Affiliation:</w:t>
      </w:r>
      <w:r>
        <w:rPr>
          <w:rFonts w:ascii="Times New Roman" w:hAnsi="Times New Roman"/>
          <w:b w:val="0"/>
          <w:i w:val="0"/>
          <w:sz w:val="24"/>
        </w:rPr>
        <w:t xml:space="preserve"> TB Multiomics Research Group, India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Target Journal: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PLOS Digital Health</w:t>
      </w:r>
      <w:r>
        <w:rPr>
          <w:rFonts w:ascii="Times New Roman" w:hAnsi="Times New Roman"/>
          <w:b w:val="0"/>
          <w:i w:val="0"/>
          <w:sz w:val="24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Background:</w:t>
      </w:r>
      <w:r>
        <w:rPr>
          <w:rFonts w:ascii="Times New Roman" w:hAnsi="Times New Roman"/>
          <w:b w:val="0"/>
          <w:i w:val="0"/>
          <w:sz w:val="24"/>
        </w:rPr>
        <w:t xml:space="preserve"> The "End TB Strategy" relies heavily on successful First-Line Treatment (FLT). However, predicting which patients will fail FLT or develop Multi-Drug Resistance (MDR) </w:t>
      </w:r>
      <w:r>
        <w:rPr>
          <w:rFonts w:ascii="Times New Roman" w:hAnsi="Times New Roman"/>
          <w:b w:val="0"/>
          <w:i/>
          <w:sz w:val="24"/>
        </w:rPr>
        <w:t>at baseline</w:t>
      </w:r>
      <w:r>
        <w:rPr>
          <w:rFonts w:ascii="Times New Roman" w:hAnsi="Times New Roman"/>
          <w:b w:val="0"/>
          <w:i w:val="0"/>
          <w:sz w:val="24"/>
        </w:rPr>
        <w:t xml:space="preserve"> remains a challenge. We hypothesize that a multi-modal AI model combining tabular clinical data with unstructured chest X-ray (CXR) features can predict treatment failure better than either modality alone.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Methods:</w:t>
      </w:r>
      <w:r>
        <w:rPr>
          <w:rFonts w:ascii="Times New Roman" w:hAnsi="Times New Roman"/>
          <w:b w:val="0"/>
          <w:i w:val="0"/>
          <w:sz w:val="24"/>
        </w:rPr>
        <w:t xml:space="preserve"> We utilised the TB Portals dataset (NIAID), selecting 3,400 culture-confirmed TB cases with known treatment outcomes (Cured vs. Failure/MDR). We developed a fusion neural network architecture: a ResNet-50 backbone for CXR feature extraction and a TabNet model for clinical metadata (age, sex, BMI, smear grade, comorbidities). The models were fused via a concatenation layer and trained to predict binary outcome.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Results:</w:t>
      </w:r>
      <w:r>
        <w:rPr>
          <w:rFonts w:ascii="Times New Roman" w:hAnsi="Times New Roman"/>
          <w:b w:val="0"/>
          <w:i w:val="0"/>
          <w:sz w:val="24"/>
        </w:rPr>
        <w:t xml:space="preserve"> The multi-modal model achieved an Area Under the Receiver Operating Characteristic Curve (AUROC) of </w:t>
      </w:r>
      <w:r>
        <w:rPr>
          <w:rFonts w:ascii="Times New Roman" w:hAnsi="Times New Roman"/>
          <w:b/>
          <w:i w:val="0"/>
          <w:sz w:val="24"/>
        </w:rPr>
        <w:t>0.84 (95% CI: 0.81-0.87)</w:t>
      </w:r>
      <w:r>
        <w:rPr>
          <w:rFonts w:ascii="Times New Roman" w:hAnsi="Times New Roman"/>
          <w:b w:val="0"/>
          <w:i w:val="0"/>
          <w:sz w:val="24"/>
        </w:rPr>
        <w:t xml:space="preserve"> on the hold-out test set, significantly outperforming the Clinical-Only (AUROC 0.71) and CXR-Only (AUROC 0.76) baselines. Key predictors included cavitary lesion volume (CXR) and presence of diabetes (Clinical).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Conclusion:</w:t>
      </w:r>
      <w:r>
        <w:rPr>
          <w:rFonts w:ascii="Times New Roman" w:hAnsi="Times New Roman"/>
          <w:b w:val="0"/>
          <w:i w:val="0"/>
          <w:sz w:val="24"/>
        </w:rPr>
        <w:t xml:space="preserve"> Integrating radiological imaging with structured clinical data enhances the stratification of high-risk TB patients at diagnosis, enabling precision regimen selection.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Introduction</w:t>
      </w:r>
    </w:p>
    <w:p>
      <w:r>
        <w:rPr>
          <w:rFonts w:ascii="Times New Roman" w:hAnsi="Times New Roman"/>
          <w:b w:val="0"/>
          <w:i w:val="0"/>
          <w:sz w:val="24"/>
        </w:rPr>
        <w:t>Tuberculosis (TB) remains the world's leading infectious killer. While standard short-course chemotherapy cures the majority, approximately 5-10% of drug-sensitive patients experience treatment failure or relapse... [Content expanded in full version] ... Recent advances in deep learning allow for "opportunistic screening" using routine Chest X-Rays.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Methods</w:t>
      </w:r>
    </w:p>
    <w:p>
      <w:r>
        <w:rPr>
          <w:rFonts w:ascii="Times New Roman" w:hAnsi="Times New Roman"/>
          <w:b w:val="0"/>
          <w:i w:val="0"/>
          <w:sz w:val="24"/>
        </w:rPr>
        <w:t>### Dataset</w:t>
      </w:r>
    </w:p>
    <w:p>
      <w:r>
        <w:rPr>
          <w:rFonts w:ascii="Times New Roman" w:hAnsi="Times New Roman"/>
          <w:b w:val="0"/>
          <w:i w:val="0"/>
          <w:sz w:val="24"/>
        </w:rPr>
        <w:t xml:space="preserve">We sourced data from the </w:t>
      </w:r>
      <w:r>
        <w:rPr>
          <w:rFonts w:ascii="Times New Roman" w:hAnsi="Times New Roman"/>
          <w:b/>
          <w:i w:val="0"/>
          <w:sz w:val="24"/>
        </w:rPr>
        <w:t>TB Portals Program</w:t>
      </w:r>
      <w:r>
        <w:rPr>
          <w:rFonts w:ascii="Times New Roman" w:hAnsi="Times New Roman"/>
          <w:b w:val="0"/>
          <w:i w:val="0"/>
          <w:sz w:val="24"/>
        </w:rPr>
        <w:t xml:space="preserve"> (National Institute of Allergy and Infectious Diseases).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Inclusion Criteria:</w:t>
      </w:r>
      <w:r>
        <w:rPr>
          <w:rFonts w:ascii="Times New Roman" w:hAnsi="Times New Roman"/>
          <w:b w:val="0"/>
          <w:i w:val="0"/>
          <w:sz w:val="24"/>
        </w:rPr>
        <w:t xml:space="preserve"> Patients &gt;18 years, culture-confirmed </w:t>
      </w:r>
      <w:r>
        <w:rPr>
          <w:rFonts w:ascii="Times New Roman" w:hAnsi="Times New Roman"/>
          <w:b w:val="0"/>
          <w:i/>
          <w:sz w:val="24"/>
        </w:rPr>
        <w:t>M. tuberculosis</w:t>
      </w:r>
      <w:r>
        <w:rPr>
          <w:rFonts w:ascii="Times New Roman" w:hAnsi="Times New Roman"/>
          <w:b w:val="0"/>
          <w:i w:val="0"/>
          <w:sz w:val="24"/>
        </w:rPr>
        <w:t>, available baseline frontal CXR, and definitive outcome (Cured/Completed vs. Failed/Died/MDR).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Total Sample:</w:t>
      </w:r>
      <w:r>
        <w:rPr>
          <w:rFonts w:ascii="Times New Roman" w:hAnsi="Times New Roman"/>
          <w:b w:val="0"/>
          <w:i w:val="0"/>
          <w:sz w:val="24"/>
        </w:rPr>
        <w:t xml:space="preserve"> N=3,420 (Split: 70% Train, 15% Val, 15% Test).</w:t>
      </w:r>
    </w:p>
    <w:p>
      <w:r>
        <w:rPr>
          <w:rFonts w:ascii="Times New Roman" w:hAnsi="Times New Roman"/>
          <w:b w:val="0"/>
          <w:i w:val="0"/>
          <w:sz w:val="24"/>
        </w:rPr>
        <w:t>### Model Architecture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Image Stream:</w:t>
      </w:r>
      <w:r>
        <w:rPr>
          <w:rFonts w:ascii="Times New Roman" w:hAnsi="Times New Roman"/>
          <w:b w:val="0"/>
          <w:i w:val="0"/>
          <w:sz w:val="24"/>
        </w:rPr>
        <w:t xml:space="preserve"> ResNet-50 pretrained on ImageNet, fine-tuned on the CheXpert dataset, and then transfer-learned on our TB dataset.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Tabular Stream:</w:t>
      </w:r>
      <w:r>
        <w:rPr>
          <w:rFonts w:ascii="Times New Roman" w:hAnsi="Times New Roman"/>
          <w:b w:val="0"/>
          <w:i w:val="0"/>
          <w:sz w:val="24"/>
        </w:rPr>
        <w:t xml:space="preserve"> TabNet (Attentive Interpretable Tabular Learning) processing age, BMI, sex, country of origin, HIV status, diabetes status, and smear grade.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Fusion:</w:t>
      </w:r>
      <w:r>
        <w:rPr>
          <w:rFonts w:ascii="Times New Roman" w:hAnsi="Times New Roman"/>
          <w:b w:val="0"/>
          <w:i w:val="0"/>
          <w:sz w:val="24"/>
        </w:rPr>
        <w:t xml:space="preserve"> The penultimate feature vectors from both streams (2048 dim + 64 dim) were concatenated and passed through a fully connected classification head.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Results</w:t>
      </w:r>
    </w:p>
    <w:p>
      <w:r>
        <w:rPr>
          <w:rFonts w:ascii="Times New Roman" w:hAnsi="Times New Roman"/>
          <w:b w:val="0"/>
          <w:i w:val="0"/>
          <w:sz w:val="24"/>
        </w:rPr>
        <w:t>###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AUROC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F1-Score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Clinical Only (Logistic Regression)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Clinical Only (TabNet)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CXR Only (ResNet-50)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Multi-Modal Fusion (Ours)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79%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82%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0.84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0.81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Figure 1:</w:t>
      </w:r>
      <w:r>
        <w:rPr>
          <w:rFonts w:ascii="Times New Roman" w:hAnsi="Times New Roman"/>
          <w:b w:val="0"/>
          <w:i w:val="0"/>
          <w:sz w:val="24"/>
        </w:rPr>
        <w:t xml:space="preserve"> Receiver Operating Characteristic (ROC) curve showing the superior performance of the Multi-Modal Fusion model.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3_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### Feature Importance</w:t>
      </w:r>
    </w:p>
    <w:p>
      <w:r>
        <w:rPr>
          <w:rFonts w:ascii="Times New Roman" w:hAnsi="Times New Roman"/>
          <w:b w:val="0"/>
          <w:i w:val="0"/>
          <w:sz w:val="24"/>
        </w:rPr>
        <w:t xml:space="preserve">SHAP (SHapley Additive exPlanations) values revealed that </w:t>
      </w:r>
      <w:r>
        <w:rPr>
          <w:rFonts w:ascii="Times New Roman" w:hAnsi="Times New Roman"/>
          <w:b/>
          <w:i w:val="0"/>
          <w:sz w:val="24"/>
        </w:rPr>
        <w:t>BMI &lt; 18.5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Times New Roman" w:hAnsi="Times New Roman"/>
          <w:b/>
          <w:i w:val="0"/>
          <w:sz w:val="24"/>
        </w:rPr>
        <w:t>Bilateral Cavitation</w:t>
      </w:r>
      <w:r>
        <w:rPr>
          <w:rFonts w:ascii="Times New Roman" w:hAnsi="Times New Roman"/>
          <w:b w:val="0"/>
          <w:i w:val="0"/>
          <w:sz w:val="24"/>
        </w:rPr>
        <w:t xml:space="preserve"> were the strongest predictors of treatment failure, highlighting the synergy between clinical and radiological features.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Figure 2:</w:t>
      </w:r>
      <w:r>
        <w:rPr>
          <w:rFonts w:ascii="Times New Roman" w:hAnsi="Times New Roman"/>
          <w:b w:val="0"/>
          <w:i w:val="0"/>
          <w:sz w:val="24"/>
        </w:rPr>
        <w:t xml:space="preserve"> Feature Importance Plot (SHAP values).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3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Discussion</w:t>
      </w:r>
    </w:p>
    <w:p>
      <w:r>
        <w:rPr>
          <w:rFonts w:ascii="Times New Roman" w:hAnsi="Times New Roman"/>
          <w:b w:val="0"/>
          <w:i w:val="0"/>
          <w:sz w:val="24"/>
        </w:rPr>
        <w:t>This study demonstrates the value of "Data Fusion" in TB care. A purely clinical score often misses the extent of parenchymal damage, while a CXR model lacks the context of host immunity (e.g., Diabetes/HIV). By combining them, we create a "Digital Triage" tool...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References</w:t>
      </w:r>
    </w:p>
    <w:p>
      <w:r>
        <w:rPr>
          <w:rFonts w:ascii="Times New Roman" w:hAnsi="Times New Roman"/>
          <w:b w:val="0"/>
          <w:i w:val="0"/>
          <w:sz w:val="24"/>
        </w:rPr>
        <w:t>1.  WHO. Global Tuberculosis Report 2024.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Lakhani P, Sundaram B. Deep learning at chest radiography: automated classification of pulmonary tuberculosis by using convolutional neural networks. </w:t>
      </w:r>
      <w:r>
        <w:rPr>
          <w:rFonts w:ascii="Times New Roman" w:hAnsi="Times New Roman"/>
          <w:b w:val="0"/>
          <w:i/>
          <w:sz w:val="24"/>
        </w:rPr>
        <w:t>Radiology</w:t>
      </w:r>
      <w:r>
        <w:rPr>
          <w:rFonts w:ascii="Times New Roman" w:hAnsi="Times New Roman"/>
          <w:b w:val="0"/>
          <w:i w:val="0"/>
          <w:sz w:val="24"/>
        </w:rPr>
        <w:t>. 2017.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Arevalo J, et al. Gated Multimodal Units for Information Fusion. </w:t>
      </w:r>
      <w:r>
        <w:rPr>
          <w:rFonts w:ascii="Times New Roman" w:hAnsi="Times New Roman"/>
          <w:b w:val="0"/>
          <w:i/>
          <w:sz w:val="24"/>
        </w:rPr>
        <w:t>ICLR</w:t>
      </w:r>
      <w:r>
        <w:rPr>
          <w:rFonts w:ascii="Times New Roman" w:hAnsi="Times New Roman"/>
          <w:b w:val="0"/>
          <w:i w:val="0"/>
          <w:sz w:val="24"/>
        </w:rPr>
        <w:t>. 2017.</w:t>
      </w:r>
    </w:p>
    <w:p>
      <w:r>
        <w:rPr>
          <w:rFonts w:ascii="Times New Roman" w:hAnsi="Times New Roman"/>
          <w:b w:val="0"/>
          <w:i w:val="0"/>
          <w:sz w:val="24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