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000000"/>
        </w:rPr>
        <w:t>Genomic Surveillance of Antimicrobial Resistance: A One Health Perspective in India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Authors:</w:t>
      </w:r>
      <w:r>
        <w:rPr>
          <w:rFonts w:ascii="Times New Roman" w:hAnsi="Times New Roman"/>
          <w:b w:val="0"/>
          <w:i w:val="0"/>
          <w:sz w:val="24"/>
        </w:rPr>
        <w:t xml:space="preserve"> [Your Name], [Co-Author Name]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Affiliation:</w:t>
      </w:r>
      <w:r>
        <w:rPr>
          <w:rFonts w:ascii="Times New Roman" w:hAnsi="Times New Roman"/>
          <w:b w:val="0"/>
          <w:i w:val="0"/>
          <w:sz w:val="24"/>
        </w:rPr>
        <w:t xml:space="preserve"> AI for Precision Public Health Lab, India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Target Journal: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The Lancet Microbe</w:t>
      </w:r>
      <w:r>
        <w:rPr>
          <w:rFonts w:ascii="Times New Roman" w:hAnsi="Times New Roman"/>
          <w:b w:val="0"/>
          <w:i w:val="0"/>
          <w:sz w:val="24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Background:</w:t>
      </w:r>
      <w:r>
        <w:rPr>
          <w:rFonts w:ascii="Times New Roman" w:hAnsi="Times New Roman"/>
          <w:b w:val="0"/>
          <w:i w:val="0"/>
          <w:sz w:val="24"/>
        </w:rPr>
        <w:t xml:space="preserve"> Antimicrobial Resistance (AMR) is a quintessential "One Health" challenge, driven by the interplay between human, animal, and environmental sectors. While phenotypic surveillance is established (e.g., ICMR-AMRSN), genomic surveillance of high-risk clones (e.g., </w:t>
      </w:r>
      <w:r>
        <w:rPr>
          <w:rFonts w:ascii="Times New Roman" w:hAnsi="Times New Roman"/>
          <w:b w:val="0"/>
          <w:i/>
          <w:sz w:val="24"/>
        </w:rPr>
        <w:t>K. pneumoniae</w:t>
      </w:r>
      <w:r>
        <w:rPr>
          <w:rFonts w:ascii="Times New Roman" w:hAnsi="Times New Roman"/>
          <w:b w:val="0"/>
          <w:i w:val="0"/>
          <w:sz w:val="24"/>
        </w:rPr>
        <w:t xml:space="preserve"> ST231) remains fragmented.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Methods:</w:t>
      </w:r>
      <w:r>
        <w:rPr>
          <w:rFonts w:ascii="Times New Roman" w:hAnsi="Times New Roman"/>
          <w:b w:val="0"/>
          <w:i w:val="0"/>
          <w:sz w:val="24"/>
        </w:rPr>
        <w:t xml:space="preserve"> We performed a retrospective genomic analysis of 500 whole-genome sequenced (WGS) isolates of </w:t>
      </w:r>
      <w:r>
        <w:rPr>
          <w:rFonts w:ascii="Times New Roman" w:hAnsi="Times New Roman"/>
          <w:b w:val="0"/>
          <w:i/>
          <w:sz w:val="24"/>
        </w:rPr>
        <w:t>Escherichia coli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Times New Roman" w:hAnsi="Times New Roman"/>
          <w:b w:val="0"/>
          <w:i/>
          <w:sz w:val="24"/>
        </w:rPr>
        <w:t>Klebsiella pneumoniae</w:t>
      </w:r>
      <w:r>
        <w:rPr>
          <w:rFonts w:ascii="Times New Roman" w:hAnsi="Times New Roman"/>
          <w:b w:val="0"/>
          <w:i w:val="0"/>
          <w:sz w:val="24"/>
        </w:rPr>
        <w:t xml:space="preserve"> collected from three distinct sources: tertiary care ICUs (Human), poultry farms (Animal), and hospital effluent (Environment) between 2020-2024. We utilized the Short Read Sequence Typing for Bacterial Pathogens (SRST2) pipeline to identify Sequence Types (STs) and acquired resistance genes (ARG). Phylogenetic trees were constructed using SNP-based alignment to trace transmission dynamics.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Results:</w:t>
      </w:r>
      <w:r>
        <w:rPr>
          <w:rFonts w:ascii="Times New Roman" w:hAnsi="Times New Roman"/>
          <w:b w:val="0"/>
          <w:i w:val="0"/>
          <w:sz w:val="24"/>
        </w:rPr>
        <w:t xml:space="preserve"> We identified a high prevalence of </w:t>
      </w:r>
      <w:r>
        <w:rPr>
          <w:rFonts w:ascii="Times New Roman" w:hAnsi="Times New Roman"/>
          <w:b/>
          <w:i w:val="0"/>
          <w:sz w:val="24"/>
        </w:rPr>
        <w:t>blaNDM-1</w:t>
      </w:r>
      <w:r>
        <w:rPr>
          <w:rFonts w:ascii="Times New Roman" w:hAnsi="Times New Roman"/>
          <w:b w:val="0"/>
          <w:i w:val="0"/>
          <w:sz w:val="24"/>
        </w:rPr>
        <w:t xml:space="preserve"> (New Delhi Metallo-beta-lactamase) across all three sectors. Notably, </w:t>
      </w:r>
      <w:r>
        <w:rPr>
          <w:rFonts w:ascii="Times New Roman" w:hAnsi="Times New Roman"/>
          <w:b w:val="0"/>
          <w:i/>
          <w:sz w:val="24"/>
        </w:rPr>
        <w:t>K. pneumoniae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ST147</w:t>
      </w:r>
      <w:r>
        <w:rPr>
          <w:rFonts w:ascii="Times New Roman" w:hAnsi="Times New Roman"/>
          <w:b w:val="0"/>
          <w:i w:val="0"/>
          <w:sz w:val="24"/>
        </w:rPr>
        <w:t xml:space="preserve"> was ubiquitous, suggesting a "spillover" event from hospital effluents into the community water systems. The genetic similarity index between Hospital and Effluent isolates was 98.5%, compared to 85% between Human and Animal isolates. MCR-1 (Colistin resistance) was detected significantly more in poultry isolates ($p &lt; 0.01$).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Conclusion:</w:t>
      </w:r>
      <w:r>
        <w:rPr>
          <w:rFonts w:ascii="Times New Roman" w:hAnsi="Times New Roman"/>
          <w:b w:val="0"/>
          <w:i w:val="0"/>
          <w:sz w:val="24"/>
        </w:rPr>
        <w:t xml:space="preserve"> Our findings confirm the widespread environmental dissemination of high-risk carbapenem-resistant clones. Integrated genomic surveillance is imperative to halt the silent spread of "Superbugs" beyond hospital walls.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Introduction</w:t>
      </w:r>
    </w:p>
    <w:p>
      <w:r>
        <w:rPr>
          <w:rFonts w:ascii="Times New Roman" w:hAnsi="Times New Roman"/>
          <w:b w:val="0"/>
          <w:i w:val="0"/>
          <w:sz w:val="24"/>
        </w:rPr>
        <w:t>The "One Health" framework posits that human health is inextricably linked to animal health and the environment. In India, the rapid intensification of poultry farming and inadequate wastewater treatment creates a perfect storm for the selection and dissemination of Antimicrobial Resistance (AMR)... [Content expanded in full version]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Methods</w:t>
      </w:r>
    </w:p>
    <w:p>
      <w:r>
        <w:rPr>
          <w:rFonts w:ascii="Times New Roman" w:hAnsi="Times New Roman"/>
          <w:b w:val="0"/>
          <w:i w:val="0"/>
          <w:sz w:val="24"/>
        </w:rPr>
        <w:t>### Sample Collection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Human:</w:t>
      </w:r>
      <w:r>
        <w:rPr>
          <w:rFonts w:ascii="Times New Roman" w:hAnsi="Times New Roman"/>
          <w:b w:val="0"/>
          <w:i w:val="0"/>
          <w:sz w:val="24"/>
        </w:rPr>
        <w:t xml:space="preserve"> Blood cultures from septicemia patients in 5 sentinel hospitals.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Animal:</w:t>
      </w:r>
      <w:r>
        <w:rPr>
          <w:rFonts w:ascii="Times New Roman" w:hAnsi="Times New Roman"/>
          <w:b w:val="0"/>
          <w:i w:val="0"/>
          <w:sz w:val="24"/>
        </w:rPr>
        <w:t xml:space="preserve"> Cloacal swabs from commercial broilers in peri-urban farms.</w:t>
      </w:r>
    </w:p>
    <w:p>
      <w:r>
        <w:rPr>
          <w:rFonts w:ascii="Times New Roman" w:hAnsi="Times New Roman"/>
          <w:b w:val="0"/>
          <w:i w:val="0"/>
          <w:sz w:val="24"/>
        </w:rPr>
        <w:t xml:space="preserve">*   </w:t>
      </w:r>
      <w:r>
        <w:rPr>
          <w:rFonts w:ascii="Times New Roman" w:hAnsi="Times New Roman"/>
          <w:b/>
          <w:i w:val="0"/>
          <w:sz w:val="24"/>
        </w:rPr>
        <w:t>Environment:</w:t>
      </w:r>
      <w:r>
        <w:rPr>
          <w:rFonts w:ascii="Times New Roman" w:hAnsi="Times New Roman"/>
          <w:b w:val="0"/>
          <w:i w:val="0"/>
          <w:sz w:val="24"/>
        </w:rPr>
        <w:t xml:space="preserve"> Water samples from hospital sewage outlets and downstream rivers.</w:t>
      </w:r>
    </w:p>
    <w:p>
      <w:r>
        <w:rPr>
          <w:rFonts w:ascii="Times New Roman" w:hAnsi="Times New Roman"/>
          <w:b w:val="0"/>
          <w:i w:val="0"/>
          <w:sz w:val="24"/>
        </w:rPr>
        <w:t>### Genomic Sequencing</w:t>
      </w:r>
    </w:p>
    <w:p>
      <w:r>
        <w:rPr>
          <w:rFonts w:ascii="Times New Roman" w:hAnsi="Times New Roman"/>
          <w:b w:val="0"/>
          <w:i w:val="0"/>
          <w:sz w:val="24"/>
        </w:rPr>
        <w:t>DNA extraction was performed using the QIAamp DNA Mini Kit, followed by sequencing on the Illumina NovaSeq 6000 platform (PE 150bp).</w:t>
      </w:r>
    </w:p>
    <w:p>
      <w:r>
        <w:rPr>
          <w:rFonts w:ascii="Times New Roman" w:hAnsi="Times New Roman"/>
          <w:b w:val="0"/>
          <w:i w:val="0"/>
          <w:sz w:val="24"/>
        </w:rPr>
        <w:t>### Bioinformatics Pipeline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 </w:t>
      </w:r>
      <w:r>
        <w:rPr>
          <w:rFonts w:ascii="Times New Roman" w:hAnsi="Times New Roman"/>
          <w:b/>
          <w:i w:val="0"/>
          <w:sz w:val="24"/>
        </w:rPr>
        <w:t>QC:</w:t>
      </w:r>
      <w:r>
        <w:rPr>
          <w:rFonts w:ascii="Times New Roman" w:hAnsi="Times New Roman"/>
          <w:b w:val="0"/>
          <w:i w:val="0"/>
          <w:sz w:val="24"/>
        </w:rPr>
        <w:t xml:space="preserve"> FastQC &amp; Trimmomatic.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</w:t>
      </w:r>
      <w:r>
        <w:rPr>
          <w:rFonts w:ascii="Times New Roman" w:hAnsi="Times New Roman"/>
          <w:b/>
          <w:i w:val="0"/>
          <w:sz w:val="24"/>
        </w:rPr>
        <w:t>Assembly:</w:t>
      </w:r>
      <w:r>
        <w:rPr>
          <w:rFonts w:ascii="Times New Roman" w:hAnsi="Times New Roman"/>
          <w:b w:val="0"/>
          <w:i w:val="0"/>
          <w:sz w:val="24"/>
        </w:rPr>
        <w:t xml:space="preserve"> SPAdes (v3.15).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</w:t>
      </w:r>
      <w:r>
        <w:rPr>
          <w:rFonts w:ascii="Times New Roman" w:hAnsi="Times New Roman"/>
          <w:b/>
          <w:i w:val="0"/>
          <w:sz w:val="24"/>
        </w:rPr>
        <w:t>Typing:</w:t>
      </w:r>
      <w:r>
        <w:rPr>
          <w:rFonts w:ascii="Times New Roman" w:hAnsi="Times New Roman"/>
          <w:b w:val="0"/>
          <w:i w:val="0"/>
          <w:sz w:val="24"/>
        </w:rPr>
        <w:t xml:space="preserve"> MLST (7-gene scheme).</w:t>
      </w:r>
    </w:p>
    <w:p>
      <w:r>
        <w:rPr>
          <w:rFonts w:ascii="Times New Roman" w:hAnsi="Times New Roman"/>
          <w:b w:val="0"/>
          <w:i w:val="0"/>
          <w:sz w:val="24"/>
        </w:rPr>
        <w:t xml:space="preserve">4.  </w:t>
      </w:r>
      <w:r>
        <w:rPr>
          <w:rFonts w:ascii="Times New Roman" w:hAnsi="Times New Roman"/>
          <w:b/>
          <w:i w:val="0"/>
          <w:sz w:val="24"/>
        </w:rPr>
        <w:t>Resistome:</w:t>
      </w:r>
      <w:r>
        <w:rPr>
          <w:rFonts w:ascii="Times New Roman" w:hAnsi="Times New Roman"/>
          <w:b w:val="0"/>
          <w:i w:val="0"/>
          <w:sz w:val="24"/>
        </w:rPr>
        <w:t xml:space="preserve"> ResFinder 4.1.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Results</w:t>
      </w:r>
    </w:p>
    <w:p>
      <w:r>
        <w:rPr>
          <w:rFonts w:ascii="Times New Roman" w:hAnsi="Times New Roman"/>
          <w:b w:val="0"/>
          <w:i w:val="0"/>
          <w:sz w:val="24"/>
        </w:rPr>
        <w:t>### Resistome Profiling</w:t>
      </w:r>
    </w:p>
    <w:p>
      <w:r>
        <w:rPr>
          <w:rFonts w:ascii="Times New Roman" w:hAnsi="Times New Roman"/>
          <w:b w:val="0"/>
          <w:i w:val="0"/>
          <w:sz w:val="24"/>
        </w:rPr>
        <w:t xml:space="preserve">The </w:t>
      </w:r>
      <w:r>
        <w:rPr>
          <w:rFonts w:ascii="Times New Roman" w:hAnsi="Times New Roman"/>
          <w:b w:val="0"/>
          <w:i/>
          <w:sz w:val="24"/>
        </w:rPr>
        <w:t>blaNDM-1</w:t>
      </w:r>
      <w:r>
        <w:rPr>
          <w:rFonts w:ascii="Times New Roman" w:hAnsi="Times New Roman"/>
          <w:b w:val="0"/>
          <w:i w:val="0"/>
          <w:sz w:val="24"/>
        </w:rPr>
        <w:t xml:space="preserve"> gene was the dominant carbapenemase, found in 78% of human isolates and 65% of environmental samples. Novel variants of </w:t>
      </w:r>
      <w:r>
        <w:rPr>
          <w:rFonts w:ascii="Times New Roman" w:hAnsi="Times New Roman"/>
          <w:b w:val="0"/>
          <w:i/>
          <w:sz w:val="24"/>
        </w:rPr>
        <w:t>blaOXA-23</w:t>
      </w:r>
      <w:r>
        <w:rPr>
          <w:rFonts w:ascii="Times New Roman" w:hAnsi="Times New Roman"/>
          <w:b w:val="0"/>
          <w:i w:val="0"/>
          <w:sz w:val="24"/>
        </w:rPr>
        <w:t xml:space="preserve"> were identified in 12% of isolates.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Figure 1:</w:t>
      </w:r>
      <w:r>
        <w:rPr>
          <w:rFonts w:ascii="Times New Roman" w:hAnsi="Times New Roman"/>
          <w:b w:val="0"/>
          <w:i w:val="0"/>
          <w:sz w:val="24"/>
        </w:rPr>
        <w:t xml:space="preserve"> Heatmap of AMR Gene Prevalence across Human, Poultry, and Environmental reserviors.</w:t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4_resistome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### Phylogenetic Analysis</w:t>
      </w:r>
    </w:p>
    <w:p>
      <w:r>
        <w:rPr>
          <w:rFonts w:ascii="Times New Roman" w:hAnsi="Times New Roman"/>
          <w:b w:val="0"/>
          <w:i w:val="0"/>
          <w:sz w:val="24"/>
        </w:rPr>
        <w:t xml:space="preserve">SNP analysis revealed a distinct clonal expansion of </w:t>
      </w:r>
      <w:r>
        <w:rPr>
          <w:rFonts w:ascii="Times New Roman" w:hAnsi="Times New Roman"/>
          <w:b w:val="0"/>
          <w:i/>
          <w:sz w:val="24"/>
        </w:rPr>
        <w:t>E. coli</w:t>
      </w:r>
      <w:r>
        <w:rPr>
          <w:rFonts w:ascii="Times New Roman" w:hAnsi="Times New Roman"/>
          <w:b w:val="0"/>
          <w:i w:val="0"/>
          <w:sz w:val="24"/>
        </w:rPr>
        <w:t xml:space="preserve"> ST131-H30Rx, spanning both clinical and environmental reservoirs, indicating ineffective containment of hospital waste.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Figure 2:</w:t>
      </w:r>
      <w:r>
        <w:rPr>
          <w:rFonts w:ascii="Times New Roman" w:hAnsi="Times New Roman"/>
          <w:b w:val="0"/>
          <w:i w:val="0"/>
          <w:sz w:val="24"/>
        </w:rPr>
        <w:t xml:space="preserve"> Phylogenetic Tree of </w:t>
      </w:r>
      <w:r>
        <w:rPr>
          <w:rFonts w:ascii="Times New Roman" w:hAnsi="Times New Roman"/>
          <w:b w:val="0"/>
          <w:i/>
          <w:sz w:val="24"/>
        </w:rPr>
        <w:t>E. coli</w:t>
      </w:r>
      <w:r>
        <w:rPr>
          <w:rFonts w:ascii="Times New Roman" w:hAnsi="Times New Roman"/>
          <w:b w:val="0"/>
          <w:i w:val="0"/>
          <w:sz w:val="24"/>
        </w:rPr>
        <w:t xml:space="preserve"> isolates showing clustering of clinical and environmental samples.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4_phylo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Discussion</w:t>
      </w:r>
    </w:p>
    <w:p>
      <w:r>
        <w:rPr>
          <w:rFonts w:ascii="Times New Roman" w:hAnsi="Times New Roman"/>
          <w:b w:val="0"/>
          <w:i w:val="0"/>
          <w:sz w:val="24"/>
        </w:rPr>
        <w:t>This study provides the first multi-sectoral genomic map of AMR in this region. The high prevalence of colistin resistance (</w:t>
      </w:r>
      <w:r>
        <w:rPr>
          <w:rFonts w:ascii="Times New Roman" w:hAnsi="Times New Roman"/>
          <w:b w:val="0"/>
          <w:i/>
          <w:sz w:val="24"/>
        </w:rPr>
        <w:t>mcr-1</w:t>
      </w:r>
      <w:r>
        <w:rPr>
          <w:rFonts w:ascii="Times New Roman" w:hAnsi="Times New Roman"/>
          <w:b w:val="0"/>
          <w:i w:val="0"/>
          <w:sz w:val="24"/>
        </w:rPr>
        <w:t>) in poultry supports the urgent need for banning colistin as a growth promoter. Furthermore, the presence of clinical clones in sewage underscores the role of the environment as a distinct reservoir...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References</w:t>
      </w:r>
    </w:p>
    <w:p>
      <w:r>
        <w:rPr>
          <w:rFonts w:ascii="Times New Roman" w:hAnsi="Times New Roman"/>
          <w:b w:val="0"/>
          <w:i w:val="0"/>
          <w:sz w:val="24"/>
        </w:rPr>
        <w:t xml:space="preserve">1.  Laxminarayan R, et al. Antibiotic resistance—the need for global solutions. </w:t>
      </w:r>
      <w:r>
        <w:rPr>
          <w:rFonts w:ascii="Times New Roman" w:hAnsi="Times New Roman"/>
          <w:b w:val="0"/>
          <w:i/>
          <w:sz w:val="24"/>
        </w:rPr>
        <w:t>Lancet Infect Dis</w:t>
      </w:r>
      <w:r>
        <w:rPr>
          <w:rFonts w:ascii="Times New Roman" w:hAnsi="Times New Roman"/>
          <w:b w:val="0"/>
          <w:i w:val="0"/>
          <w:sz w:val="24"/>
        </w:rPr>
        <w:t>. 2013.</w:t>
      </w:r>
    </w:p>
    <w:p>
      <w:r>
        <w:rPr>
          <w:rFonts w:ascii="Times New Roman" w:hAnsi="Times New Roman"/>
          <w:b w:val="0"/>
          <w:i w:val="0"/>
          <w:sz w:val="24"/>
        </w:rPr>
        <w:t xml:space="preserve">2.  Hu Y, et al. Dissemination of the mcr-1 colistin resistance gene. </w:t>
      </w:r>
      <w:r>
        <w:rPr>
          <w:rFonts w:ascii="Times New Roman" w:hAnsi="Times New Roman"/>
          <w:b w:val="0"/>
          <w:i/>
          <w:sz w:val="24"/>
        </w:rPr>
        <w:t>Lancet Infect Dis</w:t>
      </w:r>
      <w:r>
        <w:rPr>
          <w:rFonts w:ascii="Times New Roman" w:hAnsi="Times New Roman"/>
          <w:b w:val="0"/>
          <w:i w:val="0"/>
          <w:sz w:val="24"/>
        </w:rPr>
        <w:t>. 2016.</w:t>
      </w:r>
    </w:p>
    <w:p>
      <w:r>
        <w:rPr>
          <w:rFonts w:ascii="Times New Roman" w:hAnsi="Times New Roman"/>
          <w:b w:val="0"/>
          <w:i w:val="0"/>
          <w:sz w:val="24"/>
        </w:rPr>
        <w:t xml:space="preserve">3.  Wyres KL, et al. Population genomics of Klebsiella pneumoniae. </w:t>
      </w:r>
      <w:r>
        <w:rPr>
          <w:rFonts w:ascii="Times New Roman" w:hAnsi="Times New Roman"/>
          <w:b w:val="0"/>
          <w:i/>
          <w:sz w:val="24"/>
        </w:rPr>
        <w:t>Nat Rev Microbiol</w:t>
      </w:r>
      <w:r>
        <w:rPr>
          <w:rFonts w:ascii="Times New Roman" w:hAnsi="Times New Roman"/>
          <w:b w:val="0"/>
          <w:i w:val="0"/>
          <w:sz w:val="24"/>
        </w:rPr>
        <w:t>. 2020.</w:t>
      </w:r>
    </w:p>
    <w:p>
      <w:r>
        <w:rPr>
          <w:rFonts w:ascii="Times New Roman" w:hAnsi="Times New Roman"/>
          <w:b w:val="0"/>
          <w:i w:val="0"/>
          <w:sz w:val="24"/>
        </w:rP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