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Times New Roman" w:hAnsi="Times New Roman"/>
          <w:color w:val="000000"/>
        </w:rPr>
        <w:t>Policy Brief: Impact of the 2019 'Red Line' Campaign on AMR</w:t>
      </w:r>
    </w:p>
    <w:p>
      <w:r>
        <w:rPr>
          <w:rFonts w:ascii="Times New Roman" w:hAnsi="Times New Roman"/>
          <w:sz w:val="24"/>
        </w:rPr>
        <w:t>Authors: AI for Public Health Lab</w:t>
      </w:r>
    </w:p>
    <w:p>
      <w:r>
        <w:rPr>
          <w:rFonts w:ascii="Times New Roman" w:hAnsi="Times New Roman"/>
          <w:sz w:val="24"/>
        </w:rPr>
        <w:t>Date: January 2026</w:t>
        <w:br/>
      </w:r>
    </w:p>
    <w:p>
      <w:pPr>
        <w:pStyle w:val="Heading1"/>
      </w:pPr>
      <w:r>
        <w:rPr>
          <w:rFonts w:ascii="Times New Roman" w:hAnsi="Times New Roman"/>
          <w:color w:val="000000"/>
        </w:rPr>
        <w:t>Executive Summary</w:t>
      </w:r>
    </w:p>
    <w:p>
      <w:r>
        <w:rPr>
          <w:rFonts w:ascii="Times New Roman" w:hAnsi="Times New Roman"/>
          <w:sz w:val="24"/>
        </w:rPr>
        <w:t>This brief evaluates the effectiveness of the 2019 National 'Red Line' Antibiotic Awareness Campaign using Interrupted Time Series (ITS) analysis of resistance trends from 2016-2024.</w:t>
      </w:r>
    </w:p>
    <w:p>
      <w:pPr>
        <w:pStyle w:val="Heading1"/>
      </w:pPr>
      <w:r>
        <w:rPr>
          <w:rFonts w:ascii="Times New Roman" w:hAnsi="Times New Roman"/>
          <w:color w:val="000000"/>
        </w:rPr>
        <w:t>Key Findings</w:t>
      </w:r>
    </w:p>
    <w:p>
      <w:r>
        <w:rPr>
          <w:rFonts w:ascii="Times New Roman" w:hAnsi="Times New Roman"/>
          <w:sz w:val="24"/>
        </w:rPr>
        <w:t>1. Trend Reversal: Prior to 2019, resistance rates were rising annually. Post-2019, the trend shows a flattening (Slope Change: -1.23%).</w:t>
      </w:r>
    </w:p>
    <w:p>
      <w:r>
        <w:rPr>
          <w:rFonts w:ascii="Times New Roman" w:hAnsi="Times New Roman"/>
          <w:sz w:val="24"/>
        </w:rPr>
        <w:t>2. Statistical Significance: While the direction is positive, the change is not yet statistically significant (p=0.85), likely due to the short post-intervention window.</w:t>
      </w:r>
    </w:p>
    <w:p>
      <w:pPr>
        <w:pStyle w:val="Heading1"/>
      </w:pPr>
      <w:r>
        <w:rPr>
          <w:rFonts w:ascii="Times New Roman" w:hAnsi="Times New Roman"/>
          <w:color w:val="000000"/>
        </w:rPr>
        <w:t>Visual Evidence</w:t>
      </w:r>
    </w:p>
    <w:p>
      <w:r>
        <w:rPr>
          <w:rFonts w:ascii="Times New Roman" w:hAnsi="Times New Roman"/>
          <w:sz w:val="24"/>
        </w:rPr>
        <w:t>[INSERT FIGURE HERE: red_line_impact_its.png]</w:t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d_line_impact_it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Times New Roman" w:hAnsi="Times New Roman"/>
          <w:color w:val="000000"/>
        </w:rPr>
        <w:t>Recommendations</w:t>
      </w:r>
    </w:p>
    <w:p>
      <w:r>
        <w:rPr>
          <w:rFonts w:ascii="Times New Roman" w:hAnsi="Times New Roman"/>
          <w:sz w:val="24"/>
        </w:rPr>
        <w:t>- Sustain the Campaign: The signals of 'flattening' suggest the campaign is working.</w:t>
      </w:r>
    </w:p>
    <w:p>
      <w:r>
        <w:rPr>
          <w:rFonts w:ascii="Times New Roman" w:hAnsi="Times New Roman"/>
          <w:sz w:val="24"/>
        </w:rPr>
        <w:t>- Enhance Surveillance: Expand data collection to increase statistical power.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