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Hospital AMR Stewardship Scorecard (2025)</w:t>
      </w:r>
    </w:p>
    <w:p>
      <w:r>
        <w:rPr>
          <w:rFonts w:ascii="Times New Roman" w:hAnsi="Times New Roman"/>
          <w:sz w:val="24"/>
        </w:rPr>
        <w:t>A PCA-Based Ranking of Clinical Resistance Burden</w:t>
      </w:r>
    </w:p>
    <w:p>
      <w:pPr>
        <w:pStyle w:val="Heading1"/>
      </w:pPr>
      <w:r>
        <w:rPr>
          <w:rFonts w:ascii="Times New Roman" w:hAnsi="Times New Roman"/>
          <w:color w:val="000000"/>
        </w:rPr>
        <w:t>Methodology</w:t>
      </w:r>
    </w:p>
    <w:p>
      <w:r>
        <w:rPr>
          <w:rFonts w:ascii="Times New Roman" w:hAnsi="Times New Roman"/>
          <w:sz w:val="24"/>
        </w:rPr>
        <w:t>We utilised Principal Component Analysis (PCA) to condense multi-drug resistance patterns into a single 'Burden Score' (0-100). Higher scores indicate higher overall resistance.</w:t>
      </w:r>
    </w:p>
    <w:p>
      <w:pPr>
        <w:pStyle w:val="Heading1"/>
      </w:pPr>
      <w:r>
        <w:rPr>
          <w:rFonts w:ascii="Times New Roman" w:hAnsi="Times New Roman"/>
          <w:color w:val="000000"/>
        </w:rPr>
        <w:t>Top 5 High-Burden Centers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Rank</w:t>
            </w:r>
          </w:p>
        </w:tc>
        <w:tc>
          <w:tcPr>
            <w:tcW w:type="dxa" w:w="2880"/>
          </w:tcPr>
          <w:p>
            <w:r>
              <w:t>Center Name</w:t>
            </w:r>
          </w:p>
        </w:tc>
        <w:tc>
          <w:tcPr>
            <w:tcW w:type="dxa" w:w="2880"/>
          </w:tcPr>
          <w:p>
            <w:r>
              <w:t>Burden Score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MGIMS Wardha</w:t>
            </w:r>
          </w:p>
        </w:tc>
        <w:tc>
          <w:tcPr>
            <w:tcW w:type="dxa" w:w="2880"/>
          </w:tcPr>
          <w:p>
            <w:r>
              <w:t>100.0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AIIMS New Delhi</w:t>
            </w:r>
          </w:p>
        </w:tc>
        <w:tc>
          <w:tcPr>
            <w:tcW w:type="dxa" w:w="2880"/>
          </w:tcPr>
          <w:p>
            <w:r>
              <w:t>98.0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AIIMS Bhopal</w:t>
            </w:r>
          </w:p>
        </w:tc>
        <w:tc>
          <w:tcPr>
            <w:tcW w:type="dxa" w:w="2880"/>
          </w:tcPr>
          <w:p>
            <w:r>
              <w:t>72.8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KGMU Lucknow</w:t>
            </w:r>
          </w:p>
        </w:tc>
        <w:tc>
          <w:tcPr>
            <w:tcW w:type="dxa" w:w="2880"/>
          </w:tcPr>
          <w:p>
            <w:r>
              <w:t>66.5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SKIMS Srinagar</w:t>
            </w:r>
          </w:p>
        </w:tc>
        <w:tc>
          <w:tcPr>
            <w:tcW w:type="dxa" w:w="2880"/>
          </w:tcPr>
          <w:p>
            <w:r>
              <w:t>55.8</w:t>
            </w:r>
          </w:p>
        </w:tc>
      </w:tr>
    </w:tbl>
    <w:p>
      <w:pPr>
        <w:pStyle w:val="Heading1"/>
      </w:pPr>
      <w:r>
        <w:rPr>
          <w:rFonts w:ascii="Times New Roman" w:hAnsi="Times New Roman"/>
          <w:color w:val="000000"/>
        </w:rPr>
        <w:t>Scorecard Visualization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mr_scorecard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