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January 7, 2026</w:t>
      </w:r>
    </w:p>
    <w:p/>
    <w:p>
      <w:r>
        <w:t>To,</w:t>
      </w:r>
    </w:p>
    <w:p>
      <w:r>
        <w:t>The Editor-in-Chief</w:t>
      </w:r>
    </w:p>
    <w:p>
      <w:r>
        <w:t>Indian Journal of Medical Microbiology</w:t>
      </w:r>
    </w:p>
    <w:p>
      <w:r>
        <w:t>Chennai, India</w:t>
      </w:r>
    </w:p>
    <w:p/>
    <w:p>
      <w:r>
        <w:t>Subject: Submission of Original Article</w:t>
      </w:r>
    </w:p>
    <w:p/>
    <w:p>
      <w:r>
        <w:t>Dear Editor,</w:t>
      </w:r>
    </w:p>
    <w:p/>
    <w:p>
      <w:r>
        <w:t>We are submitting our manuscript titled "</w:t>
      </w:r>
      <w:r>
        <w:rPr>
          <w:i/>
        </w:rPr>
        <w:t>Molecular Epidemiology of Antimicrobial Resistance Genes in Indian Clinical Isolates: Analysis of ICMR-AMRSN Surveillance Data (2017-2024)</w:t>
      </w:r>
      <w:r>
        <w:t>" for publication in your esteemed journal.</w:t>
      </w:r>
    </w:p>
    <w:p/>
    <w:p>
      <w:r>
        <w:t>This comprehensive longitudinal analysis characterizes the molecular landscape of AMR in India. We highlight the dominance of blaNDM and blaOXA-23 carbapenemases, a pattern distinct from Western countries. We also demonstrate that despite high resistance, reserve agents like colistin retain efficacy, emphasizing the need for their protected use.</w:t>
      </w:r>
    </w:p>
    <w:p/>
    <w:p>
      <w:r>
        <w:t>All authors have approved the manuscript. It is not under consideration elsewhere.</w:t>
      </w:r>
    </w:p>
    <w:p/>
    <w:p>
      <w:r>
        <w:t>Sincerely,</w:t>
      </w:r>
    </w:p>
    <w:p>
      <w:r>
        <w:t>Dr. Siddalingaiah H S</w:t>
      </w:r>
    </w:p>
    <w:p>
      <w:r>
        <w:t>Corresponding Author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