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Molecular Epidemiology of Antimicrobial Resistance Genes in Indian Clinical Isolates: Analysis of ICMR-AMRSN Surveillance Data (2017-2024)</w:t>
      </w:r>
    </w:p>
    <w:p>
      <w:r>
        <w:rPr>
          <w:b/>
        </w:rPr>
        <w:t xml:space="preserve">Running Title: </w:t>
      </w:r>
      <w:r>
        <w:t>Molecular Trends in Indian AMR Isolates</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Article Type: </w:t>
      </w:r>
      <w:r>
        <w:t>Original Article</w:t>
      </w:r>
    </w:p>
    <w:p>
      <w:r>
        <w:rPr>
          <w:b/>
        </w:rPr>
        <w:t xml:space="preserve">Word Count: </w:t>
      </w:r>
      <w:r>
        <w:t>Abstract: 245 words | Main Text: 2,850 words</w:t>
      </w:r>
    </w:p>
    <w:p>
      <w:r>
        <w:br w:type="page"/>
      </w:r>
    </w:p>
    <w:p>
      <w:pPr>
        <w:pStyle w:val="Heading1"/>
      </w:pPr>
      <w:r>
        <w:rPr>
          <w:rFonts w:ascii="Times New Roman" w:hAnsi="Times New Roman"/>
        </w:rPr>
        <w:t>Abstract</w:t>
      </w:r>
    </w:p>
    <w:p>
      <w:r>
        <w:rPr>
          <w:b/>
        </w:rPr>
        <w:t xml:space="preserve">Background: </w:t>
      </w:r>
      <w:r>
        <w:t>The escalating burden of antimicrobial resistance (AMR) in India is driven by the dissemination of potent resistance mechanisms, particularly carbapenemases and extended-spectrum beta-lactamases (ESBLs). Understanding the molecular epidemiology of these genes is crucial for diagnostic and therapeutic strategies.</w:t>
      </w:r>
    </w:p>
    <w:p>
      <w:r>
        <w:rPr>
          <w:b/>
        </w:rPr>
        <w:t xml:space="preserve">Methods: </w:t>
      </w:r>
      <w:r>
        <w:t>We analyzed molecular surveillance data from the Indian Council of Medical Research Antimicrobial Resistance Surveillance Network (ICMR-AMRSN) spanning 2017-2024. The distribution, prevalence, and temporal trends of key resistance genes (NDM, OXA-48, OXA-23, VIM, CTX-M-15, mecA, vanA) were characterized across ESKAPE pathogens. Susceptibility to reserve agents (colistin, tigecycline, fosfomycin) was assessed.</w:t>
      </w:r>
    </w:p>
    <w:p>
      <w:r>
        <w:rPr>
          <w:b/>
        </w:rPr>
        <w:t xml:space="preserve">Results: </w:t>
      </w:r>
      <w:r>
        <w:t>Analysis of 44 surveillance datasets revealed distinct molecular profiles. Acinetobacter baumannii resistance was dominated by OXA-23 (76% prevalence). In Klebsiella pneumoniae and Escherichia coli, NDM (14-19%) and OXA-48 (25-31%) were the primary carbapenemases, often co-occurring with CTX-M-15 ESBLs. VIM and IMP metallo-beta-lactamases were less common but persistent. Methicillin resistance in Staphylococcus aureus (MRSA) was universally mecA-mediated. Encouragingly, susceptibility to colistin (&gt;94%), fosfomycin, and tigecycline remained high among Gram-negative isolates.</w:t>
      </w:r>
    </w:p>
    <w:p>
      <w:r>
        <w:rPr>
          <w:b/>
        </w:rPr>
        <w:t xml:space="preserve">Conclusions: </w:t>
      </w:r>
      <w:r>
        <w:t>Indian clinical isolates exhibit a complex landscape of resistance mechanisms with high prevalence of NDM and OXA-23 carbapenemases. The persistence of these genes underscores the need for widespread molecular testing to guide therapy. Colistin remains a vital reserve option, but its use must be safeguarded through strict stewardship.</w:t>
      </w:r>
    </w:p>
    <w:p/>
    <w:p>
      <w:r>
        <w:rPr>
          <w:b/>
        </w:rPr>
        <w:t xml:space="preserve">Keywords: </w:t>
      </w:r>
      <w:r>
        <w:t>Antimicrobial resistance; Carbapenemase; NDM-1; OXA-23; Molecular epidemiology; India; ICMR-AMRSN</w:t>
      </w:r>
    </w:p>
    <w:p>
      <w:r>
        <w:br w:type="page"/>
      </w:r>
    </w:p>
    <w:p>
      <w:pPr>
        <w:pStyle w:val="Heading1"/>
      </w:pPr>
      <w:r>
        <w:rPr>
          <w:rFonts w:ascii="Times New Roman" w:hAnsi="Times New Roman"/>
        </w:rPr>
        <w:t>Introduction</w:t>
      </w:r>
    </w:p>
    <w:p>
      <w:pPr>
        <w:ind w:firstLine="720"/>
      </w:pPr>
      <w:r>
        <w:t>India is often termed the 'AMR capital of the world' due to the high burden of multidrug-resistant organisms and antibiotic consumption.</w:t>
      </w:r>
      <w:r>
        <w:rPr>
          <w:vertAlign w:val="superscript"/>
        </w:rPr>
        <w:t>1</w:t>
      </w:r>
      <w:r>
        <w:t xml:space="preserve"> The emergence and spread of carbapenem-resistant Enterobacteriaceae (CRE) and Acinetobacter baumannii pose a severe threat to clinical outcomes in intensive care units.</w:t>
      </w:r>
      <w:r>
        <w:rPr>
          <w:vertAlign w:val="superscript"/>
        </w:rPr>
        <w:t>2</w:t>
      </w:r>
      <w:r>
        <w:t xml:space="preserve"> Unlike in many Western nations where KPC carbapenemases predominate, the molecular landscape in India is characterized by a diversity of metallo-beta-lactamases (MBLs) such as New Delhi Metallo-beta-lactamase (NDM) and oxacillinases like OXA-48 and OXA-23.</w:t>
      </w:r>
      <w:r>
        <w:rPr>
          <w:vertAlign w:val="superscript"/>
        </w:rPr>
        <w:t>3,4</w:t>
      </w:r>
    </w:p>
    <w:p>
      <w:pPr>
        <w:ind w:firstLine="720"/>
      </w:pPr>
      <w:r>
        <w:t>The presence of these specific resistance genes has profound implications for treatment. For instance, NDM-producing organisms are resistant to most beta-lactams including ceftazidime-avibactam, necessitating the use of alternative combinations like aztreonam-avibactam or reserve agents like colistin.</w:t>
      </w:r>
      <w:r>
        <w:rPr>
          <w:vertAlign w:val="superscript"/>
        </w:rPr>
        <w:t>5</w:t>
      </w:r>
      <w:r>
        <w:t xml:space="preserve"> Conversely, OXA-48 producers may remain susceptible to cephalosporins but resistant to carbapenems, complicating phenotypic detection.</w:t>
      </w:r>
      <w:r>
        <w:rPr>
          <w:vertAlign w:val="superscript"/>
        </w:rPr>
        <w:t>6</w:t>
      </w:r>
    </w:p>
    <w:p>
      <w:pPr>
        <w:ind w:firstLine="720"/>
      </w:pPr>
      <w:r>
        <w:t>The Indian Council of Medical Research (ICMR) established a national network (AMRSN) to monitor these trends.</w:t>
      </w:r>
      <w:r>
        <w:rPr>
          <w:vertAlign w:val="superscript"/>
        </w:rPr>
        <w:t>7</w:t>
      </w:r>
      <w:r>
        <w:t xml:space="preserve"> While annual reports provide snapshot data, a comprehensive longitudinal analysis of the molecular epidemiology across years and pathogens is essential to identify shifting patterns and emerging threats.</w:t>
      </w:r>
      <w:r>
        <w:rPr>
          <w:vertAlign w:val="superscript"/>
        </w:rPr>
        <w:t>8</w:t>
      </w:r>
    </w:p>
    <w:p>
      <w:pPr>
        <w:ind w:firstLine="720"/>
      </w:pPr>
      <w:r>
        <w:t>This study analyzes molecular surveillance data from 2017 to 2024 to characterize the distribution, prevalence, and temporal trends of major resistance genes in Indian clinical isolates, correlating these genotypes with susceptibility to key reserve antibiotics.</w:t>
      </w:r>
    </w:p>
    <w:p>
      <w:pPr>
        <w:pStyle w:val="Heading1"/>
      </w:pPr>
      <w:r>
        <w:rPr>
          <w:rFonts w:ascii="Times New Roman" w:hAnsi="Times New Roman"/>
        </w:rPr>
        <w:t>Material &amp; Methods</w:t>
      </w:r>
    </w:p>
    <w:p>
      <w:pPr>
        <w:ind w:firstLine="720"/>
      </w:pPr>
      <w:r>
        <w:rPr>
          <w:b/>
        </w:rPr>
        <w:t xml:space="preserve">Data Sources: </w:t>
      </w:r>
      <w:r>
        <w:t>We comprised a dataset of 44 aggregated molecular surveillance records from ICMR-AMRSN annual reports and associated publications spanning the years 2017 through 2024. Data sources included molecular characterization of isolates from tertiary care centers across India.</w:t>
      </w:r>
      <w:r>
        <w:rPr>
          <w:vertAlign w:val="superscript"/>
        </w:rPr>
        <w:t>9</w:t>
      </w:r>
    </w:p>
    <w:p>
      <w:pPr>
        <w:ind w:firstLine="720"/>
      </w:pPr>
      <w:r>
        <w:rPr>
          <w:b/>
        </w:rPr>
        <w:t xml:space="preserve">Target Genes: </w:t>
      </w:r>
      <w:r>
        <w:t>The analysis focused on major carbapenemase genes (blaNDM, blaOXA-48-like, blaOXA-23-like, blaVIM, blaIMP, blaKPC), ESBL genes (blaCTX-M-15, blaTEM, blaSHV), and Gram-positive resistance markers (mecA, vanA).</w:t>
      </w:r>
    </w:p>
    <w:p>
      <w:pPr>
        <w:ind w:firstLine="720"/>
      </w:pPr>
      <w:r>
        <w:rPr>
          <w:b/>
        </w:rPr>
        <w:t xml:space="preserve">Data Analysis: </w:t>
      </w:r>
      <w:r>
        <w:t>Gene prevalence was extracted as the percentage of isolates testing positive for a specific gene among the total isolates tested. Susceptibility rates for colistin, tigecycline, fosfomycin, minocycline, vancomycin, and linezolid were also extracted. Heatmaps and trend lines were generated to visualize distribution and temporal changes using Python/Matplotlib/Seaborn.</w:t>
      </w:r>
      <w:r>
        <w:rPr>
          <w:vertAlign w:val="superscript"/>
        </w:rPr>
        <w:t>10</w:t>
      </w:r>
    </w:p>
    <w:p>
      <w:pPr>
        <w:pStyle w:val="Heading1"/>
      </w:pPr>
      <w:r>
        <w:rPr>
          <w:rFonts w:ascii="Times New Roman" w:hAnsi="Times New Roman"/>
        </w:rPr>
        <w:t>Results</w:t>
      </w:r>
    </w:p>
    <w:p>
      <w:pPr>
        <w:ind w:firstLine="720"/>
      </w:pPr>
      <w:r>
        <w:rPr>
          <w:b/>
        </w:rPr>
        <w:t xml:space="preserve">Gene Distribution by Pathogen: </w:t>
      </w:r>
      <w:r>
        <w:t>Figure 1 and Table 1 summarize the distribution of resistance genes. A distinct pathogen-specific profile was observed:</w:t>
      </w:r>
    </w:p>
    <w:p>
      <w:r>
        <w:rPr>
          <w:b/>
        </w:rPr>
        <w:t xml:space="preserve">• Acinetobacter baumannii: </w:t>
      </w:r>
      <w:r>
        <w:t>Resistance was overwhelmingly driven by blaOXA-23, detected in 76% of carbapenem-resistant isolates. Co-occurrence with NDM was also noted.</w:t>
      </w:r>
      <w:r>
        <w:rPr>
          <w:vertAlign w:val="superscript"/>
        </w:rPr>
        <w:t>11</w:t>
      </w:r>
    </w:p>
    <w:p>
      <w:r>
        <w:rPr>
          <w:b/>
        </w:rPr>
        <w:t xml:space="preserve">• Klebsiella pneumoniae: </w:t>
      </w:r>
      <w:r>
        <w:t>This pathogen showed the most diverse resistome, with high prevalence of blaOXA-48 (25-31%), blaNDM (19%), and blaSHV. The blaCTX-M-15 gene was the predominant ESBL.</w:t>
      </w:r>
      <w:r>
        <w:rPr>
          <w:vertAlign w:val="superscript"/>
        </w:rPr>
        <w:t>12</w:t>
      </w:r>
    </w:p>
    <w:p>
      <w:r>
        <w:rPr>
          <w:b/>
        </w:rPr>
        <w:t xml:space="preserve">• Escherichia coli: </w:t>
      </w:r>
      <w:r>
        <w:t>NDM-1 (14-19%) and blaCTX-M-15 (34%) were the primary determinants. blaTEM and blaOXA-1 were also frequently detected.</w:t>
      </w:r>
    </w:p>
    <w:p>
      <w:pPr>
        <w:jc w:val="center"/>
      </w:pPr>
      <w:r>
        <w:rPr>
          <w:b/>
        </w:rPr>
        <w:t>[FIGURE 1 &amp; TABLE 1 HERE]</w:t>
      </w:r>
    </w:p>
    <w:p>
      <w:pPr>
        <w:ind w:firstLine="720"/>
      </w:pPr>
      <w:r>
        <w:rPr>
          <w:b/>
        </w:rPr>
        <w:t xml:space="preserve">Temporal Trends: </w:t>
      </w:r>
      <w:r>
        <w:t>Longitudinal analysis (Figure 2) showed a persistent high prevalence of blaOXA-23 in A. baumannii throughout the study period. A rising trend in blaNDM variants was observed in Enterobacteriaceae from 2017 to 2024, highlighting the expanding burden of MBLs.</w:t>
      </w:r>
      <w:r>
        <w:rPr>
          <w:vertAlign w:val="superscript"/>
        </w:rPr>
        <w:t>13</w:t>
      </w:r>
    </w:p>
    <w:p>
      <w:pPr>
        <w:jc w:val="center"/>
      </w:pPr>
      <w:r>
        <w:rPr>
          <w:b/>
        </w:rPr>
        <w:t>[FIGURE 2 HERE]</w:t>
      </w:r>
    </w:p>
    <w:p>
      <w:pPr>
        <w:ind w:firstLine="720"/>
      </w:pPr>
      <w:r>
        <w:rPr>
          <w:b/>
        </w:rPr>
        <w:t xml:space="preserve">Susceptibility to Reserve Agents: </w:t>
      </w:r>
      <w:r>
        <w:t>Despite the high burden of resistance genes, susceptibility to specific reserve agents remained robust (Figure 3, Table 2). Colistin susceptibility exceeded 94% for most Gram-negative isolates. Fosfomycin retained high activity against E. coli (&gt;95%). Minocycline showed moderate activity (approx. 50-70%) against A. baumannii.</w:t>
      </w:r>
      <w:r>
        <w:rPr>
          <w:vertAlign w:val="superscript"/>
        </w:rPr>
        <w:t>14</w:t>
      </w:r>
    </w:p>
    <w:p>
      <w:pPr>
        <w:jc w:val="center"/>
      </w:pPr>
      <w:r>
        <w:rPr>
          <w:b/>
        </w:rPr>
        <w:t>[FIGURE 3 &amp; TABLE 2 HERE]</w:t>
      </w:r>
    </w:p>
    <w:p>
      <w:pPr>
        <w:pStyle w:val="Heading1"/>
      </w:pPr>
      <w:r>
        <w:rPr>
          <w:rFonts w:ascii="Times New Roman" w:hAnsi="Times New Roman"/>
        </w:rPr>
        <w:t>Discussion</w:t>
      </w:r>
    </w:p>
    <w:p>
      <w:pPr>
        <w:ind w:firstLine="720"/>
      </w:pPr>
      <w:r>
        <w:t>The molecular epidemiology of AMR in India is characterized by the dominance of NDM and OXA-23, distinguishing it from regions where KPC is endemic.</w:t>
      </w:r>
      <w:r>
        <w:rPr>
          <w:vertAlign w:val="superscript"/>
        </w:rPr>
        <w:t>15</w:t>
      </w:r>
      <w:r>
        <w:t xml:space="preserve"> Our findings confirm that blaOXA-23 is the primary driver of carbapenem resistance in A. baumannii, aligning with global reports of the successful expansion of International Clone 2.</w:t>
      </w:r>
      <w:r>
        <w:rPr>
          <w:vertAlign w:val="superscript"/>
        </w:rPr>
        <w:t>16</w:t>
      </w:r>
    </w:p>
    <w:p>
      <w:pPr>
        <w:ind w:firstLine="720"/>
      </w:pPr>
      <w:r>
        <w:t>The high prevalence of NDM (up to 19%) in Enterobacteriaceae is clinically significant. NDM hydrolyzes all beta-lactams except monobactams, and most NDM producers also carry determinants for aztreonam resistance.</w:t>
      </w:r>
      <w:r>
        <w:rPr>
          <w:vertAlign w:val="superscript"/>
        </w:rPr>
        <w:t>17</w:t>
      </w:r>
      <w:r>
        <w:t xml:space="preserve"> This renders phenotypic carbapenem susceptibility testing insufficient; molecular characterization is essential to identify patients who might benefit from novel combination therapies like aztreonam-avibactam.</w:t>
      </w:r>
      <w:r>
        <w:rPr>
          <w:vertAlign w:val="superscript"/>
        </w:rPr>
        <w:t>18</w:t>
      </w:r>
    </w:p>
    <w:p>
      <w:pPr>
        <w:ind w:firstLine="720"/>
      </w:pPr>
      <w:r>
        <w:t>The persistence of colistin susceptibility is a critical finding. As a last-resort agent, its efficacy must be preserved. However, the emergence of plasmid-mediated colistin resistance (mcr genes), though not explicitly quantified in this aggregate dataset, remains a potential threat that requires vigilance.</w:t>
      </w:r>
      <w:r>
        <w:rPr>
          <w:vertAlign w:val="superscript"/>
        </w:rPr>
        <w:t>19</w:t>
      </w:r>
    </w:p>
    <w:p>
      <w:pPr>
        <w:ind w:firstLine="720"/>
      </w:pPr>
      <w:r>
        <w:t>Limitations of this study include the use of aggregate surveillance data which may lack granular patient details. Additionally, the panel of genes tested may vary between centers and years. Nevertheless, the consistencies observed across multiple years provide a robust overview of the national resistome.</w:t>
      </w:r>
      <w:r>
        <w:rPr>
          <w:vertAlign w:val="superscript"/>
        </w:rPr>
        <w:t>20</w:t>
      </w:r>
    </w:p>
    <w:p>
      <w:pPr>
        <w:ind w:firstLine="720"/>
      </w:pPr>
      <w:r>
        <w:t>Future directions should include genomic surveillance for emerging mechanisms like ceftazidime-avibactam resistance mutations in NDM or OXA-48 backgrounds, which have been reported globally.</w:t>
      </w:r>
      <w:r>
        <w:rPr>
          <w:vertAlign w:val="superscript"/>
        </w:rPr>
        <w:t>21</w:t>
      </w:r>
    </w:p>
    <w:p>
      <w:pPr>
        <w:pStyle w:val="Heading1"/>
      </w:pPr>
      <w:r>
        <w:rPr>
          <w:rFonts w:ascii="Times New Roman" w:hAnsi="Times New Roman"/>
        </w:rPr>
        <w:t>Conclusions</w:t>
      </w:r>
    </w:p>
    <w:p>
      <w:pPr>
        <w:ind w:firstLine="720"/>
      </w:pPr>
      <w:r>
        <w:t>The resistome of Indian clinical isolates is dominated by NDM and OXA-23 carbapenemases, necessitating tailored diagnostic and therapeutic approaches. While reserve agents like colistin remain effective, their use must be judicious. Strengthening molecular surveillance coverage is vital for early detection of emerging resistance clones.</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Laxminarayan R, Chaudhury RR. Antibiotic resistance in India: drivers and opportunities for action. PLoS Med. 2016;13(3):e1001974.</w:t>
      </w:r>
    </w:p>
    <w:p>
      <w:pPr>
        <w:spacing w:line="360" w:lineRule="auto"/>
        <w:ind w:hanging="283" w:left="283"/>
      </w:pPr>
      <w:r>
        <w:rPr>
          <w:b w:val="0"/>
        </w:rPr>
        <w:t xml:space="preserve">2. </w:t>
      </w:r>
      <w:r>
        <w:t>Gandra S, Alvarez-Uria G, Turner P, et al. Antimicrobial resistance surveillance in low- and middle-income countries. Clin Infect Dis. 2020;71(10):2464-2471.</w:t>
      </w:r>
    </w:p>
    <w:p>
      <w:pPr>
        <w:spacing w:line="360" w:lineRule="auto"/>
        <w:ind w:hanging="283" w:left="283"/>
      </w:pPr>
      <w:r>
        <w:rPr>
          <w:b w:val="0"/>
        </w:rPr>
        <w:t xml:space="preserve">3. </w:t>
      </w:r>
      <w:r>
        <w:t>Yong D, Toleman MA, Giske CG, et al. Characterization of a new metallo-beta-lactamase gene, bla(NDM-1), and a novel erythromycin esterase gene carried on a unique genetic structure in Klebsiella pneumoniae sequence type 14 from India. Antimicrob Agents Chemother. 2009;53(12):5046-5054.</w:t>
      </w:r>
    </w:p>
    <w:p>
      <w:pPr>
        <w:spacing w:line="360" w:lineRule="auto"/>
        <w:ind w:hanging="283" w:left="283"/>
      </w:pPr>
      <w:r>
        <w:rPr>
          <w:b w:val="0"/>
        </w:rPr>
        <w:t xml:space="preserve">4. </w:t>
      </w:r>
      <w:r>
        <w:t>Poirel L, Potron A, Nordmann P. OXA-48-like carbapenemases: the phantom menace. J Antimicrob Chemother. 2012;67(7):1597-1606.</w:t>
      </w:r>
    </w:p>
    <w:p>
      <w:pPr>
        <w:spacing w:line="360" w:lineRule="auto"/>
        <w:ind w:hanging="283" w:left="283"/>
      </w:pPr>
      <w:r>
        <w:rPr>
          <w:b w:val="0"/>
        </w:rPr>
        <w:t xml:space="preserve">5. </w:t>
      </w:r>
      <w:r>
        <w:t>Falcone M, Paterson D. Spotlight on ceftazidime-avibactam: a new option for MDR Gram-negative infections. J Antimicrob Chemother. 2016;71(10):2713-2722.</w:t>
      </w:r>
    </w:p>
    <w:p>
      <w:pPr>
        <w:spacing w:line="360" w:lineRule="auto"/>
        <w:ind w:hanging="283" w:left="283"/>
      </w:pPr>
      <w:r>
        <w:rPr>
          <w:b w:val="0"/>
        </w:rPr>
        <w:t xml:space="preserve">6. </w:t>
      </w:r>
      <w:r>
        <w:t>Bakthavatchalam YD, Anandan S, Veeraraghavan B. Laboratory detection and clinical implication of oxacillinase-48 like carbapenemase: The hidden threat. J Glob Infect Dis. 2016;8(1):41-50.</w:t>
      </w:r>
    </w:p>
    <w:p>
      <w:pPr>
        <w:spacing w:line="360" w:lineRule="auto"/>
        <w:ind w:hanging="283" w:left="283"/>
      </w:pPr>
      <w:r>
        <w:rPr>
          <w:b w:val="0"/>
        </w:rPr>
        <w:t xml:space="preserve">7. </w:t>
      </w:r>
      <w:r>
        <w:t>Walia K, Ohri VC, Mathai D. Antimicrobial stewardship programme (AMSP) in hospitals in India. New Delhi: ICMR; 2018.</w:t>
      </w:r>
    </w:p>
    <w:p>
      <w:pPr>
        <w:spacing w:line="360" w:lineRule="auto"/>
        <w:ind w:hanging="283" w:left="283"/>
      </w:pPr>
      <w:r>
        <w:rPr>
          <w:b w:val="0"/>
        </w:rPr>
        <w:t xml:space="preserve">8. </w:t>
      </w:r>
      <w:r>
        <w:t>Indian Council of Medical Research. Annual Report: Antimicrobial Resistance Research and Surveillance Network. New Delhi: ICMR; 2022.</w:t>
      </w:r>
    </w:p>
    <w:p>
      <w:pPr>
        <w:spacing w:line="360" w:lineRule="auto"/>
        <w:ind w:hanging="283" w:left="283"/>
      </w:pPr>
      <w:r>
        <w:rPr>
          <w:b w:val="0"/>
        </w:rPr>
        <w:t xml:space="preserve">9. </w:t>
      </w:r>
      <w:r>
        <w:t>Veeraraghavan B, Walia K. Antimicrobial susceptibility profile of GLASS priority pathogens from India. Indian J Med Res. 2019;149(2):87-96.</w:t>
      </w:r>
    </w:p>
    <w:p>
      <w:pPr>
        <w:spacing w:line="360" w:lineRule="auto"/>
        <w:ind w:hanging="283" w:left="283"/>
      </w:pPr>
      <w:r>
        <w:rPr>
          <w:b w:val="0"/>
        </w:rPr>
        <w:t xml:space="preserve">10. </w:t>
      </w:r>
      <w:r>
        <w:t>Hunter JD. Matplotlib: A 2D graphics environment. Comput Sci Eng. 2007;9(3):90-95.</w:t>
      </w:r>
    </w:p>
    <w:p>
      <w:pPr>
        <w:spacing w:line="360" w:lineRule="auto"/>
        <w:ind w:hanging="283" w:left="283"/>
      </w:pPr>
      <w:r>
        <w:rPr>
          <w:b w:val="0"/>
        </w:rPr>
        <w:t xml:space="preserve">11. </w:t>
      </w:r>
      <w:r>
        <w:t>Higgins PG, Dammhayn C, Hackel M, Seifert H. Global spread of carbapenem-resistant Acinetobacter baumannii. J Antimicrob Chemother. 2010;65(2):233-238.</w:t>
      </w:r>
    </w:p>
    <w:p>
      <w:pPr>
        <w:spacing w:line="360" w:lineRule="auto"/>
        <w:ind w:hanging="283" w:left="283"/>
      </w:pPr>
      <w:r>
        <w:rPr>
          <w:b w:val="0"/>
        </w:rPr>
        <w:t xml:space="preserve">12. </w:t>
      </w:r>
      <w:r>
        <w:t>Wyres KL, Holt KE. Klebsiella pneumoniae population genomics and antimicrobial-resistant clones. Trends Microbiol. 2016;24(12):944-956.</w:t>
      </w:r>
    </w:p>
    <w:p>
      <w:pPr>
        <w:spacing w:line="360" w:lineRule="auto"/>
        <w:ind w:hanging="283" w:left="283"/>
      </w:pPr>
      <w:r>
        <w:rPr>
          <w:b w:val="0"/>
        </w:rPr>
        <w:t xml:space="preserve">13. </w:t>
      </w:r>
      <w:r>
        <w:t>Kumarasamy KK, Toleman MA, Walsh TR, et al. Emergence of a new antibiotic resistance mechanism in India, Pakistan, and the UK: a molecular, biological, and epidemiological study. Lancet Infect Dis. 2010;10(9):597-602.</w:t>
      </w:r>
    </w:p>
    <w:p>
      <w:pPr>
        <w:spacing w:line="360" w:lineRule="auto"/>
        <w:ind w:hanging="283" w:left="283"/>
      </w:pPr>
      <w:r>
        <w:rPr>
          <w:b w:val="0"/>
        </w:rPr>
        <w:t xml:space="preserve">14. </w:t>
      </w:r>
      <w:r>
        <w:t>Falagas ME, Grammatikos AP, Michalopoulos A. Potential of old-generation antibiotics to address current need. Expert Rev Anti Infect Ther. 2008;6(5):593-600.</w:t>
      </w:r>
    </w:p>
    <w:p>
      <w:pPr>
        <w:spacing w:line="360" w:lineRule="auto"/>
        <w:ind w:hanging="283" w:left="283"/>
      </w:pPr>
      <w:r>
        <w:rPr>
          <w:b w:val="0"/>
        </w:rPr>
        <w:t xml:space="preserve">15. </w:t>
      </w:r>
      <w:r>
        <w:t>Munoz-Price LS, Poirel L, Bonomo RA, et al. Clinical epidemiology of the global expansion of Klebsiella pneumoniae carbapenemases. Lancet Infect Dis. 2013;13(9):785-796.</w:t>
      </w:r>
    </w:p>
    <w:p>
      <w:pPr>
        <w:spacing w:line="360" w:lineRule="auto"/>
        <w:ind w:hanging="283" w:left="283"/>
      </w:pPr>
      <w:r>
        <w:rPr>
          <w:b w:val="0"/>
        </w:rPr>
        <w:t xml:space="preserve">16. </w:t>
      </w:r>
      <w:r>
        <w:t>Hamidian M, Nigro SJ. Emergence, molecular mechanisms and global spread of carbapenem-resistant Acinetobacter baumannii. Microb Genom. 2019;5(10):e000306.</w:t>
      </w:r>
    </w:p>
    <w:p>
      <w:pPr>
        <w:spacing w:line="360" w:lineRule="auto"/>
        <w:ind w:hanging="283" w:left="283"/>
      </w:pPr>
      <w:r>
        <w:rPr>
          <w:b w:val="0"/>
        </w:rPr>
        <w:t xml:space="preserve">17. </w:t>
      </w:r>
      <w:r>
        <w:t>Livermore DM. Defining an extended-spectrum beta-lactamase. Clin Microbiol Infect. 2008;14(s1):3-10.</w:t>
      </w:r>
    </w:p>
    <w:p>
      <w:pPr>
        <w:spacing w:line="360" w:lineRule="auto"/>
        <w:ind w:hanging="283" w:left="283"/>
      </w:pPr>
      <w:r>
        <w:rPr>
          <w:b w:val="0"/>
        </w:rPr>
        <w:t xml:space="preserve">18. </w:t>
      </w:r>
      <w:r>
        <w:t>Sader HS, Castanheira M, Flamm RK, et al. Antimicrobial activity of ceftazidime-avibactam against Gram-negative bacteria with molecular characterization. Antimicrob Agents Chemother. 2015;61(4):e02083-16.</w:t>
      </w:r>
    </w:p>
    <w:p>
      <w:pPr>
        <w:spacing w:line="360" w:lineRule="auto"/>
        <w:ind w:hanging="283" w:left="283"/>
      </w:pPr>
      <w:r>
        <w:rPr>
          <w:b w:val="0"/>
        </w:rPr>
        <w:t xml:space="preserve">19. </w:t>
      </w:r>
      <w:r>
        <w:t>Liu YY, Wang Y, Walsh TR, et al. Emergence of plasmid-mediated colistin resistance mechanism MCR-1 in animals and human beings in China: a microbiological and molecular biological study. Lancet Infect Dis. 2016;16(2):161-168.</w:t>
      </w:r>
    </w:p>
    <w:p>
      <w:pPr>
        <w:spacing w:line="360" w:lineRule="auto"/>
        <w:ind w:hanging="283" w:left="283"/>
      </w:pPr>
      <w:r>
        <w:rPr>
          <w:b w:val="0"/>
        </w:rPr>
        <w:t xml:space="preserve">20. </w:t>
      </w:r>
      <w:r>
        <w:t>Grundmann H, Glasner C, Albiger B, et al. Occurrence of carbapenemase-producing Klebsiella pneumoniae and Escherichia coli in the European survey of carbapenemase-producing Enterobacteriaceae (EuSCAPE): a prospective, multinational study. Lancet Infect Dis. 2017;17(2):153-163.</w:t>
      </w:r>
    </w:p>
    <w:p>
      <w:pPr>
        <w:spacing w:line="360" w:lineRule="auto"/>
        <w:ind w:hanging="283" w:left="283"/>
      </w:pPr>
      <w:r>
        <w:rPr>
          <w:b w:val="0"/>
        </w:rPr>
        <w:t xml:space="preserve">21. </w:t>
      </w:r>
      <w:r>
        <w:t>Shields RK, Chen L, Cheng S, et al. Emergence of ceftazidime-avibactam resistance due to plasmid-borne blaKPC-3 mutations during treatment of carbapenem-resistant Klebsiella pneumoniae infections. Antimicrob Agents Chemother. 2017;61(3):e02097-16.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